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sz w:val="72"/>
          <w:szCs w:val="72"/>
        </w:rPr>
        <w:t xml:space="preserve">🛢️</w:t>
      </w:r>
    </w:p>
    <w:p>
      <w:pPr>
        <w:bidi/>
        <w:spacing w:after="200" w:before="300"/>
        <w:jc w:val="center"/>
      </w:pPr>
      <w:r>
        <w:rPr>
          <w:rFonts w:ascii="Arial" w:cs="Arial" w:eastAsia="Arial" w:hAnsi="Arial"/>
          <w:b/>
          <w:bCs/>
          <w:color w:val="1F3864"/>
          <w:sz w:val="44"/>
          <w:szCs w:val="44"/>
        </w:rPr>
        <w:t xml:space="preserve">مقارنة الأفكار المقترحة بالوضع الحالي</w:t>
      </w:r>
    </w:p>
    <w:p>
      <w:pPr>
        <w:bidi/>
        <w:spacing w:after="400"/>
        <w:jc w:val="center"/>
      </w:pPr>
      <w:r>
        <w:rPr>
          <w:rFonts w:ascii="Arial" w:cs="Arial" w:eastAsia="Arial" w:hAnsi="Arial"/>
          <w:b/>
          <w:bCs/>
          <w:color w:val="1F3864"/>
          <w:sz w:val="36"/>
          <w:szCs w:val="36"/>
        </w:rPr>
        <w:t xml:space="preserve">في وزارة النفط العراقية</w:t>
      </w:r>
    </w:p>
    <w:p>
      <w:pPr>
        <w:bidi/>
        <w:spacing w:after="100"/>
        <w:jc w:val="center"/>
      </w:pPr>
      <w:r>
        <w:rPr>
          <w:rFonts w:ascii="Arial" w:cs="Arial" w:eastAsia="Arial" w:hAnsi="Arial"/>
          <w:i/>
          <w:iCs/>
          <w:color w:val="C55A11"/>
          <w:sz w:val="24"/>
          <w:szCs w:val="24"/>
        </w:rPr>
        <w:t xml:space="preserve">وثيقة تقديم فكرتين ضمن مبادرة التحول الرقمي والأتمتة</w:t>
      </w:r>
    </w:p>
    <w:p>
      <w:pPr>
        <w:bidi/>
        <w:spacing w:before="800"/>
        <w:jc w:val="center"/>
      </w:pPr>
      <w:r>
        <w:rPr>
          <w:rFonts w:ascii="Arial" w:cs="Arial" w:eastAsia="Arial" w:hAnsi="Arial"/>
          <w:color w:val="555555"/>
          <w:sz w:val="22"/>
          <w:szCs w:val="22"/>
        </w:rPr>
        <w:t xml:space="preserve">26 أغسطس 2026</w:t>
      </w:r>
    </w:p>
    <w:p>
      <w:r>
        <w:br w:type="page"/>
      </w:r>
    </w:p>
    <w:p>
      <w:pPr>
        <w:pStyle w:val="Heading1"/>
        <w:pBdr>
          <w:bottom w:val="single" w:color="1F3864" w:sz="8" w:space="4"/>
        </w:pBdr>
        <w:bidi/>
        <w:spacing w:after="200" w:before="400"/>
        <w:jc w:val="right"/>
      </w:pPr>
      <w:r>
        <w:rPr>
          <w:rFonts w:ascii="Arial" w:cs="Arial" w:eastAsia="Arial" w:hAnsi="Arial"/>
          <w:b/>
          <w:bCs/>
          <w:color w:val="1F3864"/>
          <w:sz w:val="32"/>
          <w:szCs w:val="32"/>
        </w:rPr>
        <w:t xml:space="preserve">١. المقدمة</w:t>
      </w:r>
    </w:p>
    <w:p>
      <w:pPr>
        <w:bidi/>
        <w:spacing w:after="160" w:before="0"/>
        <w:jc w:val="right"/>
      </w:pPr>
      <w:r>
        <w:rPr>
          <w:rFonts w:ascii="Arial" w:cs="Arial" w:eastAsia="Arial" w:hAnsi="Arial"/>
          <w:b w:val="false"/>
          <w:bCs w:val="false"/>
          <w:i w:val="false"/>
          <w:iCs w:val="false"/>
          <w:color w:val="000000"/>
          <w:sz w:val="22"/>
          <w:szCs w:val="22"/>
        </w:rPr>
        <w:t xml:space="preserve">تعرض هذه الوثيقة فكرتين مستقلتين للتحول الرقمي، مُعدّتين للتقديم إلى وزارة النفط العراقية ضمن مبادرة شراكة مع إحدى كبرى شركات الأتمتة العراقية. الفكرة الأولى امتداد لبحث علمي سبق تقديمه في مهرجان المعاهد، ويتناول تحسين هندسة الإنتاج النفطي عبر دمج برنامج PROSPER مع الذكاء الاصطناعي. أما الفكرة الثانية فتتناول رقمنة ثلاث عمليات إدارية وتشغيلية أساسية ما تزال تُدار ورقياً في معظم مديريات الوزارة.</w:t>
      </w:r>
    </w:p>
    <w:p>
      <w:pPr>
        <w:bidi/>
        <w:spacing w:after="160" w:before="0"/>
        <w:jc w:val="right"/>
      </w:pPr>
      <w:r>
        <w:rPr>
          <w:rFonts w:ascii="Arial" w:cs="Arial" w:eastAsia="Arial" w:hAnsi="Arial"/>
          <w:b w:val="false"/>
          <w:bCs w:val="false"/>
          <w:i w:val="false"/>
          <w:iCs w:val="false"/>
          <w:color w:val="000000"/>
          <w:sz w:val="22"/>
          <w:szCs w:val="22"/>
        </w:rPr>
        <w:t xml:space="preserve">يقارن كل قسم من هذه الوثيقة الفكرة المطروحة بآلية العمل المعمول بها حالياً، لتوضيح الفرق العملي والقيمة المضافة الفعلية قبل الانتقال لمرحلة التنفيذ أو النموذج التجريبي.</w:t>
      </w:r>
    </w:p>
    <w:p>
      <w:pPr>
        <w:pStyle w:val="Heading1"/>
        <w:pBdr>
          <w:bottom w:val="single" w:color="1F3864" w:sz="8" w:space="4"/>
        </w:pBdr>
        <w:bidi/>
        <w:spacing w:after="200" w:before="400"/>
        <w:jc w:val="right"/>
      </w:pPr>
      <w:r>
        <w:rPr>
          <w:rFonts w:ascii="Arial" w:cs="Arial" w:eastAsia="Arial" w:hAnsi="Arial"/>
          <w:b/>
          <w:bCs/>
          <w:color w:val="1F3864"/>
          <w:sz w:val="32"/>
          <w:szCs w:val="32"/>
        </w:rPr>
        <w:t xml:space="preserve">٢. الفكرة الأولى: تحديد نقطة التشغيل المثلى والتنبؤ بالاستنزاف</w:t>
      </w:r>
    </w:p>
    <w:p>
      <w:pPr>
        <w:bidi/>
        <w:spacing w:after="100" w:before="0"/>
        <w:jc w:val="right"/>
      </w:pPr>
      <w:r>
        <w:rPr>
          <w:rFonts w:ascii="Arial" w:cs="Arial" w:eastAsia="Arial" w:hAnsi="Arial"/>
          <w:b/>
          <w:bCs/>
          <w:i w:val="false"/>
          <w:iCs w:val="false"/>
          <w:color w:val="C55A11"/>
          <w:sz w:val="22"/>
          <w:szCs w:val="22"/>
        </w:rPr>
        <w:t xml:space="preserve">دمج برنامج PROSPER مع الذكاء الاصطناعي</w:t>
      </w:r>
    </w:p>
    <w:p>
      <w:pPr>
        <w:pStyle w:val="Heading2"/>
        <w:bidi/>
        <w:spacing w:after="160" w:before="280"/>
        <w:jc w:val="right"/>
      </w:pPr>
      <w:r>
        <w:rPr>
          <w:rFonts w:ascii="Arial" w:cs="Arial" w:eastAsia="Arial" w:hAnsi="Arial"/>
          <w:b/>
          <w:bCs/>
          <w:color w:val="C55A11"/>
          <w:sz w:val="26"/>
          <w:szCs w:val="26"/>
        </w:rPr>
        <w:t xml:space="preserve">٢.١ خلفية الفكرة</w:t>
      </w:r>
    </w:p>
    <w:p>
      <w:pPr>
        <w:bidi/>
        <w:spacing w:after="160" w:before="0"/>
        <w:jc w:val="right"/>
      </w:pPr>
      <w:r>
        <w:rPr>
          <w:rFonts w:ascii="Arial" w:cs="Arial" w:eastAsia="Arial" w:hAnsi="Arial"/>
          <w:b w:val="false"/>
          <w:bCs w:val="false"/>
          <w:i w:val="false"/>
          <w:iCs w:val="false"/>
          <w:color w:val="000000"/>
          <w:sz w:val="22"/>
          <w:szCs w:val="22"/>
        </w:rPr>
        <w:t xml:space="preserve">تمثل هذه الفكرة امتداداً لبحث علمي قُدّم في مهرجان المعاهد، يهدف لحل مشكلة هندسية جوهرية في صناعة الإنتاج النفطي: كيفية تحديد نقطة التشغيل المثلى لكل بئر إنتاجي، والتنبؤ الدقيق باستنزاف الخزان بمرور الوقت. اعتمدت المنهجية المقترحة على دمج برنامج PROSPER (من أشهر برامج هندسة الإنتاج وتحليل أداء الآبار Nodal Analysis) مع تقنيات الذكاء الاصطناعي، لتجاوز محدودية الأساليب التقليدية القائمة على المعايرة اليدوية الدورية.</w:t>
      </w:r>
    </w:p>
    <w:p>
      <w:pPr>
        <w:pStyle w:val="Heading2"/>
        <w:bidi/>
        <w:spacing w:after="160" w:before="280"/>
        <w:jc w:val="right"/>
      </w:pPr>
      <w:r>
        <w:rPr>
          <w:rFonts w:ascii="Arial" w:cs="Arial" w:eastAsia="Arial" w:hAnsi="Arial"/>
          <w:b/>
          <w:bCs/>
          <w:color w:val="C55A11"/>
          <w:sz w:val="26"/>
          <w:szCs w:val="26"/>
        </w:rPr>
        <w:t xml:space="preserve">٢.٢ آلية العمل المقترحة</w:t>
      </w:r>
    </w:p>
    <w:p>
      <w:pPr>
        <w:pStyle w:val="ListParagraph"/>
        <w:numPr>
          <w:ilvl w:val="0"/>
          <w:numId w:val="2"/>
        </w:numPr>
        <w:bidi/>
        <w:spacing w:after="100"/>
        <w:jc w:val="right"/>
      </w:pPr>
      <w:r>
        <w:rPr>
          <w:rFonts w:ascii="Arial" w:cs="Arial" w:eastAsia="Arial" w:hAnsi="Arial"/>
          <w:sz w:val="22"/>
          <w:szCs w:val="22"/>
        </w:rPr>
        <w:t xml:space="preserve">جمع بيانات الإنتاج الحية من كل بئر (الضغط، معدل الجريان، نسب الماء والغاز) بشكل مستمر.</w:t>
      </w:r>
    </w:p>
    <w:p>
      <w:pPr>
        <w:pStyle w:val="ListParagraph"/>
        <w:numPr>
          <w:ilvl w:val="0"/>
          <w:numId w:val="2"/>
        </w:numPr>
        <w:bidi/>
        <w:spacing w:after="100"/>
        <w:jc w:val="right"/>
      </w:pPr>
      <w:r>
        <w:rPr>
          <w:rFonts w:ascii="Arial" w:cs="Arial" w:eastAsia="Arial" w:hAnsi="Arial"/>
          <w:sz w:val="22"/>
          <w:szCs w:val="22"/>
        </w:rPr>
        <w:t xml:space="preserve">تغذية البيانات إلى نموذج هجين يجمع بين المحاكاة الفيزيائية لبرنامج PROSPER ونماذج تعلّم آلي مدرَّبة على بيانات تاريخية من آبار مشابهة.</w:t>
      </w:r>
    </w:p>
    <w:p>
      <w:pPr>
        <w:pStyle w:val="ListParagraph"/>
        <w:numPr>
          <w:ilvl w:val="0"/>
          <w:numId w:val="2"/>
        </w:numPr>
        <w:bidi/>
        <w:spacing w:after="100"/>
        <w:jc w:val="right"/>
      </w:pPr>
      <w:r>
        <w:rPr>
          <w:rFonts w:ascii="Arial" w:cs="Arial" w:eastAsia="Arial" w:hAnsi="Arial"/>
          <w:sz w:val="22"/>
          <w:szCs w:val="22"/>
        </w:rPr>
        <w:t xml:space="preserve">معايرة نموذج كل بئر تلقائياً (Auto History Matching) بدل المراجعة اليدوية الدورية.</w:t>
      </w:r>
    </w:p>
    <w:p>
      <w:pPr>
        <w:pStyle w:val="ListParagraph"/>
        <w:numPr>
          <w:ilvl w:val="0"/>
          <w:numId w:val="2"/>
        </w:numPr>
        <w:bidi/>
        <w:spacing w:after="100"/>
        <w:jc w:val="right"/>
      </w:pPr>
      <w:r>
        <w:rPr>
          <w:rFonts w:ascii="Arial" w:cs="Arial" w:eastAsia="Arial" w:hAnsi="Arial"/>
          <w:sz w:val="22"/>
          <w:szCs w:val="22"/>
        </w:rPr>
        <w:t xml:space="preserve">تحديد نقطة التشغيل المثلى ديناميكياً بما يوازن بين الإنتاج الحالي وإطالة العمر الإنتاجي للبئر.</w:t>
      </w:r>
    </w:p>
    <w:p>
      <w:pPr>
        <w:pStyle w:val="ListParagraph"/>
        <w:numPr>
          <w:ilvl w:val="0"/>
          <w:numId w:val="2"/>
        </w:numPr>
        <w:bidi/>
        <w:spacing w:after="100"/>
        <w:jc w:val="right"/>
      </w:pPr>
      <w:r>
        <w:rPr>
          <w:rFonts w:ascii="Arial" w:cs="Arial" w:eastAsia="Arial" w:hAnsi="Arial"/>
          <w:sz w:val="22"/>
          <w:szCs w:val="22"/>
        </w:rPr>
        <w:t xml:space="preserve">التنبؤ باستنزاف الخزان ومنحنى التراجع الإنتاجي (Decline Curve) بدقة أعلى من الطرق التقليدية.</w:t>
      </w:r>
    </w:p>
    <w:p>
      <w:pPr>
        <w:pStyle w:val="ListParagraph"/>
        <w:numPr>
          <w:ilvl w:val="0"/>
          <w:numId w:val="2"/>
        </w:numPr>
        <w:bidi/>
        <w:spacing w:after="100"/>
        <w:jc w:val="right"/>
      </w:pPr>
      <w:r>
        <w:rPr>
          <w:rFonts w:ascii="Arial" w:cs="Arial" w:eastAsia="Arial" w:hAnsi="Arial"/>
          <w:sz w:val="22"/>
          <w:szCs w:val="22"/>
        </w:rPr>
        <w:t xml:space="preserve">توليد تنبيهات مبكرة عند الحاجة لتدخل هندسي (تحفيز البئر، تعديل معدات الرفع الصناعي، إلخ).</w:t>
      </w:r>
    </w:p>
    <w:p>
      <w:pPr>
        <w:pStyle w:val="Heading2"/>
        <w:bidi/>
        <w:spacing w:after="160" w:before="280"/>
        <w:jc w:val="right"/>
      </w:pPr>
      <w:r>
        <w:rPr>
          <w:rFonts w:ascii="Arial" w:cs="Arial" w:eastAsia="Arial" w:hAnsi="Arial"/>
          <w:b/>
          <w:bCs/>
          <w:color w:val="C55A11"/>
          <w:sz w:val="26"/>
          <w:szCs w:val="26"/>
        </w:rPr>
        <w:t xml:space="preserve">٢.٣ مقارنة مع الوضع الحالي</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الجانب</w:t>
            </w:r>
          </w:p>
        </w:tc>
        <w:tc>
          <w:tcPr>
            <w:tcW w:type="dxa" w:w="3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الوضع الحالي</w:t>
            </w:r>
          </w:p>
        </w:tc>
        <w:tc>
          <w:tcPr>
            <w:tcW w:type="dxa" w:w="3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الفكرة المقترحة</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تحديد نقطة التشغيل المثلى</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تحليل يدوي دوري (أسبوعي/شهري) بواسطة مهندس الإنتاج، يشغّل PROSPER بشكل منفصل لكل بئر</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تحليل آلي شبه لحظي عبر نموذج هجين (PROSPER + ذكاء اصطناعي) يُحدَّث تلقائياً</w:t>
            </w:r>
          </w:p>
        </w:tc>
      </w:tr>
      <w:tr>
        <w:tc>
          <w:tcPr>
            <w:tcW w:type="dxa" w:w="2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التنبؤ بالاستنزاف</w:t>
            </w:r>
          </w:p>
        </w:tc>
        <w:tc>
          <w:tcPr>
            <w:tcW w:type="dxa" w:w="3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يعتمد على منحنيات تراجع تقليدية (Decline Curve) تُراجَع دورياً، وعرضة لتراكم الخطأ مع الوقت</w:t>
            </w:r>
          </w:p>
        </w:tc>
        <w:tc>
          <w:tcPr>
            <w:tcW w:type="dxa" w:w="3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نموذج تعلّم آلي يتعلّم من بيانات جميع الآبار مجتمعة، بدقة أعلى وتحديث تلقائي مستمر</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زمن الاستجابة لتغيّر أداء البئر</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أيام إلى أسابيع، ريثما تحين الجولة الدورية للمهندس</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شبه لحظي — تنبيه فوري عند انحراف الأداء عن المتوقع</w:t>
            </w:r>
          </w:p>
        </w:tc>
      </w:tr>
      <w:tr>
        <w:tc>
          <w:tcPr>
            <w:tcW w:type="dxa" w:w="2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الجهد الهندسي المطلوب</w:t>
            </w:r>
          </w:p>
        </w:tc>
        <w:tc>
          <w:tcPr>
            <w:tcW w:type="dxa" w:w="3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مهندس متخصص يشغّل النموذج يدوياً لكل بئر على حدة</w:t>
            </w:r>
          </w:p>
        </w:tc>
        <w:tc>
          <w:tcPr>
            <w:tcW w:type="dxa" w:w="36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يبقى المهندس بدور المراجعة والقرار، وتُشال عنه الأعمال الحسابية المتكررة</w:t>
            </w:r>
          </w:p>
        </w:tc>
      </w:tr>
      <w:tr>
        <w:tc>
          <w:tcPr>
            <w:tcW w:type="dxa" w:w="2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قابلية التوسّع لعدد كبير من الآبار</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صعبة، تحدّها ساعات العمل المتاحة للمهندسين</w:t>
            </w:r>
          </w:p>
        </w:tc>
        <w:tc>
          <w:tcPr>
            <w:tcW w:type="dxa" w:w="36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قابلة للتوسّع لتغطية كل آبار الحقل أو الحقول عبر منصة واحدة</w:t>
            </w:r>
          </w:p>
        </w:tc>
      </w:tr>
    </w:tbl>
    <w:p>
      <w:pPr>
        <w:bidi/>
        <w:spacing w:after="120" w:before="0"/>
        <w:jc w:val="right"/>
      </w:pPr>
      <w:r>
        <w:rPr>
          <w:rFonts w:ascii="Arial" w:cs="Arial" w:eastAsia="Arial" w:hAnsi="Arial"/>
          <w:b w:val="false"/>
          <w:bCs w:val="false"/>
          <w:i w:val="false"/>
          <w:iCs w:val="false"/>
          <w:color w:val="000000"/>
          <w:sz w:val="22"/>
          <w:szCs w:val="22"/>
        </w:rPr>
        <w:t xml:space="preserve"/>
      </w:r>
    </w:p>
    <w:p>
      <w:pPr>
        <w:pStyle w:val="Heading2"/>
        <w:bidi/>
        <w:spacing w:after="160" w:before="280"/>
        <w:jc w:val="right"/>
      </w:pPr>
      <w:r>
        <w:rPr>
          <w:rFonts w:ascii="Arial" w:cs="Arial" w:eastAsia="Arial" w:hAnsi="Arial"/>
          <w:b/>
          <w:bCs/>
          <w:color w:val="C55A11"/>
          <w:sz w:val="26"/>
          <w:szCs w:val="26"/>
        </w:rPr>
        <w:t xml:space="preserve">٢.٤ القيمة المضافة</w:t>
      </w:r>
    </w:p>
    <w:p>
      <w:pPr>
        <w:pStyle w:val="ListParagraph"/>
        <w:numPr>
          <w:ilvl w:val="0"/>
          <w:numId w:val="2"/>
        </w:numPr>
        <w:bidi/>
        <w:spacing w:after="100"/>
        <w:jc w:val="right"/>
      </w:pPr>
      <w:r>
        <w:rPr>
          <w:rFonts w:ascii="Arial" w:cs="Arial" w:eastAsia="Arial" w:hAnsi="Arial"/>
          <w:sz w:val="22"/>
          <w:szCs w:val="22"/>
        </w:rPr>
        <w:t xml:space="preserve">تقليل زمن دورة تحليل أداء البئر من أيام أو أسابيع إلى تحليل شبه لحظي.</w:t>
      </w:r>
    </w:p>
    <w:p>
      <w:pPr>
        <w:pStyle w:val="ListParagraph"/>
        <w:numPr>
          <w:ilvl w:val="0"/>
          <w:numId w:val="2"/>
        </w:numPr>
        <w:bidi/>
        <w:spacing w:after="100"/>
        <w:jc w:val="right"/>
      </w:pPr>
      <w:r>
        <w:rPr>
          <w:rFonts w:ascii="Arial" w:cs="Arial" w:eastAsia="Arial" w:hAnsi="Arial"/>
          <w:sz w:val="22"/>
          <w:szCs w:val="22"/>
        </w:rPr>
        <w:t xml:space="preserve">تحسين معدلات الاستخلاص النهائي من الحقول عبر التشغيل عند النقطة المثلى باستمرار بدل التقييم الدوري المتباعد.</w:t>
      </w:r>
    </w:p>
    <w:p>
      <w:pPr>
        <w:pStyle w:val="ListParagraph"/>
        <w:numPr>
          <w:ilvl w:val="0"/>
          <w:numId w:val="2"/>
        </w:numPr>
        <w:bidi/>
        <w:spacing w:after="100"/>
        <w:jc w:val="right"/>
      </w:pPr>
      <w:r>
        <w:rPr>
          <w:rFonts w:ascii="Arial" w:cs="Arial" w:eastAsia="Arial" w:hAnsi="Arial"/>
          <w:sz w:val="22"/>
          <w:szCs w:val="22"/>
        </w:rPr>
        <w:t xml:space="preserve">تحرير وقت المهندسين من الأعمال الحسابية المتكررة للتركيز على القرارات الاستراتيجية.</w:t>
      </w:r>
    </w:p>
    <w:p>
      <w:pPr>
        <w:pStyle w:val="ListParagraph"/>
        <w:numPr>
          <w:ilvl w:val="0"/>
          <w:numId w:val="2"/>
        </w:numPr>
        <w:bidi/>
        <w:spacing w:after="100"/>
        <w:jc w:val="right"/>
      </w:pPr>
      <w:r>
        <w:rPr>
          <w:rFonts w:ascii="Arial" w:cs="Arial" w:eastAsia="Arial" w:hAnsi="Arial"/>
          <w:sz w:val="22"/>
          <w:szCs w:val="22"/>
        </w:rPr>
        <w:t xml:space="preserve">إنذار مبكر يقلل من فترات توقف الآبار أو الأعطال غير المخطط لها.</w:t>
      </w:r>
    </w:p>
    <w:p>
      <w:pPr>
        <w:pStyle w:val="Heading2"/>
        <w:bidi/>
        <w:spacing w:after="160" w:before="280"/>
        <w:jc w:val="right"/>
      </w:pPr>
      <w:r>
        <w:rPr>
          <w:rFonts w:ascii="Arial" w:cs="Arial" w:eastAsia="Arial" w:hAnsi="Arial"/>
          <w:b/>
          <w:bCs/>
          <w:color w:val="C55A11"/>
          <w:sz w:val="26"/>
          <w:szCs w:val="26"/>
        </w:rPr>
        <w:t xml:space="preserve">٢.٥ التحديات والاعتبارات</w:t>
      </w:r>
    </w:p>
    <w:p>
      <w:pPr>
        <w:pStyle w:val="ListParagraph"/>
        <w:numPr>
          <w:ilvl w:val="0"/>
          <w:numId w:val="2"/>
        </w:numPr>
        <w:bidi/>
        <w:spacing w:after="100"/>
        <w:jc w:val="right"/>
      </w:pPr>
      <w:r>
        <w:rPr>
          <w:rFonts w:ascii="Arial" w:cs="Arial" w:eastAsia="Arial" w:hAnsi="Arial"/>
          <w:sz w:val="22"/>
          <w:szCs w:val="22"/>
        </w:rPr>
        <w:t xml:space="preserve">برنامج PROSPER مرخّص من شركة Petroleum Experts، لذا يتطلب التنفيذ الفعلي ترخيصاً واتفاقية تكامل تقني (API) مع الشركة المصنّعة.</w:t>
      </w:r>
    </w:p>
    <w:p>
      <w:pPr>
        <w:pStyle w:val="ListParagraph"/>
        <w:numPr>
          <w:ilvl w:val="0"/>
          <w:numId w:val="2"/>
        </w:numPr>
        <w:bidi/>
        <w:spacing w:after="100"/>
        <w:jc w:val="right"/>
      </w:pPr>
      <w:r>
        <w:rPr>
          <w:rFonts w:ascii="Arial" w:cs="Arial" w:eastAsia="Arial" w:hAnsi="Arial"/>
          <w:sz w:val="22"/>
          <w:szCs w:val="22"/>
        </w:rPr>
        <w:t xml:space="preserve">الحاجة إلى بيانات حقلية تاريخية كافية لتدريب نماذج الذكاء الاصطناعي بدقة مقبولة.</w:t>
      </w:r>
    </w:p>
    <w:p>
      <w:pPr>
        <w:pStyle w:val="ListParagraph"/>
        <w:numPr>
          <w:ilvl w:val="0"/>
          <w:numId w:val="2"/>
        </w:numPr>
        <w:bidi/>
        <w:spacing w:after="100"/>
        <w:jc w:val="right"/>
      </w:pPr>
      <w:r>
        <w:rPr>
          <w:rFonts w:ascii="Arial" w:cs="Arial" w:eastAsia="Arial" w:hAnsi="Arial"/>
          <w:sz w:val="22"/>
          <w:szCs w:val="22"/>
        </w:rPr>
        <w:t xml:space="preserve">يبقى القرار النهائي بيد المهندس المختص؛ النظام أداة دعم قرار لا بديل عن الخبرة الهندسية.</w:t>
      </w:r>
    </w:p>
    <w:p>
      <w:r>
        <w:br w:type="page"/>
      </w:r>
    </w:p>
    <w:p>
      <w:pPr>
        <w:pStyle w:val="Heading1"/>
        <w:pBdr>
          <w:bottom w:val="single" w:color="1F3864" w:sz="8" w:space="4"/>
        </w:pBdr>
        <w:bidi/>
        <w:spacing w:after="200" w:before="400"/>
        <w:jc w:val="right"/>
      </w:pPr>
      <w:r>
        <w:rPr>
          <w:rFonts w:ascii="Arial" w:cs="Arial" w:eastAsia="Arial" w:hAnsi="Arial"/>
          <w:b/>
          <w:bCs/>
          <w:color w:val="1F3864"/>
          <w:sz w:val="32"/>
          <w:szCs w:val="32"/>
        </w:rPr>
        <w:t xml:space="preserve">٣. الفكرة الثانية: المنصة الرقمية الموحدة لوزارة النفط</w:t>
      </w:r>
    </w:p>
    <w:p>
      <w:pPr>
        <w:bidi/>
        <w:spacing w:after="100" w:before="0"/>
        <w:jc w:val="right"/>
      </w:pPr>
      <w:r>
        <w:rPr>
          <w:rFonts w:ascii="Arial" w:cs="Arial" w:eastAsia="Arial" w:hAnsi="Arial"/>
          <w:b/>
          <w:bCs/>
          <w:i w:val="false"/>
          <w:iCs w:val="false"/>
          <w:color w:val="C55A11"/>
          <w:sz w:val="22"/>
          <w:szCs w:val="22"/>
        </w:rPr>
        <w:t xml:space="preserve">الطلبات والموافقات، التصاريح الرقمية، ودفتر المناوبة الإلكتروني</w:t>
      </w:r>
    </w:p>
    <w:p>
      <w:pPr>
        <w:pStyle w:val="Heading2"/>
        <w:bidi/>
        <w:spacing w:after="160" w:before="280"/>
        <w:jc w:val="right"/>
      </w:pPr>
      <w:r>
        <w:rPr>
          <w:rFonts w:ascii="Arial" w:cs="Arial" w:eastAsia="Arial" w:hAnsi="Arial"/>
          <w:b/>
          <w:bCs/>
          <w:color w:val="C55A11"/>
          <w:sz w:val="26"/>
          <w:szCs w:val="26"/>
        </w:rPr>
        <w:t xml:space="preserve">٣.١ خلفية الفكرة</w:t>
      </w:r>
    </w:p>
    <w:p>
      <w:pPr>
        <w:bidi/>
        <w:spacing w:after="160" w:before="0"/>
        <w:jc w:val="right"/>
      </w:pPr>
      <w:r>
        <w:rPr>
          <w:rFonts w:ascii="Arial" w:cs="Arial" w:eastAsia="Arial" w:hAnsi="Arial"/>
          <w:b w:val="false"/>
          <w:bCs w:val="false"/>
          <w:i w:val="false"/>
          <w:iCs w:val="false"/>
          <w:color w:val="000000"/>
          <w:sz w:val="22"/>
          <w:szCs w:val="22"/>
        </w:rPr>
        <w:t xml:space="preserve">تستهدف هذه الفكرة تحويل ثلاث عمليات إدارية وتشغيلية أساسية، تُدار حالياً بشكل ورقي بالكامل تقريباً في أغلب مديريات ودوائر وزارة النفط، إلى منظومة رقمية موحدة: (١) الطلبات والموافقات الإدارية بمختلف أنواعها بدءاً من طلبات الإجازة وانتهاءً بالطلبات الكبرى، (٢) تصاريح العمل، و(٣) دفتر المناوبة اليومي.</w:t>
      </w:r>
    </w:p>
    <w:p>
      <w:pPr>
        <w:pStyle w:val="Heading2"/>
        <w:bidi/>
        <w:spacing w:after="160" w:before="280"/>
        <w:jc w:val="right"/>
      </w:pPr>
      <w:r>
        <w:rPr>
          <w:rFonts w:ascii="Arial" w:cs="Arial" w:eastAsia="Arial" w:hAnsi="Arial"/>
          <w:b/>
          <w:bCs/>
          <w:color w:val="C55A11"/>
          <w:sz w:val="26"/>
          <w:szCs w:val="26"/>
        </w:rPr>
        <w:t xml:space="preserve">٣.٢ مكوّنات المنصة الثلاثة</w:t>
      </w:r>
    </w:p>
    <w:p>
      <w:pPr>
        <w:bidi/>
        <w:spacing w:after="80" w:before="0"/>
        <w:jc w:val="right"/>
      </w:pPr>
      <w:r>
        <w:rPr>
          <w:rFonts w:ascii="Arial" w:cs="Arial" w:eastAsia="Arial" w:hAnsi="Arial"/>
          <w:b/>
          <w:bCs/>
          <w:i w:val="false"/>
          <w:iCs w:val="false"/>
          <w:color w:val="000000"/>
          <w:sz w:val="22"/>
          <w:szCs w:val="22"/>
        </w:rPr>
        <w:t xml:space="preserve">أ. نظام الطلبات والموافقات الرقمي</w:t>
      </w:r>
    </w:p>
    <w:p>
      <w:pPr>
        <w:bidi/>
        <w:spacing w:after="160" w:before="0"/>
        <w:jc w:val="right"/>
      </w:pPr>
      <w:r>
        <w:rPr>
          <w:rFonts w:ascii="Arial" w:cs="Arial" w:eastAsia="Arial" w:hAnsi="Arial"/>
          <w:b w:val="false"/>
          <w:bCs w:val="false"/>
          <w:i w:val="false"/>
          <w:iCs w:val="false"/>
          <w:color w:val="000000"/>
          <w:sz w:val="22"/>
          <w:szCs w:val="22"/>
        </w:rPr>
        <w:t xml:space="preserve">تقديم أي طلب إداري (إجازة، مستلزمات، صيانة، طلبات كبرى...) إلكترونياً، يمر تلقائياً بمسار الموافقات الهرمي المحدد مسبقاً حسب نوع الطلب وصلاحية كل مسؤول، مع تتبع حالة الطلب لحظياً وإشعارات تلقائية لكل طرف معني.</w:t>
      </w:r>
    </w:p>
    <w:p>
      <w:pPr>
        <w:bidi/>
        <w:spacing w:after="80" w:before="0"/>
        <w:jc w:val="right"/>
      </w:pPr>
      <w:r>
        <w:rPr>
          <w:rFonts w:ascii="Arial" w:cs="Arial" w:eastAsia="Arial" w:hAnsi="Arial"/>
          <w:b/>
          <w:bCs/>
          <w:i w:val="false"/>
          <w:iCs w:val="false"/>
          <w:color w:val="000000"/>
          <w:sz w:val="22"/>
          <w:szCs w:val="22"/>
        </w:rPr>
        <w:t xml:space="preserve">ب. التصاريح الرقمية</w:t>
      </w:r>
    </w:p>
    <w:p>
      <w:pPr>
        <w:bidi/>
        <w:spacing w:after="160" w:before="0"/>
        <w:jc w:val="right"/>
      </w:pPr>
      <w:r>
        <w:rPr>
          <w:rFonts w:ascii="Arial" w:cs="Arial" w:eastAsia="Arial" w:hAnsi="Arial"/>
          <w:b w:val="false"/>
          <w:bCs w:val="false"/>
          <w:i w:val="false"/>
          <w:iCs w:val="false"/>
          <w:color w:val="000000"/>
          <w:sz w:val="22"/>
          <w:szCs w:val="22"/>
        </w:rPr>
        <w:t xml:space="preserve">تحويل تصاريح العمل (تصاريح الدخول، الأعمال الساخنة، الدخول للمساحات المغلقة، إلخ) من نماذج ورقية موقّعة يدوياً إلى نماذج رقمية بتوقيع إلكتروني معتمد، مرتبطة بقوائم السلامة وبموقع وزمن العمل، مع أرشفة تلقائية دائمة.</w:t>
      </w:r>
    </w:p>
    <w:p>
      <w:pPr>
        <w:bidi/>
        <w:spacing w:after="80" w:before="0"/>
        <w:jc w:val="right"/>
      </w:pPr>
      <w:r>
        <w:rPr>
          <w:rFonts w:ascii="Arial" w:cs="Arial" w:eastAsia="Arial" w:hAnsi="Arial"/>
          <w:b/>
          <w:bCs/>
          <w:i w:val="false"/>
          <w:iCs w:val="false"/>
          <w:color w:val="000000"/>
          <w:sz w:val="22"/>
          <w:szCs w:val="22"/>
        </w:rPr>
        <w:t xml:space="preserve">ج. دفتر المناوبة الرقمي</w:t>
      </w:r>
    </w:p>
    <w:p>
      <w:pPr>
        <w:bidi/>
        <w:spacing w:after="160" w:before="0"/>
        <w:jc w:val="right"/>
      </w:pPr>
      <w:r>
        <w:rPr>
          <w:rFonts w:ascii="Arial" w:cs="Arial" w:eastAsia="Arial" w:hAnsi="Arial"/>
          <w:b w:val="false"/>
          <w:bCs w:val="false"/>
          <w:i w:val="false"/>
          <w:iCs w:val="false"/>
          <w:color w:val="000000"/>
          <w:sz w:val="22"/>
          <w:szCs w:val="22"/>
        </w:rPr>
        <w:t xml:space="preserve">استبدال دفتر المناوبة الورقي المستخدم حالياً بمنصة تسجيل رقمية لحظية لكل حدث أو قراءة أو ملاحظة تسليم وتسلّم مناوبة، قابلة للبحث الفوري بالتاريخ أو الكلمة المفتاحية أو نوع الحدث.</w:t>
      </w:r>
    </w:p>
    <w:p>
      <w:pPr>
        <w:pStyle w:val="Heading2"/>
        <w:bidi/>
        <w:spacing w:after="160" w:before="280"/>
        <w:jc w:val="right"/>
      </w:pPr>
      <w:r>
        <w:rPr>
          <w:rFonts w:ascii="Arial" w:cs="Arial" w:eastAsia="Arial" w:hAnsi="Arial"/>
          <w:b/>
          <w:bCs/>
          <w:color w:val="C55A11"/>
          <w:sz w:val="26"/>
          <w:szCs w:val="26"/>
        </w:rPr>
        <w:t xml:space="preserve">٣.٣ مقارنة مع الوضع الحالي</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rPr>
          <w:tblHeader/>
        </w:trPr>
        <w:tc>
          <w:tcPr>
            <w:tcW w:type="dxa" w:w="24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الجانب</w:t>
            </w:r>
          </w:p>
        </w:tc>
        <w:tc>
          <w:tcPr>
            <w:tcW w:type="dxa" w:w="37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الوضع الحالي (ورقي)</w:t>
            </w:r>
          </w:p>
        </w:tc>
        <w:tc>
          <w:tcPr>
            <w:tcW w:type="dxa" w:w="37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الفكرة المقترحة (رقمي)</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الطلبات والموافقات الإدارية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نماذج ورقية وتوقيعات يدوية، وتنقل الطلب فعلياً بين المكاتب</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نظام إلكتروني موحّد، مسار موافقات آلي وتتبع حالة الطلب لحظياً</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تصاريح العمل</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نماذج ورقية تُعبّأ وتُوقّع يدوياً، وأرشفتها صعبة وعرضة للفقدان</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تصاريح رقمية موقّعة إلكترونياً، مؤرشفة تلقائياً ومرتبطة بالموقع والزمن</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دفتر المناوبة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دفتر ورقي فعلي، عرضة للتلف أو سوء الخط أو الفقدان</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دفتر رقمي، تسجيل لحظي وبحث فوري بالتاريخ أو الكلمة المفتاحية</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الرجوع لسجلات سنوات سابقة</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بحث يدوي في أرشيف ورقي، قد يستغرق أياماً أو يكون غير ممكن أصلاً</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استعلام فوري ضمن قاعدة بيانات مركزية تراكمية</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التكلفة التشغيلية المستمرة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تكاليف طباعة وقرطاسية وتخزين فيزيائي دائمة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توفير مستمر في تكاليف الطباعة والأرشفة الفيزيائية</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إمكانية تحليل البيانات</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غير متاحة عملياً بسبب تشتت البيانات الورقية</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تحليل الأنماط (تكرار الأعطال، ذروة الطلبات، أداء المناوبات) لدعم القرار</w:t>
            </w:r>
          </w:p>
        </w:tc>
      </w:tr>
    </w:tbl>
    <w:p>
      <w:pPr>
        <w:bidi/>
        <w:spacing w:after="120" w:before="0"/>
        <w:jc w:val="right"/>
      </w:pPr>
      <w:r>
        <w:rPr>
          <w:rFonts w:ascii="Arial" w:cs="Arial" w:eastAsia="Arial" w:hAnsi="Arial"/>
          <w:b w:val="false"/>
          <w:bCs w:val="false"/>
          <w:i w:val="false"/>
          <w:iCs w:val="false"/>
          <w:color w:val="000000"/>
          <w:sz w:val="22"/>
          <w:szCs w:val="22"/>
        </w:rPr>
        <w:t xml:space="preserve"/>
      </w:r>
    </w:p>
    <w:p>
      <w:pPr>
        <w:pStyle w:val="Heading2"/>
        <w:bidi/>
        <w:spacing w:after="160" w:before="280"/>
        <w:jc w:val="right"/>
      </w:pPr>
      <w:r>
        <w:rPr>
          <w:rFonts w:ascii="Arial" w:cs="Arial" w:eastAsia="Arial" w:hAnsi="Arial"/>
          <w:b/>
          <w:bCs/>
          <w:color w:val="C55A11"/>
          <w:sz w:val="26"/>
          <w:szCs w:val="26"/>
        </w:rPr>
        <w:t xml:space="preserve">٣.٤ القيمة المضافة</w:t>
      </w:r>
    </w:p>
    <w:p>
      <w:pPr>
        <w:pStyle w:val="ListParagraph"/>
        <w:numPr>
          <w:ilvl w:val="0"/>
          <w:numId w:val="2"/>
        </w:numPr>
        <w:bidi/>
        <w:spacing w:after="100"/>
        <w:jc w:val="right"/>
      </w:pPr>
      <w:r>
        <w:rPr>
          <w:rFonts w:ascii="Arial" w:cs="Arial" w:eastAsia="Arial" w:hAnsi="Arial"/>
          <w:sz w:val="22"/>
          <w:szCs w:val="22"/>
        </w:rPr>
        <w:t xml:space="preserve">توفير مستمر في تكاليف الطباعة والقرطاسية والتخزين الفيزيائي للأرشيف عبر كل مديريات الوزارة.</w:t>
      </w:r>
    </w:p>
    <w:p>
      <w:pPr>
        <w:pStyle w:val="ListParagraph"/>
        <w:numPr>
          <w:ilvl w:val="0"/>
          <w:numId w:val="2"/>
        </w:numPr>
        <w:bidi/>
        <w:spacing w:after="100"/>
        <w:jc w:val="right"/>
      </w:pPr>
      <w:r>
        <w:rPr>
          <w:rFonts w:ascii="Arial" w:cs="Arial" w:eastAsia="Arial" w:hAnsi="Arial"/>
          <w:sz w:val="22"/>
          <w:szCs w:val="22"/>
        </w:rPr>
        <w:t xml:space="preserve">تسريع دورة اعتماد الطلبات والتصاريح، وتقليل التأخير الناتج عن التنقل اليدوي للأوراق بين المكاتب.</w:t>
      </w:r>
    </w:p>
    <w:p>
      <w:pPr>
        <w:pStyle w:val="ListParagraph"/>
        <w:numPr>
          <w:ilvl w:val="0"/>
          <w:numId w:val="2"/>
        </w:numPr>
        <w:bidi/>
        <w:spacing w:after="100"/>
        <w:jc w:val="right"/>
      </w:pPr>
      <w:r>
        <w:rPr>
          <w:rFonts w:ascii="Arial" w:cs="Arial" w:eastAsia="Arial" w:hAnsi="Arial"/>
          <w:sz w:val="22"/>
          <w:szCs w:val="22"/>
        </w:rPr>
        <w:t xml:space="preserve">الرجوع الفوري لأي سجل أو حدث سابق، حتى لسنوات ماضية، دون بحث يدوي في أرشيف ورقي.</w:t>
      </w:r>
    </w:p>
    <w:p>
      <w:pPr>
        <w:pStyle w:val="ListParagraph"/>
        <w:numPr>
          <w:ilvl w:val="0"/>
          <w:numId w:val="2"/>
        </w:numPr>
        <w:bidi/>
        <w:spacing w:after="100"/>
        <w:jc w:val="right"/>
      </w:pPr>
      <w:r>
        <w:rPr>
          <w:rFonts w:ascii="Arial" w:cs="Arial" w:eastAsia="Arial" w:hAnsi="Arial"/>
          <w:sz w:val="22"/>
          <w:szCs w:val="22"/>
        </w:rPr>
        <w:t xml:space="preserve">بناء قاعدة بيانات مركزية ضخمة تتراكم سنة بعد أخرى، تفتح الباب لاحقاً لتحليلات ذكية.</w:t>
      </w:r>
    </w:p>
    <w:p>
      <w:pPr>
        <w:pStyle w:val="ListParagraph"/>
        <w:numPr>
          <w:ilvl w:val="0"/>
          <w:numId w:val="2"/>
        </w:numPr>
        <w:bidi/>
        <w:spacing w:after="100"/>
        <w:jc w:val="right"/>
      </w:pPr>
      <w:r>
        <w:rPr>
          <w:rFonts w:ascii="Arial" w:cs="Arial" w:eastAsia="Arial" w:hAnsi="Arial"/>
          <w:sz w:val="22"/>
          <w:szCs w:val="22"/>
        </w:rPr>
        <w:t xml:space="preserve">تعزيز الشفافية والمساءلة عبر سجل زمني موثّق لكل إجراء وموافقة.</w:t>
      </w:r>
    </w:p>
    <w:p>
      <w:pPr>
        <w:pStyle w:val="ListParagraph"/>
        <w:numPr>
          <w:ilvl w:val="0"/>
          <w:numId w:val="2"/>
        </w:numPr>
        <w:bidi/>
        <w:spacing w:after="100"/>
        <w:jc w:val="right"/>
      </w:pPr>
      <w:r>
        <w:rPr>
          <w:rFonts w:ascii="Arial" w:cs="Arial" w:eastAsia="Arial" w:hAnsi="Arial"/>
          <w:sz w:val="22"/>
          <w:szCs w:val="22"/>
        </w:rPr>
        <w:t xml:space="preserve">تقليل مخاطر فقدان أو تلف السجلات الورقية.</w:t>
      </w:r>
    </w:p>
    <w:p>
      <w:pPr>
        <w:pStyle w:val="Heading2"/>
        <w:bidi/>
        <w:spacing w:after="160" w:before="280"/>
        <w:jc w:val="right"/>
      </w:pPr>
      <w:r>
        <w:rPr>
          <w:rFonts w:ascii="Arial" w:cs="Arial" w:eastAsia="Arial" w:hAnsi="Arial"/>
          <w:b/>
          <w:bCs/>
          <w:color w:val="C55A11"/>
          <w:sz w:val="26"/>
          <w:szCs w:val="26"/>
        </w:rPr>
        <w:t xml:space="preserve">٣.٥ التحديات والاعتبارات</w:t>
      </w:r>
    </w:p>
    <w:p>
      <w:pPr>
        <w:pStyle w:val="ListParagraph"/>
        <w:numPr>
          <w:ilvl w:val="0"/>
          <w:numId w:val="2"/>
        </w:numPr>
        <w:bidi/>
        <w:spacing w:after="100"/>
        <w:jc w:val="right"/>
      </w:pPr>
      <w:r>
        <w:rPr>
          <w:rFonts w:ascii="Arial" w:cs="Arial" w:eastAsia="Arial" w:hAnsi="Arial"/>
          <w:sz w:val="22"/>
          <w:szCs w:val="22"/>
        </w:rPr>
        <w:t xml:space="preserve">الحاجة لتدريب الكوادر الإدارية والتشغيلية على النظام الجديد، خصوصاً في المواقع المعتادة على العمل الورقي.</w:t>
      </w:r>
    </w:p>
    <w:p>
      <w:pPr>
        <w:pStyle w:val="ListParagraph"/>
        <w:numPr>
          <w:ilvl w:val="0"/>
          <w:numId w:val="2"/>
        </w:numPr>
        <w:bidi/>
        <w:spacing w:after="100"/>
        <w:jc w:val="right"/>
      </w:pPr>
      <w:r>
        <w:rPr>
          <w:rFonts w:ascii="Arial" w:cs="Arial" w:eastAsia="Arial" w:hAnsi="Arial"/>
          <w:sz w:val="22"/>
          <w:szCs w:val="22"/>
        </w:rPr>
        <w:t xml:space="preserve">ضرورة توفر بنية تحتية للشبكة الداخلية في كل المواقع والحقول لضمان استمرارية التسجيل اللحظي.</w:t>
      </w:r>
    </w:p>
    <w:p>
      <w:pPr>
        <w:pStyle w:val="ListParagraph"/>
        <w:numPr>
          <w:ilvl w:val="0"/>
          <w:numId w:val="2"/>
        </w:numPr>
        <w:bidi/>
        <w:spacing w:after="100"/>
        <w:jc w:val="right"/>
      </w:pPr>
      <w:r>
        <w:rPr>
          <w:rFonts w:ascii="Arial" w:cs="Arial" w:eastAsia="Arial" w:hAnsi="Arial"/>
          <w:sz w:val="22"/>
          <w:szCs w:val="22"/>
        </w:rPr>
        <w:t xml:space="preserve">التوقيع الإلكتروني للتصاريح يتطلب إطاراً تنظيمياً معتمداً من الوزارة لضمان حجيته الرسمية.</w:t>
      </w:r>
    </w:p>
    <w:p>
      <w:r>
        <w:br w:type="page"/>
      </w:r>
    </w:p>
    <w:p>
      <w:pPr>
        <w:pStyle w:val="Heading1"/>
        <w:pBdr>
          <w:bottom w:val="single" w:color="1F3864" w:sz="8" w:space="4"/>
        </w:pBdr>
        <w:bidi/>
        <w:spacing w:after="200" w:before="400"/>
        <w:jc w:val="right"/>
      </w:pPr>
      <w:r>
        <w:rPr>
          <w:rFonts w:ascii="Arial" w:cs="Arial" w:eastAsia="Arial" w:hAnsi="Arial"/>
          <w:b/>
          <w:bCs/>
          <w:color w:val="1F3864"/>
          <w:sz w:val="32"/>
          <w:szCs w:val="32"/>
        </w:rPr>
        <w:t xml:space="preserve">٤. مقارنة عامة بين الفكرتين</w:t>
      </w:r>
    </w:p>
    <w:tbl>
      <w:tblPr>
        <w:bidiVisual/>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700"/>
      </w:tblGrid>
      <w:tr>
        <w:trPr>
          <w:tblHeader/>
        </w:trPr>
        <w:tc>
          <w:tcPr>
            <w:tcW w:type="dxa" w:w="24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المعيار</w:t>
            </w:r>
          </w:p>
        </w:tc>
        <w:tc>
          <w:tcPr>
            <w:tcW w:type="dxa" w:w="37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الفكرة الأولى (PROSPER + الذكاء الاصطناعي)</w:t>
            </w:r>
          </w:p>
        </w:tc>
        <w:tc>
          <w:tcPr>
            <w:tcW w:type="dxa" w:w="3700"/>
            <w:shd w:fill="1F3864" w:val="clear"/>
            <w:tcMar>
              <w:top w:type="dxa" w:w="100"/>
              <w:left w:type="dxa" w:w="120"/>
              <w:bottom w:type="dxa" w:w="100"/>
              <w:right w:type="dxa" w:w="120"/>
            </w:tcMar>
            <w:vAlign w:val="center"/>
          </w:tcPr>
          <w:p>
            <w:pPr>
              <w:bidi/>
              <w:jc w:val="right"/>
            </w:pPr>
            <w:r>
              <w:rPr>
                <w:rFonts w:ascii="Arial" w:cs="Arial" w:eastAsia="Arial" w:hAnsi="Arial"/>
                <w:b/>
                <w:bCs/>
                <w:color w:val="FFFFFF"/>
                <w:sz w:val="20"/>
                <w:szCs w:val="20"/>
              </w:rPr>
              <w:t xml:space="preserve">الفكرة الثانية (المنصة الرقمية الإدارية)</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النطاق</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تقني-هندسي متخصص في هندسة إنتاج الحقول</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إداري-تشغيلي عام على مستوى الوزارة بالكامل</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الجمهور المستهدف</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مهندسو الإنتاج وإدارات الحقول</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جميع الموظفين والمديريات</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التعقيد التقني</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عالٍ (تكامل مع برنامج مرخّص ونماذج ذكاء اصطناعي متخصصة)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متوسط (نظام إدارة طلبات وسير عمل قياسي)</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الاعتماد على أطراف خارجية</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نعم — يتطلب ترخيص وتكامل مع Petroleum Experts</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لا — يمكن بناؤه بالكامل بأدوات داخلية</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مدة التنفيذ التقديرية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أطول نسبياً؛ يحتاج بيانات حقلية وشراكة تقنية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أقصر نسبياً؛ نظام ويب قياسي</w:t>
            </w:r>
          </w:p>
        </w:tc>
      </w:tr>
      <w:tr>
        <w:tc>
          <w:tcPr>
            <w:tcW w:type="dxa" w:w="24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الأثر المباشر</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تحسين الإنتاج وإطالة عمر الحقول</w:t>
            </w:r>
          </w:p>
        </w:tc>
        <w:tc>
          <w:tcPr>
            <w:tcW w:type="dxa" w:w="3700"/>
            <w:shd w:fill="F2F2F2" w:val="clear"/>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كفاءة تشغيلية وتوفير تكاليف وشفافية ومساءلة</w:t>
            </w:r>
          </w:p>
        </w:tc>
      </w:tr>
      <w:tr>
        <w:tc>
          <w:tcPr>
            <w:tcW w:type="dxa" w:w="24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الجهة المستفيدة الأساسية</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شركات الاستخراج وإدارات الحقول</w:t>
            </w:r>
          </w:p>
        </w:tc>
        <w:tc>
          <w:tcPr>
            <w:tcW w:type="dxa" w:w="3700"/>
            <w:tcMar>
              <w:top w:type="dxa" w:w="100"/>
              <w:left w:type="dxa" w:w="120"/>
              <w:bottom w:type="dxa" w:w="100"/>
              <w:right w:type="dxa" w:w="120"/>
            </w:tcMar>
            <w:vAlign w:val="center"/>
          </w:tcPr>
          <w:p>
            <w:pPr>
              <w:bidi/>
              <w:jc w:val="right"/>
            </w:pPr>
            <w:r>
              <w:rPr>
                <w:rFonts w:ascii="Arial" w:cs="Arial" w:eastAsia="Arial" w:hAnsi="Arial"/>
                <w:b w:val="false"/>
                <w:bCs w:val="false"/>
                <w:color w:val="000000"/>
                <w:sz w:val="20"/>
                <w:szCs w:val="20"/>
              </w:rPr>
              <w:t xml:space="preserve">الإدارة العامة والموارد البشرية في كل الوزارة</w:t>
            </w:r>
          </w:p>
        </w:tc>
      </w:tr>
    </w:tbl>
    <w:p>
      <w:pPr>
        <w:pStyle w:val="Heading1"/>
        <w:pBdr>
          <w:bottom w:val="single" w:color="1F3864" w:sz="8" w:space="4"/>
        </w:pBdr>
        <w:bidi/>
        <w:spacing w:after="200" w:before="400"/>
        <w:jc w:val="right"/>
      </w:pPr>
      <w:r>
        <w:rPr>
          <w:rFonts w:ascii="Arial" w:cs="Arial" w:eastAsia="Arial" w:hAnsi="Arial"/>
          <w:b/>
          <w:bCs/>
          <w:color w:val="1F3864"/>
          <w:sz w:val="32"/>
          <w:szCs w:val="32"/>
        </w:rPr>
        <w:t xml:space="preserve">٥. التوصية والخاتمة</w:t>
      </w:r>
    </w:p>
    <w:p>
      <w:pPr>
        <w:bidi/>
        <w:spacing w:after="160" w:before="0"/>
        <w:jc w:val="right"/>
      </w:pPr>
      <w:r>
        <w:rPr>
          <w:rFonts w:ascii="Arial" w:cs="Arial" w:eastAsia="Arial" w:hAnsi="Arial"/>
          <w:b w:val="false"/>
          <w:bCs w:val="false"/>
          <w:i w:val="false"/>
          <w:iCs w:val="false"/>
          <w:color w:val="000000"/>
          <w:sz w:val="22"/>
          <w:szCs w:val="22"/>
        </w:rPr>
        <w:t xml:space="preserve">تعالج كلتا الفكرتين مشكلة حقيقية غير محلولة رقمياً حالياً في وزارة النفط، لكن على مستويين مختلفين تماماً: الفكرة الأولى تقنية-هندسية متخصصة تستهدف تحسين الإنتاج على مستوى الحقل والبئر، بينما الفكرة الثانية إدارية-تشغيلية عامة تخدم كل موظفي الوزارة وتبني أساساً رقمياً (قاعدة بيانات مركزية) يخدم أي مبادرة تحوّل رقمي مستقبلية أخرى.</w:t>
      </w:r>
    </w:p>
    <w:p>
      <w:pPr>
        <w:bidi/>
        <w:spacing w:after="160" w:before="0"/>
        <w:jc w:val="right"/>
      </w:pPr>
      <w:r>
        <w:rPr>
          <w:rFonts w:ascii="Arial" w:cs="Arial" w:eastAsia="Arial" w:hAnsi="Arial"/>
          <w:b w:val="false"/>
          <w:bCs w:val="false"/>
          <w:i w:val="false"/>
          <w:iCs w:val="false"/>
          <w:color w:val="000000"/>
          <w:sz w:val="22"/>
          <w:szCs w:val="22"/>
        </w:rPr>
        <w:t xml:space="preserve">يُوصى بتقديم الفكرة الثانية كخطوة أولى سريعة الأثر وواضحة القيمة (Quick Win)، نظراً لسهولة تنفيذها النسبية وانخفاض اعتمادها على أطراف ثالثة، مع طرح الفكرة الأولى كرؤية استراتيجية أعمق توضح عمق الخبرة التقنية والفهم الهندسي المتخصص لدى مقدّم الفكرتين.</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2026-08-26T05:59:20.086Z</dcterms:created>
  <dcterms:modified xsi:type="dcterms:W3CDTF">2026-08-26T05:59:20.086Z</dcterms:modified>
</cp:coreProperties>
</file>

<file path=docProps/custom.xml><?xml version="1.0" encoding="utf-8"?>
<Properties xmlns="http://schemas.openxmlformats.org/officeDocument/2006/custom-properties" xmlns:vt="http://schemas.openxmlformats.org/officeDocument/2006/docPropsVTypes"/>
</file>