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3588"/>
          <w:sz w:val="48"/>
          <w:szCs w:val="48"/>
        </w:rPr>
        <w:t xml:space="preserve">TrustCare Support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Master Website Documentation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Internal Reference — Website Structure, Content &amp; Maintenance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ABN: 18 809 341 867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Perth, Western Australia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admin@trustcaresupport.com.au  |  0432 014 162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| March 2025</w:t>
      </w:r>
    </w:p>
    <w:p>
      <w:r>
        <w:br w:type="page"/>
      </w:r>
    </w:p>
    <w:p>
      <w:pPr>
        <w:pStyle w:val="Heading1"/>
      </w:pPr>
      <w:r>
        <w:t xml:space="preserve">1. Website Overview</w:t>
      </w:r>
    </w:p>
    <w:p>
      <w:r>
        <w:rPr>
          <w:rFonts w:ascii="Arial" w:cs="Arial" w:eastAsia="Arial" w:hAnsi="Arial"/>
          <w:sz w:val="22"/>
          <w:szCs w:val="22"/>
        </w:rPr>
        <w:t xml:space="preserve">TrustCare Support operates a static website built with Jekyll 4.3 and hosted on Netlify. The site is version-controlled on GitHub and uses Decap CMS for non-technical content editing.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URL: https://trustcaresupport.com.au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GitHub: github.com/abassaj89-eng/TrustCare_NursingServices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CMS Admin: https://trustcaresupport.com.au/admin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Netlify: auto-deploys on every push to main branch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Jekyll version: 4.3 (Ruby 3.2.0, Bundler)</w:t>
      </w:r>
    </w:p>
    <w:p>
      <w:r>
        <w:t xml:space="preserve"/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Static site generator: Jekyll 4.3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Hosting: Netlify (CDN, security headers, form handling via Netlify identity)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CMS: Decap CMS (git-gateway backend — commits directly to GitHub)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control: GitHub (repository: abassaj89-eng/TrustCare_NursingServices)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Forms: Formspree (5 endpoints with honeypot and reCAPTCHA)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reCAPTCHA: Google reCAPTCHA v2 (site key stored in _config.yml)</w:t>
      </w:r>
    </w:p>
    <w:p>
      <w:r>
        <w:t xml:space="preserve"/>
      </w:r>
    </w:p>
    <w:p>
      <w:pPr>
        <w:pStyle w:val="Heading1"/>
      </w:pPr>
      <w:r>
        <w:t xml:space="preserve">2. Site Architecture</w:t>
      </w:r>
    </w:p>
    <w:p>
      <w:pPr>
        <w:pStyle w:val="Heading2"/>
      </w:pPr>
      <w:r>
        <w:t xml:space="preserve">Wizard-Page Layout</w:t>
      </w:r>
    </w:p>
    <w:p>
      <w:r>
        <w:rPr>
          <w:rFonts w:ascii="Arial" w:cs="Arial" w:eastAsia="Arial" w:hAnsi="Arial"/>
          <w:sz w:val="22"/>
          <w:szCs w:val="22"/>
        </w:rPr>
        <w:t xml:space="preserve">The main site (index.html) uses a single-page architecture. Each section is a div.wizard-page hidden by default. JavaScript swaps visibility on navigation clicks — no page reload occurs. Standalone service and legal pages are separate .html files using the default Jekyll layout.</w:t>
      </w:r>
    </w:p>
    <w:p>
      <w:r>
        <w:t xml:space="preserve"/>
      </w:r>
    </w:p>
    <w:p>
      <w:pPr>
        <w:pStyle w:val="Heading2"/>
      </w:pPr>
      <w:r>
        <w:t xml:space="preserve">Data-Driven Content</w:t>
      </w:r>
    </w:p>
    <w:p>
      <w:r>
        <w:rPr>
          <w:rFonts w:ascii="Arial" w:cs="Arial" w:eastAsia="Arial" w:hAnsi="Arial"/>
          <w:sz w:val="22"/>
          <w:szCs w:val="22"/>
        </w:rPr>
        <w:t xml:space="preserve">All editable content lives in _data/*.yml. Jekyll injects it via Liquid tags. The four service groups (services_a through services_d), team, board, high-intensity supports, and all legal pages are driven entirely by YAML — the HTML structure does not need changing when content changes.</w:t>
      </w:r>
    </w:p>
    <w:p>
      <w:r>
        <w:t xml:space="preserve"/>
      </w:r>
    </w:p>
    <w:p>
      <w:pPr>
        <w:pStyle w:val="Heading2"/>
      </w:pPr>
      <w:r>
        <w:t xml:space="preserve">Collections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_posts/ — Blog articles (rendered via _layouts/post.html, dated slugs, public)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_jobs/ — Job listings (front matter only, output: false, rendered via Liquid loop)</w:t>
      </w:r>
    </w:p>
    <w:p>
      <w:r>
        <w:t xml:space="preserve"/>
      </w:r>
    </w:p>
    <w:p>
      <w:pPr>
        <w:pStyle w:val="Heading1"/>
      </w:pPr>
      <w:r>
        <w:t xml:space="preserve">3. Key Files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Via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site structure — all wizard pages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/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styles.css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CSS styling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/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JS (page switching, form validation, scroll reveal)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/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_config.yml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Jekyll settings — site title, URL, permalink structure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only (do not change url:)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netlify.toml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command, Ruby version, JEKYLL_ENV, redirect rules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/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_headers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HTTP security headers (CSP, HSTS, X-Frame-Options)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admin/config.yml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Decap CMS field definitions for all collections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/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_data/*.yml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editable content (services, team, legal pages, testimonials)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Decap CMS /admin or direct GitHub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_layouts/default.html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layout — head, header, footer, JSON-LD schema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/ GitHub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Content Management</w:t>
      </w:r>
    </w:p>
    <w:p>
      <w:pPr>
        <w:pStyle w:val="Heading2"/>
      </w:pPr>
      <w:r>
        <w:t xml:space="preserve">Accessing the CMS</w:t>
      </w:r>
    </w:p>
    <w:p>
      <w:r>
        <w:rPr>
          <w:rFonts w:ascii="Arial" w:cs="Arial" w:eastAsia="Arial" w:hAnsi="Arial"/>
          <w:sz w:val="22"/>
          <w:szCs w:val="22"/>
        </w:rPr>
        <w:t xml:space="preserve">Navigate to https://trustcaresupport.com.au/admin. Log in with your GitHub account (must be a collaborator on the repository). Decap CMS provides a visual editor for all YAML data files.</w:t>
      </w:r>
    </w:p>
    <w:p>
      <w:r>
        <w:t xml:space="preserve"/>
      </w:r>
    </w:p>
    <w:p>
      <w:pPr>
        <w:pStyle w:val="Heading2"/>
      </w:pPr>
      <w:r>
        <w:t xml:space="preserve">CMS Collections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Blog Posts — Create, edit, and publish blog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Listings — Add/remove active job postings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 (Groups A-D) — Edit service descriptions, features, and icons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Intensity (HIDPA) — Edit the 9 HIDPA skill area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About Page — Edit story, values, team bios, and advisory 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Legal &amp; Compliance — Edit Privacy Policy, Terms, and other legal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Testimonials — Add/edit provider testimonial cards</w:t>
      </w:r>
    </w:p>
    <w:p>
      <w:r>
        <w:t xml:space="preserve"/>
      </w:r>
    </w:p>
    <w:p>
      <w:pPr>
        <w:pStyle w:val="Heading2"/>
      </w:pPr>
      <w:r>
        <w:t xml:space="preserve">Publishing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 in to https://trustcaresupport.com.au/admin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the relevant collection and item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Make edits using the visual editor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Publish — this commits the YAML change directly to the GitHub main branch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Netlify detects the new commit and rebuilds the site (approximately 2-3 minutes)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changes live at trustcaresupport.com.au</w:t>
      </w:r>
    </w:p>
    <w:p>
      <w:r>
        <w:t xml:space="preserve"/>
      </w:r>
    </w:p>
    <w:p>
      <w:pPr>
        <w:pStyle w:val="Heading1"/>
      </w:pPr>
      <w:r>
        <w:t xml:space="preserve">5.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5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Nursing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/community-nursing/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RN home visits, wound care, medication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Intensity (HIDPA)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/high-intensity/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9 HIDPA skill areas, training and competency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Tracheostomy Care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/tracheostomy-care/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Trach suctioning, inner cannula, stoma care, emergency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 Care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/wound-care/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wound assessment and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Catheter Management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/catheter-management/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IDC/SPC insertion, maintenance, trial without catheter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Bowel Care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/bowel-care/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bowel management including digital removal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Support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/medication-support/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S4/S8 administration, Webster packing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Continence Assessment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/continence-assessment/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Continence assessment and personalised care planning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Education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/training/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training and competency assessment for support workers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Nursing Subcontractor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/ndis-nursing-subcontractor/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subcontracting model explained for registered providers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SEO &amp; Meta</w:t>
      </w:r>
    </w:p>
    <w:p>
      <w:pPr>
        <w:pStyle w:val="Heading2"/>
      </w:pPr>
      <w:r>
        <w:t xml:space="preserve">Meta Descriptions</w:t>
      </w:r>
    </w:p>
    <w:p>
      <w:r>
        <w:rPr>
          <w:rFonts w:ascii="Arial" w:cs="Arial" w:eastAsia="Arial" w:hAnsi="Arial"/>
          <w:sz w:val="22"/>
          <w:szCs w:val="22"/>
        </w:rPr>
        <w:t xml:space="preserve">Every page includes a unique meta description (150-160 characters) set in the page front matter. The description field in front matter is used for both the meta description and Open Graph description.</w:t>
      </w:r>
    </w:p>
    <w:p>
      <w:r>
        <w:t xml:space="preserve"/>
      </w:r>
    </w:p>
    <w:p>
      <w:pPr>
        <w:pStyle w:val="Heading2"/>
      </w:pPr>
      <w:r>
        <w:t xml:space="preserve">Canonical URLs</w:t>
      </w:r>
    </w:p>
    <w:p>
      <w:r>
        <w:rPr>
          <w:rFonts w:ascii="Arial" w:cs="Arial" w:eastAsia="Arial" w:hAnsi="Arial"/>
          <w:sz w:val="22"/>
          <w:szCs w:val="22"/>
        </w:rPr>
        <w:t xml:space="preserve">Every page sets a canonical URL in its front matter (canonical: https://trustcaresupport.com.au/page/). This prevents duplicate content penalties from www vs non-www variations.</w:t>
      </w:r>
    </w:p>
    <w:p>
      <w:r>
        <w:t xml:space="preserve"/>
      </w:r>
    </w:p>
    <w:p>
      <w:pPr>
        <w:pStyle w:val="Heading2"/>
      </w:pPr>
      <w:r>
        <w:t xml:space="preserve">JSON-LD Schema</w:t>
      </w:r>
    </w:p>
    <w:p>
      <w:r>
        <w:rPr>
          <w:rFonts w:ascii="Arial" w:cs="Arial" w:eastAsia="Arial" w:hAnsi="Arial"/>
          <w:sz w:val="22"/>
          <w:szCs w:val="22"/>
        </w:rPr>
        <w:t xml:space="preserve">A LocalBusiness JSON-LD schema is embedded in _layouts/default.html. It identifies TrustCare Support as a LocalBusiness with ABN, address, phone, email, URL, and service area (Perth, WA). Update this schema if contact details change.</w:t>
      </w:r>
    </w:p>
    <w:p>
      <w:r>
        <w:t xml:space="preserve"/>
      </w:r>
    </w:p>
    <w:p>
      <w:pPr>
        <w:pStyle w:val="Heading2"/>
      </w:pPr>
      <w:r>
        <w:t xml:space="preserve">Open Graph</w:t>
      </w:r>
    </w:p>
    <w:p>
      <w:r>
        <w:rPr>
          <w:rFonts w:ascii="Arial" w:cs="Arial" w:eastAsia="Arial" w:hAnsi="Arial"/>
          <w:sz w:val="22"/>
          <w:szCs w:val="22"/>
        </w:rPr>
        <w:t xml:space="preserve">OG tags (og:title, og:description, og:image, og:image:width 1200, og:image:height 630) are set per-page using front matter. The default OG image is /images/og-image.jpg.</w:t>
      </w:r>
    </w:p>
    <w:p>
      <w:r>
        <w:t xml:space="preserve"/>
      </w:r>
    </w:p>
    <w:p>
      <w:pPr>
        <w:pStyle w:val="Heading1"/>
      </w:pPr>
      <w:r>
        <w:t xml:space="preserve">7. Forms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Formspree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 Formspree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Honeypot, reCAPTCHA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referral.html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 Formspree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Honeypot, reCAPTCHA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Careers / Apply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Careers section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 Formspree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Enquiry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high-intensity.html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 Formspree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ndis-nursing-subcontractor.html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 Formspree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Honeypot, reCAPTCHA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 change a form's destination email, update it in the Formspree dashboard — no code change is required. Formspree retains submissions for 90 days on the free plan.</w:t>
      </w:r>
    </w:p>
    <w:p>
      <w:r>
        <w:t xml:space="preserve"/>
      </w:r>
    </w:p>
    <w:p>
      <w:pPr>
        <w:pStyle w:val="Heading1"/>
      </w:pPr>
      <w:r>
        <w:t xml:space="preserve">8. Netlify Configuration</w:t>
      </w:r>
    </w:p>
    <w:p>
      <w:pPr>
        <w:pStyle w:val="Heading2"/>
      </w:pPr>
      <w:r>
        <w:t xml:space="preserve">Build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command: bundle exec jekyll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Publish directory: _site/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Ruby version: 3.2.0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Environment: JEKYLL_ENV=production</w:t>
      </w:r>
    </w:p>
    <w:p>
      <w:r>
        <w:t xml:space="preserve"/>
      </w:r>
    </w:p>
    <w:p>
      <w:pPr>
        <w:pStyle w:val="Heading2"/>
      </w:pPr>
      <w:r>
        <w:t xml:space="preserve">Redirects</w:t>
      </w:r>
    </w:p>
    <w:p>
      <w:r>
        <w:rPr>
          <w:rFonts w:ascii="Arial" w:cs="Arial" w:eastAsia="Arial" w:hAnsi="Arial"/>
          <w:sz w:val="22"/>
          <w:szCs w:val="22"/>
        </w:rPr>
        <w:t xml:space="preserve">netlify.toml contains approximately 20 redirect rules: (1) www to non-www canonical, (2) service page aliases for incoming links, (3) trailing-slash normalisation. All use HTTP 301 permanent redirects.</w:t>
      </w:r>
    </w:p>
    <w:p>
      <w:r>
        <w:t xml:space="preserve"/>
      </w:r>
    </w:p>
    <w:p>
      <w:pPr>
        <w:pStyle w:val="Heading2"/>
      </w:pPr>
      <w:r>
        <w:t xml:space="preserve">Security Headers</w:t>
      </w:r>
    </w:p>
    <w:p>
      <w:r>
        <w:rPr>
          <w:rFonts w:ascii="Arial" w:cs="Arial" w:eastAsia="Arial" w:hAnsi="Arial"/>
          <w:sz w:val="22"/>
          <w:szCs w:val="22"/>
        </w:rPr>
        <w:t xml:space="preserve">The _headers file applies CDN-level security headers to all pages. To allow a new external script domain, update the script-src directive in _headers and push to GitHub.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Content-Security-Policy (CSP) — controls which domains can load scripts, styles,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Strict-Transport-Security — enforces HTTPS (max-age 31536000, includeSubDomains)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X-Frame-Options: DENY — prevents clickjacking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X-Content-Type-Options: nosniff — prevents MIME-type sniffing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Referrer-Policy: strict-origin-when-cross-origin</w:t>
      </w:r>
    </w:p>
    <w:p>
      <w:r>
        <w:t xml:space="preserve"/>
      </w:r>
    </w:p>
    <w:p>
      <w:pPr>
        <w:pStyle w:val="Heading1"/>
      </w:pPr>
      <w:r>
        <w:t xml:space="preserve">9. Deployment Process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 commit is pushed to the main branch on GitHub (via code editor or Decap CMS)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Netlify detects the new commit via GitHub webhook (configured automatically)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Netlify runs: bundle exec jekyll build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build succeeds, the _site/ output is deployed to Netlify CDN globally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Live site is updated within 2-3 minutes of the commit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build fails, Netlify sends an email alert — the previous deploy remains live</w:t>
      </w:r>
    </w:p>
    <w:p>
      <w:r>
        <w:t xml:space="preserve"/>
      </w:r>
    </w:p>
    <w:p>
      <w:pPr>
        <w:pStyle w:val="Heading2"/>
      </w:pPr>
      <w:r>
        <w:t xml:space="preserve">Local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Prerequisites: Ruby 3.2.0, Bundler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Install: bundle 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locally: bundle exec jekyll serve (available at http://localhost:4000)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only: bundle exec jekyll build (outputs to _site/)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pull before pushing: git pull origin main --rebase</w:t>
      </w:r>
    </w:p>
    <w:p>
      <w:r>
        <w:t xml:space="preserve"/>
      </w:r>
    </w:p>
    <w:p>
      <w:pPr>
        <w:pStyle w:val="Heading1"/>
      </w:pPr>
      <w:r>
        <w:t xml:space="preserve">10. Maintenance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5 Formspree form submissions end-to-end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Netlify deploy logs for build errors or warnings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broken links using a link checker tool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update all service page content for clinical accuracy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NDIS pricing rates when new pricing arrangements are released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meta descriptions and SEO performance in Google Search Console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Privacy Policy against latest Privacy Act amendments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Terms &amp; Conditions and Service Agreement template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HIDPA content against NDIS Commission Skills Descriptors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reCAPTCHA keys if compromised or keys are expiring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Appendix A: All Page URLs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Title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Nursing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https://trustcaresupport.com.au/community-nursing/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Intensity (HIDPA)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https://trustcaresupport.com.au/high-intensity/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Tracheostomy Care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https://trustcaresupport.com.au/tracheostomy-care/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 Care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https://trustcaresupport.com.au/wound-care/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Catheter Management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https://trustcaresupport.com.au/catheter-management/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Bowel Care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https://trustcaresupport.com.au/bowel-care/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Support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https://trustcaresupport.com.au/medication-support/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Continence Assessment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https://trustcaresupport.com.au/continence-assessment/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Education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https://trustcaresupport.com.au/training/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Nursing Subcontractor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https://trustcaresupport.com.au/ndis-nursing-subcontractor/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https://trustcaresupport.com.au/about/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https://trustcaresupport.com.au/governance/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https://trustcaresupport.com.au/referral/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https://trustcaresupport.com.au/careers/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https://trustcaresupport.com.au/compliance/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https://trustcaresupport.com.au/privacy/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https://trustcaresupport.com.au/terms/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Agreement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https://trustcaresupport.com.au/service-agreement/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Rights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https://trustcaresupport.com.au/rights/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Screening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https://trustcaresupport.com.au/worker-screening/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Management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https://trustcaresupport.com.au/incident/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Rights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https://trustcaresupport.com.au/provider-rights/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https://trustcaresupport.com.au/contact/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https://trustcaresupport.com.au/blog/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Appendix B: YAML Data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CMS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_data/services_a.yml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care service cards (Group A)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&gt; Group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_data/services_b.yml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service cards (Group B)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&gt; Group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_data/services_c.yml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service cards (Group C)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&gt; Group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_data/services_d.yml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service cards (Group D)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&gt; Group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_data/hi_supports.yml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HIDPA skill area cards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Intensity (HIDPA)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_data/about.yml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— story, values, team bios, board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_data/testimonials.yml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testimonial cards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_data/legal_privacy.yml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full content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_data/legal_terms.yml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&amp; Conditions full content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_data/legal_service_agreement.yml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Agreement content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588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Version 1.0 | March 2025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588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TrustCare Support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Master Website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35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35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2026-03-31T15:44:10.578Z</dcterms:created>
  <dcterms:modified xsi:type="dcterms:W3CDTF">2026-03-31T15:44:10.580Z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