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003588"/>
          <w:sz w:val="48"/>
          <w:szCs w:val="48"/>
        </w:rPr>
        <w:t xml:space="preserve">TrustCare Support</w:t>
      </w:r>
    </w:p>
    <w:p>
      <w:r>
        <w:t xml:space="preserve"/>
      </w:r>
    </w:p>
    <w:p>
      <w:pPr>
        <w:jc w:val="center"/>
      </w:pPr>
      <w:r>
        <w:rPr>
          <w:rFonts w:ascii="Arial" w:cs="Arial" w:eastAsia="Arial" w:hAnsi="Arial"/>
          <w:b/>
          <w:bCs/>
          <w:sz w:val="36"/>
          <w:szCs w:val="36"/>
        </w:rPr>
        <w:t xml:space="preserve">How We Work</w:t>
      </w:r>
    </w:p>
    <w:p>
      <w:pPr>
        <w:jc w:val="center"/>
      </w:pPr>
      <w:r>
        <w:rPr>
          <w:rFonts w:ascii="Arial" w:cs="Arial" w:eastAsia="Arial" w:hAnsi="Arial"/>
          <w:color w:val="444444"/>
          <w:sz w:val="24"/>
          <w:szCs w:val="24"/>
        </w:rPr>
        <w:t xml:space="preserve">Service Delivery Model — NDIS Clinical Nursing Subcontracting</w:t>
      </w:r>
    </w:p>
    <w:p>
      <w:r>
        <w:t xml:space="preserve"/>
      </w:r>
    </w:p>
    <w:p>
      <w:r>
        <w:t xml:space="preserve"/>
      </w:r>
    </w:p>
    <w:p>
      <w:pPr>
        <w:jc w:val="center"/>
      </w:pPr>
      <w:r>
        <w:rPr>
          <w:rFonts w:ascii="Arial" w:cs="Arial" w:eastAsia="Arial" w:hAnsi="Arial"/>
          <w:color w:val="666666"/>
          <w:sz w:val="20"/>
          <w:szCs w:val="20"/>
        </w:rPr>
        <w:t xml:space="preserve">ABN: 18 809 341 867</w:t>
      </w:r>
    </w:p>
    <w:p>
      <w:pPr>
        <w:jc w:val="center"/>
      </w:pPr>
      <w:r>
        <w:rPr>
          <w:rFonts w:ascii="Arial" w:cs="Arial" w:eastAsia="Arial" w:hAnsi="Arial"/>
          <w:color w:val="666666"/>
          <w:sz w:val="20"/>
          <w:szCs w:val="20"/>
        </w:rPr>
        <w:t xml:space="preserve">Perth, Western Australia</w:t>
      </w:r>
    </w:p>
    <w:p>
      <w:pPr>
        <w:jc w:val="center"/>
      </w:pPr>
      <w:r>
        <w:rPr>
          <w:rFonts w:ascii="Arial" w:cs="Arial" w:eastAsia="Arial" w:hAnsi="Arial"/>
          <w:color w:val="666666"/>
          <w:sz w:val="20"/>
          <w:szCs w:val="20"/>
        </w:rPr>
        <w:t xml:space="preserve">admin@trustcaresupport.com.au  |  0432 014 162</w:t>
      </w:r>
    </w:p>
    <w:p>
      <w:r>
        <w:t xml:space="preserve"/>
      </w:r>
    </w:p>
    <w:p>
      <w:pPr>
        <w:jc w:val="center"/>
      </w:pPr>
      <w:r>
        <w:rPr>
          <w:rFonts w:ascii="Arial" w:cs="Arial" w:eastAsia="Arial" w:hAnsi="Arial"/>
          <w:color w:val="666666"/>
          <w:sz w:val="20"/>
          <w:szCs w:val="20"/>
        </w:rPr>
        <w:t xml:space="preserve">Version 1.0 | January 2025</w:t>
      </w:r>
    </w:p>
    <w:p>
      <w:r>
        <w:br w:type="page"/>
      </w:r>
    </w:p>
    <w:p>
      <w:pPr>
        <w:pStyle w:val="Heading1"/>
      </w:pPr>
      <w:r>
        <w:t xml:space="preserve">Executive Summary</w:t>
      </w:r>
    </w:p>
    <w:p>
      <w:r>
        <w:rPr>
          <w:rFonts w:ascii="Arial" w:cs="Arial" w:eastAsia="Arial" w:hAnsi="Arial"/>
          <w:sz w:val="22"/>
          <w:szCs w:val="22"/>
        </w:rPr>
        <w:t xml:space="preserve">TrustCare Support provides AHPRA-registered Registered Nurse (RN) clinical care as a subcontractor to registered NDIS providers across Perth, Western Australia. We operate exclusively in a B2B capacity — we never hold the NDIS participant's service agreement. You, the registered provider, retain the primary provider relationship and all associated obligations under the NDIS Act 2013.</w:t>
      </w:r>
    </w:p>
    <w:p>
      <w:r>
        <w:rPr>
          <w:rFonts w:ascii="Arial" w:cs="Arial" w:eastAsia="Arial" w:hAnsi="Arial"/>
          <w:sz w:val="22"/>
          <w:szCs w:val="22"/>
        </w:rPr>
        <w:t xml:space="preserve">Our role is to provide the clinical nursing expertise your organisation needs to support participants with complex and high-intensity needs, without the overhead of employing and credentialling RNs directly. TrustCare maintains its own AHPRA registration, professional indemnity insurance, and clinical governance framework — ensuring your clients receive safe, evidence-based nursing care that is fully compliant with the NDIS Practice Standards.</w:t>
      </w:r>
    </w:p>
    <w:p>
      <w:r>
        <w:rPr>
          <w:rFonts w:ascii="Arial" w:cs="Arial" w:eastAsia="Arial" w:hAnsi="Arial"/>
          <w:sz w:val="22"/>
          <w:szCs w:val="22"/>
        </w:rPr>
        <w:t xml:space="preserve">We deliver training, competency assessment, direct clinical care, and care planning across all 9 HIDPA skill areas, and provide community nursing services including wound care, medication management, catheter care, continence assessment, and complex care planning.</w:t>
      </w:r>
    </w:p>
    <w:p>
      <w:r>
        <w:t xml:space="preserve"/>
      </w:r>
    </w:p>
    <w:p>
      <w:pPr>
        <w:pStyle w:val="Heading1"/>
      </w:pPr>
      <w:r>
        <w:t xml:space="preserve">1. Our Role</w:t>
      </w:r>
    </w:p>
    <w:p>
      <w:pPr>
        <w:pStyle w:val="Heading2"/>
      </w:pPr>
      <w:r>
        <w:t xml:space="preserve">Subcontractor vs. Primary Provider</w:t>
      </w:r>
    </w:p>
    <w:p>
      <w:r>
        <w:rPr>
          <w:rFonts w:ascii="Arial" w:cs="Arial" w:eastAsia="Arial" w:hAnsi="Arial"/>
          <w:sz w:val="22"/>
          <w:szCs w:val="22"/>
        </w:rPr>
        <w:t xml:space="preserve">This distinction is fundamental to how TrustCare operates. Understanding it protects both parties and ensures NDIS compliance.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013"/>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Your Role (Registered Provider)</w:t>
            </w:r>
          </w:p>
        </w:tc>
        <w:tc>
          <w:tcPr>
            <w:tcW w:type="dxa" w:w="3013"/>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TrustCare's Role (Subcontractor)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NDIS Registration</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NDIS registration</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required — operates under your registration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Participant Agreement</w:t>
            </w:r>
          </w:p>
        </w:tc>
        <w:tc>
          <w:tcPr>
            <w:tcW w:type="dxa" w:w="30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Holds the service agreement with participant</w:t>
            </w:r>
          </w:p>
        </w:tc>
        <w:tc>
          <w:tcPr>
            <w:tcW w:type="dxa" w:w="30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No direct agreement with participant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Billing Participant</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Bills the participant's NDIS plan</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Invoices you (the provider) — not the participant</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Clinical Governance</w:t>
            </w:r>
          </w:p>
        </w:tc>
        <w:tc>
          <w:tcPr>
            <w:tcW w:type="dxa" w:w="30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Maintains overall governance responsibility</w:t>
            </w:r>
          </w:p>
        </w:tc>
        <w:tc>
          <w:tcPr>
            <w:tcW w:type="dxa" w:w="30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Maintains own AHPRA registration and indemnity insurance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Incident Reporting</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Reports reportable incidents to NDIS Commission</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Notifies you of all incidents; provides full documentation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NDIS Code of Conduct</w:t>
            </w:r>
          </w:p>
        </w:tc>
        <w:tc>
          <w:tcPr>
            <w:tcW w:type="dxa" w:w="30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Bound by Code of Conduct</w:t>
            </w:r>
          </w:p>
        </w:tc>
        <w:tc>
          <w:tcPr>
            <w:tcW w:type="dxa" w:w="30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Also bound by Code of Conduct (applies to all NDIS workers)</w:t>
            </w:r>
          </w:p>
        </w:tc>
      </w:tr>
    </w:tbl>
    <w:p>
      <w:r>
        <w:t xml:space="preserve"/>
      </w:r>
    </w:p>
    <w:p>
      <w:pPr>
        <w:pStyle w:val="Heading1"/>
      </w:pPr>
      <w:r>
        <w:t xml:space="preserve">2. Referral to Service Commencement</w:t>
      </w:r>
    </w:p>
    <w:p>
      <w:r>
        <w:rPr>
          <w:rFonts w:ascii="Arial" w:cs="Arial" w:eastAsia="Arial" w:hAnsi="Arial"/>
          <w:sz w:val="22"/>
          <w:szCs w:val="22"/>
        </w:rPr>
        <w:t xml:space="preserve">TrustCare operates a structured 5-step intake and commencement process to ensure every participant receives safe, personalised care from day one.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3526"/>
        <w:gridCol w:w="2000"/>
      </w:tblGrid>
      <w:tr>
        <w:tc>
          <w:tcPr>
            <w:tcW w:type="dxa" w:w="10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5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26"/>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0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Referral</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submits referral via online form at trustcaresupport.com.au/referral or by phone/email. Include participant name, NDIS number, primary diagnosis, and support needed.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business day acknowledgment</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Intake &amp; Assessment</w:t>
            </w:r>
          </w:p>
        </w:tc>
        <w:tc>
          <w:tcPr>
            <w:tcW w:type="dxa" w:w="3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TrustCare RN reviews referral and contacts provider to arrange participant assessment. Initial needs assessment completed at participant's home or supported accommodation.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Within 3 business days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Care Plan Development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RN develops a personalised nursing care plan addressing the participant's clinical needs, goals, and HIDPA requirements. Shared with provider and participant/guardian.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5 business days of assessment</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Worker Competency</w:t>
            </w:r>
          </w:p>
        </w:tc>
        <w:tc>
          <w:tcPr>
            <w:tcW w:type="dxa" w:w="3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Where HIDPA supports are required, TrustCare assesses and/or trains the provider's support workers. Competency sign-off provided per NDIS Skills Descriptors.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Scheduled within 7 days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Delivery</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nursing visits commence per the agreed care plan. Progress notes, clinical documentation, and competency records maintained by TrustCare.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 per care plan</w:t>
            </w:r>
          </w:p>
        </w:tc>
      </w:tr>
    </w:tbl>
    <w:p>
      <w:r>
        <w:t xml:space="preserve"/>
      </w:r>
    </w:p>
    <w:p>
      <w:pPr>
        <w:pStyle w:val="Heading1"/>
      </w:pPr>
      <w:r>
        <w:t xml:space="preserve">3. Clinical Governance</w:t>
      </w:r>
    </w:p>
    <w:p>
      <w:pPr>
        <w:pStyle w:val="Heading2"/>
      </w:pPr>
      <w:r>
        <w:t xml:space="preserve">AHPRA Registration</w:t>
      </w:r>
    </w:p>
    <w:p>
      <w:r>
        <w:rPr>
          <w:rFonts w:ascii="Arial" w:cs="Arial" w:eastAsia="Arial" w:hAnsi="Arial"/>
          <w:sz w:val="22"/>
          <w:szCs w:val="22"/>
        </w:rPr>
        <w:t xml:space="preserve">All nursing services are delivered by or under the supervision of AHPRA-registered Registered Nurses. TrustCare maintains current AHPRA registration and provides certificates of currency to provider partners on request. Our RNs practise in accordance with the Nursing and Midwifery Board of Australia (NMBA) Registered Nurse Standards for Practice.</w:t>
      </w:r>
    </w:p>
    <w:p>
      <w:r>
        <w:t xml:space="preserve"/>
      </w:r>
    </w:p>
    <w:p>
      <w:pPr>
        <w:pStyle w:val="Heading2"/>
      </w:pPr>
      <w:r>
        <w:t xml:space="preserve">Professional Indemnity Insurance</w:t>
      </w:r>
    </w:p>
    <w:p>
      <w:r>
        <w:rPr>
          <w:rFonts w:ascii="Arial" w:cs="Arial" w:eastAsia="Arial" w:hAnsi="Arial"/>
          <w:sz w:val="22"/>
          <w:szCs w:val="22"/>
        </w:rPr>
        <w:t xml:space="preserve">TrustCare holds professional indemnity insurance of $5 million per claim and public liability insurance of $20 million. Certificates of currency are available on request and are provided as part of the subcontracting agreement.</w:t>
      </w:r>
    </w:p>
    <w:p>
      <w:r>
        <w:t xml:space="preserve"/>
      </w:r>
    </w:p>
    <w:p>
      <w:pPr>
        <w:pStyle w:val="Heading2"/>
      </w:pPr>
      <w:r>
        <w:t xml:space="preserve">Clinical Supervision</w:t>
      </w:r>
    </w:p>
    <w:p>
      <w:r>
        <w:rPr>
          <w:rFonts w:ascii="Arial" w:cs="Arial" w:eastAsia="Arial" w:hAnsi="Arial"/>
          <w:sz w:val="22"/>
          <w:szCs w:val="22"/>
        </w:rPr>
        <w:t xml:space="preserve">All RNs working with TrustCare receive quarterly clinical supervision. Complex cases are reviewed more frequently. Supervision records are maintained and available to provider partners on reasonable request.</w:t>
      </w:r>
    </w:p>
    <w:p>
      <w:r>
        <w:t xml:space="preserve"/>
      </w:r>
    </w:p>
    <w:p>
      <w:pPr>
        <w:pStyle w:val="Heading1"/>
      </w:pPr>
      <w:r>
        <w:t xml:space="preserve">4. HIDPA Services</w:t>
      </w:r>
    </w:p>
    <w:p>
      <w:r>
        <w:rPr>
          <w:rFonts w:ascii="Arial" w:cs="Arial" w:eastAsia="Arial" w:hAnsi="Arial"/>
          <w:sz w:val="22"/>
          <w:szCs w:val="22"/>
        </w:rPr>
        <w:t xml:space="preserve">TrustCare delivers training, competency assessment, and direct clinical support across all 9 HIDPA skill areas as defined by the NDIS Quality and Safeguards Commission's High Intensity Support Skills Descriptors (revised February 2025).</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3263"/>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What TrustCare Does</w:t>
            </w:r>
          </w:p>
        </w:tc>
        <w:tc>
          <w:tcPr>
            <w:tcW w:type="dxa" w:w="3263"/>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What Support Workers Do Post-Training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Tracheostomy management</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Suctioning, inner cannula change, stoma care, emergency management, worker training and competency assessment</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Routine suctioning, stoma site care, emergency response per care plan — under RN-approved competency</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Ventilator management</w:t>
            </w:r>
          </w:p>
        </w:tc>
        <w:tc>
          <w:tcPr>
            <w:tcW w:type="dxa" w:w="326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Setup, circuit checks, alarms management, troubleshooting, emergency procedure, worker training</w:t>
            </w:r>
          </w:p>
        </w:tc>
        <w:tc>
          <w:tcPr>
            <w:tcW w:type="dxa" w:w="326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Routine circuit checks, alarm monitoring, immediate response per care plan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Seizure management</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Seizure response planning, medication administration (e.g., midazolam), worker training and competency</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 seizure management plan, administer rescue medication if trained, call 000 per protocol</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Subcutaneous injections</w:t>
            </w:r>
          </w:p>
        </w:tc>
        <w:tc>
          <w:tcPr>
            <w:tcW w:type="dxa" w:w="326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Administration of prescribed S4/S8 medications, worker training and competency assessment for appropriate medications</w:t>
            </w:r>
          </w:p>
        </w:tc>
        <w:tc>
          <w:tcPr>
            <w:tcW w:type="dxa" w:w="326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Administer subcutaneous injections for specific medications after RN competency sign-off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Enteral feeding (PEG/NGT)</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PEG site care, feed administration, tube patency checks, NGT insertion (RN only), worker training</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Administer feeds per care plan, routine site care, report complications</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Urinary catheter management</w:t>
            </w:r>
          </w:p>
        </w:tc>
        <w:tc>
          <w:tcPr>
            <w:tcW w:type="dxa" w:w="326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IDC/SPC insertion and removal, maintenance, TWOC, worker training and competency</w:t>
            </w:r>
          </w:p>
        </w:tc>
        <w:tc>
          <w:tcPr>
            <w:tcW w:type="dxa" w:w="326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Catheter bag emptying, routine care, monitoring for complications per care plan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Bowel care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Bowel assessment, manual evacuation, suppositories, enemas, care plan development, worker training</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Suppository administration, monitoring and recording — per competency</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Dysphagia support</w:t>
            </w:r>
          </w:p>
        </w:tc>
        <w:tc>
          <w:tcPr>
            <w:tcW w:type="dxa" w:w="326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Dysphagia assessment (RN), texture modification guidance, mealtime protocol development, worker training</w:t>
            </w:r>
          </w:p>
        </w:tc>
        <w:tc>
          <w:tcPr>
            <w:tcW w:type="dxa" w:w="326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Prepare texture-modified meals per SLT/RN protocol, mealtime supervision, aspiration monitoring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wound and skin care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Wound assessment, care plan, complex dressing changes, pressure injury prevention, wound review</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Dressing changes per wound care plan, skin integrity monitoring, escalation to RN when indicated</w:t>
            </w:r>
          </w:p>
        </w:tc>
      </w:tr>
    </w:tbl>
    <w:p>
      <w:r>
        <w:t xml:space="preserve"/>
      </w:r>
    </w:p>
    <w:p>
      <w:pPr>
        <w:pStyle w:val="Heading1"/>
      </w:pPr>
      <w:r>
        <w:t xml:space="preserve">5. Community Nursing Services</w:t>
      </w:r>
    </w:p>
    <w:p>
      <w:r>
        <w:rPr>
          <w:rFonts w:ascii="Arial" w:cs="Arial" w:eastAsia="Arial" w:hAnsi="Arial"/>
          <w:sz w:val="22"/>
          <w:szCs w:val="22"/>
        </w:rPr>
        <w:t xml:space="preserve">Beyond HIDPA, TrustCare provides a full range of community nursing services:</w:t>
      </w:r>
    </w:p>
    <w:p>
      <w:r>
        <w:t xml:space="preserve"/>
      </w:r>
    </w:p>
    <w:p>
      <w:pPr>
        <w:pStyle w:val="ListParagraph"/>
        <w:numPr>
          <w:ilvl w:val="0"/>
          <w:numId w:val="2"/>
        </w:numPr>
      </w:pPr>
      <w:r>
        <w:rPr>
          <w:rFonts w:ascii="Arial" w:cs="Arial" w:eastAsia="Arial" w:hAnsi="Arial"/>
          <w:sz w:val="22"/>
          <w:szCs w:val="22"/>
        </w:rPr>
        <w:t xml:space="preserve">Wound assessment and management (acute and chronic wounds, pressure injuries, surgical wounds)</w:t>
      </w:r>
    </w:p>
    <w:p>
      <w:pPr>
        <w:pStyle w:val="ListParagraph"/>
        <w:numPr>
          <w:ilvl w:val="0"/>
          <w:numId w:val="2"/>
        </w:numPr>
      </w:pPr>
      <w:r>
        <w:rPr>
          <w:rFonts w:ascii="Arial" w:cs="Arial" w:eastAsia="Arial" w:hAnsi="Arial"/>
          <w:sz w:val="22"/>
          <w:szCs w:val="22"/>
        </w:rPr>
        <w:t xml:space="preserve">Medication management (Webster packing, S4/S8 administration, medication review support)</w:t>
      </w:r>
    </w:p>
    <w:p>
      <w:pPr>
        <w:pStyle w:val="ListParagraph"/>
        <w:numPr>
          <w:ilvl w:val="0"/>
          <w:numId w:val="2"/>
        </w:numPr>
      </w:pPr>
      <w:r>
        <w:rPr>
          <w:rFonts w:ascii="Arial" w:cs="Arial" w:eastAsia="Arial" w:hAnsi="Arial"/>
          <w:sz w:val="22"/>
          <w:szCs w:val="22"/>
        </w:rPr>
        <w:t xml:space="preserve">Urinary catheter management (IDC/SPC insertion, removal, trial without catheter)</w:t>
      </w:r>
    </w:p>
    <w:p>
      <w:pPr>
        <w:pStyle w:val="ListParagraph"/>
        <w:numPr>
          <w:ilvl w:val="0"/>
          <w:numId w:val="2"/>
        </w:numPr>
      </w:pPr>
      <w:r>
        <w:rPr>
          <w:rFonts w:ascii="Arial" w:cs="Arial" w:eastAsia="Arial" w:hAnsi="Arial"/>
          <w:sz w:val="22"/>
          <w:szCs w:val="22"/>
        </w:rPr>
        <w:t xml:space="preserve">Continence assessment and care planning</w:t>
      </w:r>
    </w:p>
    <w:p>
      <w:pPr>
        <w:pStyle w:val="ListParagraph"/>
        <w:numPr>
          <w:ilvl w:val="0"/>
          <w:numId w:val="2"/>
        </w:numPr>
      </w:pPr>
      <w:r>
        <w:rPr>
          <w:rFonts w:ascii="Arial" w:cs="Arial" w:eastAsia="Arial" w:hAnsi="Arial"/>
          <w:sz w:val="22"/>
          <w:szCs w:val="22"/>
        </w:rPr>
        <w:t xml:space="preserve">Complex care planning and coordination</w:t>
      </w:r>
    </w:p>
    <w:p>
      <w:pPr>
        <w:pStyle w:val="ListParagraph"/>
        <w:numPr>
          <w:ilvl w:val="0"/>
          <w:numId w:val="2"/>
        </w:numPr>
      </w:pPr>
      <w:r>
        <w:rPr>
          <w:rFonts w:ascii="Arial" w:cs="Arial" w:eastAsia="Arial" w:hAnsi="Arial"/>
          <w:sz w:val="22"/>
          <w:szCs w:val="22"/>
        </w:rPr>
        <w:t xml:space="preserve">Post-hospital discharge nursing follow-up</w:t>
      </w:r>
    </w:p>
    <w:p>
      <w:pPr>
        <w:pStyle w:val="ListParagraph"/>
        <w:numPr>
          <w:ilvl w:val="0"/>
          <w:numId w:val="2"/>
        </w:numPr>
      </w:pPr>
      <w:r>
        <w:rPr>
          <w:rFonts w:ascii="Arial" w:cs="Arial" w:eastAsia="Arial" w:hAnsi="Arial"/>
          <w:sz w:val="22"/>
          <w:szCs w:val="22"/>
        </w:rPr>
        <w:t xml:space="preserve">Palliative and end-of-life care support</w:t>
      </w:r>
    </w:p>
    <w:p>
      <w:pPr>
        <w:pStyle w:val="ListParagraph"/>
        <w:numPr>
          <w:ilvl w:val="0"/>
          <w:numId w:val="2"/>
        </w:numPr>
      </w:pPr>
      <w:r>
        <w:rPr>
          <w:rFonts w:ascii="Arial" w:cs="Arial" w:eastAsia="Arial" w:hAnsi="Arial"/>
          <w:sz w:val="22"/>
          <w:szCs w:val="22"/>
        </w:rPr>
        <w:t xml:space="preserve">Health assessments and chronic disease monitoring</w:t>
      </w:r>
    </w:p>
    <w:p>
      <w:r>
        <w:t xml:space="preserve"/>
      </w:r>
    </w:p>
    <w:p>
      <w:pPr>
        <w:pStyle w:val="Heading1"/>
      </w:pPr>
      <w:r>
        <w:t xml:space="preserve">6. Training &amp; Competency Assessment</w:t>
      </w:r>
    </w:p>
    <w:p>
      <w:r>
        <w:rPr>
          <w:rFonts w:ascii="Arial" w:cs="Arial" w:eastAsia="Arial" w:hAnsi="Arial"/>
          <w:sz w:val="22"/>
          <w:szCs w:val="22"/>
        </w:rPr>
        <w:t xml:space="preserve">TrustCare delivers NDIS worker training and competency assessment in strict compliance with the NDIS Practice Standards: High Intensity Support Skills Descriptors (revised February 2025). Key principles:</w:t>
      </w:r>
    </w:p>
    <w:p>
      <w:r>
        <w:t xml:space="preserve"/>
      </w:r>
    </w:p>
    <w:p>
      <w:pPr>
        <w:pStyle w:val="ListParagraph"/>
        <w:numPr>
          <w:ilvl w:val="0"/>
          <w:numId w:val="2"/>
        </w:numPr>
      </w:pPr>
      <w:r>
        <w:rPr>
          <w:rFonts w:ascii="Arial" w:cs="Arial" w:eastAsia="Arial" w:hAnsi="Arial"/>
          <w:sz w:val="22"/>
          <w:szCs w:val="22"/>
        </w:rPr>
        <w:t xml:space="preserve">All HIDPA competency assessments are conducted by an AHPRA-registered health professional (our RNs)</w:t>
      </w:r>
    </w:p>
    <w:p>
      <w:pPr>
        <w:pStyle w:val="ListParagraph"/>
        <w:numPr>
          <w:ilvl w:val="0"/>
          <w:numId w:val="2"/>
        </w:numPr>
      </w:pPr>
      <w:r>
        <w:rPr>
          <w:rFonts w:ascii="Arial" w:cs="Arial" w:eastAsia="Arial" w:hAnsi="Arial"/>
          <w:sz w:val="22"/>
          <w:szCs w:val="22"/>
        </w:rPr>
        <w:t xml:space="preserve">Training is individualised to the specific participant's care needs — generic tick-box training is not acceptable</w:t>
      </w:r>
    </w:p>
    <w:p>
      <w:pPr>
        <w:pStyle w:val="ListParagraph"/>
        <w:numPr>
          <w:ilvl w:val="0"/>
          <w:numId w:val="2"/>
        </w:numPr>
      </w:pPr>
      <w:r>
        <w:rPr>
          <w:rFonts w:ascii="Arial" w:cs="Arial" w:eastAsia="Arial" w:hAnsi="Arial"/>
          <w:sz w:val="22"/>
          <w:szCs w:val="22"/>
        </w:rPr>
        <w:t xml:space="preserve">Competency sign-off documents are provided to the provider after each assessment</w:t>
      </w:r>
    </w:p>
    <w:p>
      <w:pPr>
        <w:pStyle w:val="ListParagraph"/>
        <w:numPr>
          <w:ilvl w:val="0"/>
          <w:numId w:val="2"/>
        </w:numPr>
      </w:pPr>
      <w:r>
        <w:rPr>
          <w:rFonts w:ascii="Arial" w:cs="Arial" w:eastAsia="Arial" w:hAnsi="Arial"/>
          <w:sz w:val="22"/>
          <w:szCs w:val="22"/>
        </w:rPr>
        <w:t xml:space="preserve">Annual competency reviews are recommended for all workers in HIDPA roles</w:t>
      </w:r>
    </w:p>
    <w:p>
      <w:pPr>
        <w:pStyle w:val="ListParagraph"/>
        <w:numPr>
          <w:ilvl w:val="0"/>
          <w:numId w:val="2"/>
        </w:numPr>
      </w:pPr>
      <w:r>
        <w:rPr>
          <w:rFonts w:ascii="Arial" w:cs="Arial" w:eastAsia="Arial" w:hAnsi="Arial"/>
          <w:sz w:val="22"/>
          <w:szCs w:val="22"/>
        </w:rPr>
        <w:t xml:space="preserve">Training can be delivered at the participant's home, supported accommodation, or a suitable clinical venue</w:t>
      </w:r>
    </w:p>
    <w:p>
      <w:pPr>
        <w:pStyle w:val="ListParagraph"/>
        <w:numPr>
          <w:ilvl w:val="0"/>
          <w:numId w:val="2"/>
        </w:numPr>
      </w:pPr>
      <w:r>
        <w:rPr>
          <w:rFonts w:ascii="Arial" w:cs="Arial" w:eastAsia="Arial" w:hAnsi="Arial"/>
          <w:sz w:val="22"/>
          <w:szCs w:val="22"/>
        </w:rPr>
        <w:t xml:space="preserve">TrustCare maintains training records for 7 years</w:t>
      </w:r>
    </w:p>
    <w:p>
      <w:r>
        <w:t xml:space="preserve"/>
      </w:r>
    </w:p>
    <w:p>
      <w:pPr>
        <w:pStyle w:val="Heading1"/>
      </w:pPr>
      <w:r>
        <w:t xml:space="preserve">7. Pricing &amp; Invoicing</w:t>
      </w:r>
    </w:p>
    <w:p>
      <w:r>
        <w:rPr>
          <w:rFonts w:ascii="Arial" w:cs="Arial" w:eastAsia="Arial" w:hAnsi="Arial"/>
          <w:sz w:val="22"/>
          <w:szCs w:val="22"/>
        </w:rPr>
        <w:t xml:space="preserve">TrustCare invoices the registered NDIS provider directly — not the participant. You claim against the participant's NDIS plan using the relevant line items.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13"/>
        <w:gridCol w:w="3513"/>
      </w:tblGrid>
      <w:tr>
        <w:tc>
          <w:tcPr>
            <w:tcW w:type="dxa" w:w="30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13"/>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NDIS Line Item / Rate</w:t>
            </w:r>
          </w:p>
        </w:tc>
        <w:tc>
          <w:tcPr>
            <w:tcW w:type="dxa" w:w="3513"/>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RN Community Nursing</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Category 0114 — $123.65/hr (weekday)</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nursing visits, care planning, clinical documentation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HIDPA Direct Delivery</w:t>
            </w:r>
          </w:p>
        </w:tc>
        <w:tc>
          <w:tcPr>
            <w:tcW w:type="dxa" w:w="2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Support Category 0107 — HIDPA rates</w:t>
            </w:r>
          </w:p>
        </w:tc>
        <w:tc>
          <w:tcPr>
            <w:tcW w:type="dxa" w:w="3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Rate varies per NDIS Pricing Arrangements 2025-26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HIDPA Training &amp; Competency Assessment</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Category 0107 or 0114 (negotiated)</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session; competency documents included</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Travel</w:t>
            </w:r>
          </w:p>
        </w:tc>
        <w:tc>
          <w:tcPr>
            <w:tcW w:type="dxa" w:w="2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NDIS Provider Travel rules apply</w:t>
            </w:r>
          </w:p>
        </w:tc>
        <w:tc>
          <w:tcPr>
            <w:tcW w:type="dxa" w:w="3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Charged at applicable NDIS travel rate per km</w:t>
            </w:r>
          </w:p>
        </w:tc>
      </w:tr>
    </w:tbl>
    <w:p>
      <w:r>
        <w:t xml:space="preserve"/>
      </w:r>
    </w:p>
    <w:p>
      <w:r>
        <w:rPr>
          <w:rFonts w:ascii="Arial" w:cs="Arial" w:eastAsia="Arial" w:hAnsi="Arial"/>
          <w:sz w:val="22"/>
          <w:szCs w:val="22"/>
        </w:rPr>
        <w:t xml:space="preserve">Invoices are issued fortnightly. Payment terms: 14 days from invoice date. All invoices include participant name, NDIS number, dates of service, line item codes, and RN name for your claiming records.</w:t>
      </w:r>
    </w:p>
    <w:p>
      <w:r>
        <w:t xml:space="preserve"/>
      </w:r>
    </w:p>
    <w:p>
      <w:pPr>
        <w:pStyle w:val="Heading1"/>
      </w:pPr>
      <w:r>
        <w:t xml:space="preserve">8. Subcontracting Agreement</w:t>
      </w:r>
    </w:p>
    <w:p>
      <w:r>
        <w:rPr>
          <w:rFonts w:ascii="Arial" w:cs="Arial" w:eastAsia="Arial" w:hAnsi="Arial"/>
          <w:sz w:val="22"/>
          <w:szCs w:val="22"/>
        </w:rPr>
        <w:t xml:space="preserve">TrustCare provides a formal B2B Service Agreement to all provider partners before services commence. The agreement covers:</w:t>
      </w:r>
    </w:p>
    <w:p>
      <w:r>
        <w:t xml:space="preserve"/>
      </w:r>
    </w:p>
    <w:p>
      <w:pPr>
        <w:pStyle w:val="ListParagraph"/>
        <w:numPr>
          <w:ilvl w:val="0"/>
          <w:numId w:val="2"/>
        </w:numPr>
      </w:pPr>
      <w:r>
        <w:rPr>
          <w:rFonts w:ascii="Arial" w:cs="Arial" w:eastAsia="Arial" w:hAnsi="Arial"/>
          <w:sz w:val="22"/>
          <w:szCs w:val="22"/>
        </w:rPr>
        <w:t xml:space="preserve">Scope of services to be delivered</w:t>
      </w:r>
    </w:p>
    <w:p>
      <w:pPr>
        <w:pStyle w:val="ListParagraph"/>
        <w:numPr>
          <w:ilvl w:val="0"/>
          <w:numId w:val="2"/>
        </w:numPr>
      </w:pPr>
      <w:r>
        <w:rPr>
          <w:rFonts w:ascii="Arial" w:cs="Arial" w:eastAsia="Arial" w:hAnsi="Arial"/>
          <w:sz w:val="22"/>
          <w:szCs w:val="22"/>
        </w:rPr>
        <w:t xml:space="preserve">Clinical governance responsibilities of each party</w:t>
      </w:r>
    </w:p>
    <w:p>
      <w:pPr>
        <w:pStyle w:val="ListParagraph"/>
        <w:numPr>
          <w:ilvl w:val="0"/>
          <w:numId w:val="2"/>
        </w:numPr>
      </w:pPr>
      <w:r>
        <w:rPr>
          <w:rFonts w:ascii="Arial" w:cs="Arial" w:eastAsia="Arial" w:hAnsi="Arial"/>
          <w:sz w:val="22"/>
          <w:szCs w:val="22"/>
        </w:rPr>
        <w:t xml:space="preserve">Pricing and payment terms</w:t>
      </w:r>
    </w:p>
    <w:p>
      <w:pPr>
        <w:pStyle w:val="ListParagraph"/>
        <w:numPr>
          <w:ilvl w:val="0"/>
          <w:numId w:val="2"/>
        </w:numPr>
      </w:pPr>
      <w:r>
        <w:rPr>
          <w:rFonts w:ascii="Arial" w:cs="Arial" w:eastAsia="Arial" w:hAnsi="Arial"/>
          <w:sz w:val="22"/>
          <w:szCs w:val="22"/>
        </w:rPr>
        <w:t xml:space="preserve">NDIS Code of Conduct obligations</w:t>
      </w:r>
    </w:p>
    <w:p>
      <w:pPr>
        <w:pStyle w:val="ListParagraph"/>
        <w:numPr>
          <w:ilvl w:val="0"/>
          <w:numId w:val="2"/>
        </w:numPr>
      </w:pPr>
      <w:r>
        <w:rPr>
          <w:rFonts w:ascii="Arial" w:cs="Arial" w:eastAsia="Arial" w:hAnsi="Arial"/>
          <w:sz w:val="22"/>
          <w:szCs w:val="22"/>
        </w:rPr>
        <w:t xml:space="preserve">Confidentiality and privacy (APP compliance)</w:t>
      </w:r>
    </w:p>
    <w:p>
      <w:pPr>
        <w:pStyle w:val="ListParagraph"/>
        <w:numPr>
          <w:ilvl w:val="0"/>
          <w:numId w:val="2"/>
        </w:numPr>
      </w:pPr>
      <w:r>
        <w:rPr>
          <w:rFonts w:ascii="Arial" w:cs="Arial" w:eastAsia="Arial" w:hAnsi="Arial"/>
          <w:sz w:val="22"/>
          <w:szCs w:val="22"/>
        </w:rPr>
        <w:t xml:space="preserve">Professional indemnity and public liability insurance obligations</w:t>
      </w:r>
    </w:p>
    <w:p>
      <w:pPr>
        <w:pStyle w:val="ListParagraph"/>
        <w:numPr>
          <w:ilvl w:val="0"/>
          <w:numId w:val="2"/>
        </w:numPr>
      </w:pPr>
      <w:r>
        <w:rPr>
          <w:rFonts w:ascii="Arial" w:cs="Arial" w:eastAsia="Arial" w:hAnsi="Arial"/>
          <w:sz w:val="22"/>
          <w:szCs w:val="22"/>
        </w:rPr>
        <w:t xml:space="preserve">Incident and complaint notification procedures</w:t>
      </w:r>
    </w:p>
    <w:p>
      <w:pPr>
        <w:pStyle w:val="ListParagraph"/>
        <w:numPr>
          <w:ilvl w:val="0"/>
          <w:numId w:val="2"/>
        </w:numPr>
      </w:pPr>
      <w:r>
        <w:rPr>
          <w:rFonts w:ascii="Arial" w:cs="Arial" w:eastAsia="Arial" w:hAnsi="Arial"/>
          <w:sz w:val="22"/>
          <w:szCs w:val="22"/>
        </w:rPr>
        <w:t xml:space="preserve">Termination conditions and notice periods (14 days)</w:t>
      </w:r>
    </w:p>
    <w:p>
      <w:pPr>
        <w:pStyle w:val="ListParagraph"/>
        <w:numPr>
          <w:ilvl w:val="0"/>
          <w:numId w:val="2"/>
        </w:numPr>
      </w:pPr>
      <w:r>
        <w:rPr>
          <w:rFonts w:ascii="Arial" w:cs="Arial" w:eastAsia="Arial" w:hAnsi="Arial"/>
          <w:sz w:val="22"/>
          <w:szCs w:val="22"/>
        </w:rPr>
        <w:t xml:space="preserve">Dispute resolution (informal negotiation → mediation → arbitration)</w:t>
      </w:r>
    </w:p>
    <w:p>
      <w:r>
        <w:rPr>
          <w:rFonts w:ascii="Arial" w:cs="Arial" w:eastAsia="Arial" w:hAnsi="Arial"/>
          <w:sz w:val="22"/>
          <w:szCs w:val="22"/>
        </w:rPr>
        <w:t xml:space="preserve">Agreements are reviewed annually or following any significant legislative change.</w:t>
      </w:r>
    </w:p>
    <w:p>
      <w:r>
        <w:t xml:space="preserve"/>
      </w:r>
    </w:p>
    <w:p>
      <w:pPr>
        <w:pStyle w:val="Heading1"/>
      </w:pPr>
      <w:r>
        <w:t xml:space="preserve">9. Contact &amp; Referral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Contact Method</w:t>
            </w:r>
          </w:p>
        </w:tc>
        <w:tc>
          <w:tcPr>
            <w:tcW w:type="dxa" w:w="6526"/>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0432 014 162 (business hours, Monday to Friday)</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Email</w:t>
            </w:r>
          </w:p>
        </w:tc>
        <w:tc>
          <w:tcPr>
            <w:tcW w:type="dxa" w:w="6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admin@trustcaresupport.com.au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Online Referral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trustcaresupport.com.au/referral/</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Website</w:t>
            </w:r>
          </w:p>
        </w:tc>
        <w:tc>
          <w:tcPr>
            <w:tcW w:type="dxa" w:w="6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trustcaresupport.com.au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Area</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Perth metropolitan area and surrounding regions, Western Australia</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588" w:sz="4" w:space="1"/>
      </w:pBdr>
      <w:jc w:val="center"/>
    </w:pPr>
    <w:r>
      <w:rPr>
        <w:rFonts w:ascii="Arial" w:cs="Arial" w:eastAsia="Arial" w:hAnsi="Arial"/>
        <w:color w:val="666666"/>
        <w:sz w:val="18"/>
        <w:szCs w:val="18"/>
      </w:rPr>
      <w:t xml:space="preserve">Version 1.0 | January 2025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588" w:sz="4" w:space="1"/>
      </w:pBdr>
      <w:tabs>
        <w:tab w:val="right" w:pos="9026"/>
      </w:tabs>
    </w:pPr>
    <w:r>
      <w:rPr>
        <w:rFonts w:ascii="Arial" w:cs="Arial" w:eastAsia="Arial" w:hAnsi="Arial"/>
        <w:color w:val="666666"/>
        <w:sz w:val="18"/>
        <w:szCs w:val="18"/>
      </w:rPr>
      <w:t xml:space="preserve">TrustCare Support — Confidential</w:t>
    </w:r>
    <w:r>
      <w:rPr>
        <w:rFonts w:ascii="Arial" w:cs="Arial" w:eastAsia="Arial" w:hAnsi="Arial"/>
        <w:color w:val="666666"/>
        <w:sz w:val="18"/>
        <w:szCs w:val="18"/>
      </w:rPr>
      <w:t xml:space="preserve">	Service Delivery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3588"/>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003588"/>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2026-03-31T15:47:23.244Z</dcterms:created>
  <dcterms:modified xsi:type="dcterms:W3CDTF">2026-03-31T15:47:23.247Z</dcterms:modified>
</cp:coreProperties>
</file>

<file path=docProps/custom.xml><?xml version="1.0" encoding="utf-8"?>
<Properties xmlns="http://schemas.openxmlformats.org/officeDocument/2006/custom-properties" xmlns:vt="http://schemas.openxmlformats.org/officeDocument/2006/docPropsVTypes"/>
</file>