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003588"/>
          <w:sz w:val="48"/>
          <w:szCs w:val="48"/>
        </w:rPr>
        <w:t xml:space="preserve">TrustCare Support</w:t>
      </w:r>
    </w:p>
    <w:p>
      <w:r>
        <w:t xml:space="preserve"/>
      </w:r>
    </w:p>
    <w:p>
      <w:pPr>
        <w:jc w:val="center"/>
      </w:pPr>
      <w:r>
        <w:rPr>
          <w:rFonts w:ascii="Arial" w:cs="Arial" w:eastAsia="Arial" w:hAnsi="Arial"/>
          <w:b/>
          <w:bCs/>
          <w:sz w:val="36"/>
          <w:szCs w:val="36"/>
        </w:rPr>
        <w:t xml:space="preserve">Complaints Policy</w:t>
      </w:r>
    </w:p>
    <w:p>
      <w:pPr>
        <w:jc w:val="center"/>
      </w:pPr>
      <w:r>
        <w:rPr>
          <w:rFonts w:ascii="Arial" w:cs="Arial" w:eastAsia="Arial" w:hAnsi="Arial"/>
          <w:color w:val="444444"/>
          <w:sz w:val="24"/>
          <w:szCs w:val="24"/>
        </w:rPr>
        <w:t xml:space="preserve">Complaints Handling Procedure — TrustCare Support</w:t>
      </w:r>
    </w:p>
    <w:p>
      <w:r>
        <w:t xml:space="preserve"/>
      </w:r>
    </w:p>
    <w:p>
      <w:r>
        <w:t xml:space="preserve"/>
      </w:r>
    </w:p>
    <w:p>
      <w:pPr>
        <w:jc w:val="center"/>
      </w:pPr>
      <w:r>
        <w:rPr>
          <w:rFonts w:ascii="Arial" w:cs="Arial" w:eastAsia="Arial" w:hAnsi="Arial"/>
          <w:color w:val="666666"/>
          <w:sz w:val="20"/>
          <w:szCs w:val="20"/>
        </w:rPr>
        <w:t xml:space="preserve">ABN: 18 809 341 867 | Perth, Western Australia</w:t>
      </w:r>
    </w:p>
    <w:p>
      <w:pPr>
        <w:jc w:val="center"/>
      </w:pPr>
      <w:r>
        <w:rPr>
          <w:rFonts w:ascii="Arial" w:cs="Arial" w:eastAsia="Arial" w:hAnsi="Arial"/>
          <w:color w:val="666666"/>
          <w:sz w:val="20"/>
          <w:szCs w:val="20"/>
        </w:rPr>
        <w:t xml:space="preserve">admin@trustcaresupport.com.au  |  0432 014 162</w:t>
      </w:r>
    </w:p>
    <w:p>
      <w:r>
        <w:t xml:space="preserve"/>
      </w:r>
    </w:p>
    <w:p>
      <w:pPr>
        <w:jc w:val="center"/>
      </w:pPr>
      <w:r>
        <w:rPr>
          <w:rFonts w:ascii="Arial" w:cs="Arial" w:eastAsia="Arial" w:hAnsi="Arial"/>
          <w:color w:val="666666"/>
          <w:sz w:val="20"/>
          <w:szCs w:val="20"/>
        </w:rPr>
        <w:t xml:space="preserve">Version 1.0 | January 2025</w:t>
      </w:r>
    </w:p>
    <w:p>
      <w:r>
        <w:br w:type="page"/>
      </w:r>
    </w:p>
    <w:p>
      <w:pPr>
        <w:pStyle w:val="Heading1"/>
      </w:pPr>
      <w:r>
        <w:t xml:space="preserve">Purpose</w:t>
      </w:r>
    </w:p>
    <w:p>
      <w:r>
        <w:rPr>
          <w:rFonts w:ascii="Arial" w:cs="Arial" w:eastAsia="Arial" w:hAnsi="Arial"/>
          <w:sz w:val="22"/>
          <w:szCs w:val="22"/>
        </w:rPr>
        <w:t xml:space="preserve">TrustCare Support is committed to providing high-quality clinical nursing services and responding to concerns and complaints in a fair, transparent, and timely manner. This policy establishes the framework for receiving, investigating, and resolving complaints from NDIS participants, their representatives, registered NDIS providers, and workers.</w:t>
      </w:r>
    </w:p>
    <w:p>
      <w:r>
        <w:t xml:space="preserve"/>
      </w:r>
    </w:p>
    <w:p>
      <w:pPr>
        <w:pStyle w:val="Heading2"/>
      </w:pPr>
      <w:r>
        <w:t xml:space="preserve">Principles</w:t>
      </w:r>
    </w:p>
    <w:p>
      <w:pPr>
        <w:pStyle w:val="ListParagraph"/>
        <w:numPr>
          <w:ilvl w:val="0"/>
          <w:numId w:val="2"/>
        </w:numPr>
      </w:pPr>
      <w:r>
        <w:rPr>
          <w:rFonts w:ascii="Arial" w:cs="Arial" w:eastAsia="Arial" w:hAnsi="Arial"/>
          <w:sz w:val="22"/>
          <w:szCs w:val="22"/>
        </w:rPr>
        <w:t xml:space="preserve">Accessible — complaints can be made by phone, email, or in writing</w:t>
      </w:r>
    </w:p>
    <w:p>
      <w:pPr>
        <w:pStyle w:val="ListParagraph"/>
        <w:numPr>
          <w:ilvl w:val="0"/>
          <w:numId w:val="2"/>
        </w:numPr>
      </w:pPr>
      <w:r>
        <w:rPr>
          <w:rFonts w:ascii="Arial" w:cs="Arial" w:eastAsia="Arial" w:hAnsi="Arial"/>
          <w:sz w:val="22"/>
          <w:szCs w:val="22"/>
        </w:rPr>
        <w:t xml:space="preserve">Fair — all complaints are treated equally and investigated impartially</w:t>
      </w:r>
    </w:p>
    <w:p>
      <w:pPr>
        <w:pStyle w:val="ListParagraph"/>
        <w:numPr>
          <w:ilvl w:val="0"/>
          <w:numId w:val="2"/>
        </w:numPr>
      </w:pPr>
      <w:r>
        <w:rPr>
          <w:rFonts w:ascii="Arial" w:cs="Arial" w:eastAsia="Arial" w:hAnsi="Arial"/>
          <w:sz w:val="22"/>
          <w:szCs w:val="22"/>
        </w:rPr>
        <w:t xml:space="preserve">Timely — acknowledgment within 2 business days, resolution within 10 business days</w:t>
      </w:r>
    </w:p>
    <w:p>
      <w:pPr>
        <w:pStyle w:val="ListParagraph"/>
        <w:numPr>
          <w:ilvl w:val="0"/>
          <w:numId w:val="2"/>
        </w:numPr>
      </w:pPr>
      <w:r>
        <w:rPr>
          <w:rFonts w:ascii="Arial" w:cs="Arial" w:eastAsia="Arial" w:hAnsi="Arial"/>
          <w:sz w:val="22"/>
          <w:szCs w:val="22"/>
        </w:rPr>
        <w:t xml:space="preserve">Confidential — complaint details are shared only with those who need to know</w:t>
      </w:r>
    </w:p>
    <w:p>
      <w:pPr>
        <w:pStyle w:val="ListParagraph"/>
        <w:numPr>
          <w:ilvl w:val="0"/>
          <w:numId w:val="2"/>
        </w:numPr>
      </w:pPr>
      <w:r>
        <w:rPr>
          <w:rFonts w:ascii="Arial" w:cs="Arial" w:eastAsia="Arial" w:hAnsi="Arial"/>
          <w:sz w:val="22"/>
          <w:szCs w:val="22"/>
        </w:rPr>
        <w:t xml:space="preserve">Improvement-focused — complaints are used to improve services</w:t>
      </w:r>
    </w:p>
    <w:p>
      <w:pPr>
        <w:pStyle w:val="ListParagraph"/>
        <w:numPr>
          <w:ilvl w:val="0"/>
          <w:numId w:val="2"/>
        </w:numPr>
      </w:pPr>
      <w:r>
        <w:rPr>
          <w:rFonts w:ascii="Arial" w:cs="Arial" w:eastAsia="Arial" w:hAnsi="Arial"/>
          <w:sz w:val="22"/>
          <w:szCs w:val="22"/>
        </w:rPr>
        <w:t xml:space="preserve">No adverse consequences — making a complaint will not affect the quality of services received</w:t>
      </w:r>
    </w:p>
    <w:p>
      <w:r>
        <w:t xml:space="preserve"/>
      </w:r>
    </w:p>
    <w:p>
      <w:pPr>
        <w:pStyle w:val="Heading1"/>
      </w:pPr>
      <w:r>
        <w:t xml:space="preserve">1. Types of Complaints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Complaint Type</w:t>
            </w:r>
          </w:p>
        </w:tc>
        <w:tc>
          <w:tcPr>
            <w:tcW w:type="dxa" w:w="6526"/>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Concerns about clinical care quality, nursing practice, wound care management, HIDPA delivery</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Conduct</w:t>
            </w:r>
          </w:p>
        </w:tc>
        <w:tc>
          <w:tcPr>
            <w:tcW w:type="dxa" w:w="6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Worker behaviour, professionalism, communication, boundaries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 errors, incorrect rates, disputed charges, late invoicing</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Privacy</w:t>
            </w:r>
          </w:p>
        </w:tc>
        <w:tc>
          <w:tcPr>
            <w:tcW w:type="dxa" w:w="6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Unauthorised disclosure of information, data security concerns, access/correction requests refused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Delivery</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Missed visits, punctuality, documentation quality, care plan compliance</w:t>
            </w:r>
          </w:p>
        </w:tc>
      </w:tr>
    </w:tbl>
    <w:p>
      <w:r>
        <w:t xml:space="preserve"/>
      </w:r>
    </w:p>
    <w:p>
      <w:pPr>
        <w:pStyle w:val="Heading1"/>
      </w:pPr>
      <w:r>
        <w:t xml:space="preserve">2. How to Make a Complaint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526"/>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Contact 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0432 014 162 (business hours, Monday to Friday)</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Email</w:t>
            </w:r>
          </w:p>
        </w:tc>
        <w:tc>
          <w:tcPr>
            <w:tcW w:type="dxa" w:w="6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admin@trustcaresupport.com.au (subject: Complaint)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Written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TrustCare Support, Perth, Western Australia (attention: Director)</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Website</w:t>
            </w:r>
          </w:p>
        </w:tc>
        <w:tc>
          <w:tcPr>
            <w:tcW w:type="dxa" w:w="6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trustcaresupport.com.au/contact/ (use the contact form)</w:t>
            </w:r>
          </w:p>
        </w:tc>
      </w:tr>
    </w:tbl>
    <w:p>
      <w:r>
        <w:t xml:space="preserve"/>
      </w:r>
    </w:p>
    <w:p>
      <w:r>
        <w:rPr>
          <w:rFonts w:ascii="Arial" w:cs="Arial" w:eastAsia="Arial" w:hAnsi="Arial"/>
          <w:sz w:val="22"/>
          <w:szCs w:val="22"/>
        </w:rPr>
        <w:t xml:space="preserve">You may also make a complaint on behalf of a participant (with their consent, or if you are their legal representative or guardian).</w:t>
      </w:r>
    </w:p>
    <w:p>
      <w:r>
        <w:t xml:space="preserve"/>
      </w:r>
    </w:p>
    <w:p>
      <w:pPr>
        <w:pStyle w:val="Heading1"/>
      </w:pPr>
      <w:r>
        <w:t xml:space="preserve">3. Acknowledgment</w:t>
      </w:r>
    </w:p>
    <w:p>
      <w:r>
        <w:rPr>
          <w:rFonts w:ascii="Arial" w:cs="Arial" w:eastAsia="Arial" w:hAnsi="Arial"/>
          <w:sz w:val="22"/>
          <w:szCs w:val="22"/>
        </w:rPr>
        <w:t xml:space="preserve">TrustCare Support will acknowledge all complaints within 2 business days of receipt. The acknowledgment will:</w:t>
      </w:r>
    </w:p>
    <w:p>
      <w:pPr>
        <w:pStyle w:val="ListParagraph"/>
        <w:numPr>
          <w:ilvl w:val="0"/>
          <w:numId w:val="2"/>
        </w:numPr>
      </w:pPr>
      <w:r>
        <w:rPr>
          <w:rFonts w:ascii="Arial" w:cs="Arial" w:eastAsia="Arial" w:hAnsi="Arial"/>
          <w:sz w:val="22"/>
          <w:szCs w:val="22"/>
        </w:rPr>
        <w:t xml:space="preserve">Confirm that the complaint has been received and recorded</w:t>
      </w:r>
    </w:p>
    <w:p>
      <w:pPr>
        <w:pStyle w:val="ListParagraph"/>
        <w:numPr>
          <w:ilvl w:val="0"/>
          <w:numId w:val="2"/>
        </w:numPr>
      </w:pPr>
      <w:r>
        <w:rPr>
          <w:rFonts w:ascii="Arial" w:cs="Arial" w:eastAsia="Arial" w:hAnsi="Arial"/>
          <w:sz w:val="22"/>
          <w:szCs w:val="22"/>
        </w:rPr>
        <w:t xml:space="preserve">Provide the name of the person handling the complaint</w:t>
      </w:r>
    </w:p>
    <w:p>
      <w:pPr>
        <w:pStyle w:val="ListParagraph"/>
        <w:numPr>
          <w:ilvl w:val="0"/>
          <w:numId w:val="2"/>
        </w:numPr>
      </w:pPr>
      <w:r>
        <w:rPr>
          <w:rFonts w:ascii="Arial" w:cs="Arial" w:eastAsia="Arial" w:hAnsi="Arial"/>
          <w:sz w:val="22"/>
          <w:szCs w:val="22"/>
        </w:rPr>
        <w:t xml:space="preserve">Outline the expected timeframe for resolution</w:t>
      </w:r>
    </w:p>
    <w:p>
      <w:pPr>
        <w:pStyle w:val="ListParagraph"/>
        <w:numPr>
          <w:ilvl w:val="0"/>
          <w:numId w:val="2"/>
        </w:numPr>
      </w:pPr>
      <w:r>
        <w:rPr>
          <w:rFonts w:ascii="Arial" w:cs="Arial" w:eastAsia="Arial" w:hAnsi="Arial"/>
          <w:sz w:val="22"/>
          <w:szCs w:val="22"/>
        </w:rPr>
        <w:t xml:space="preserve">Advise of the right to escalate if not satisfied with the outcome</w:t>
      </w:r>
    </w:p>
    <w:p>
      <w:r>
        <w:t xml:space="preserve"/>
      </w:r>
    </w:p>
    <w:p>
      <w:pPr>
        <w:pStyle w:val="Heading1"/>
      </w:pPr>
      <w:r>
        <w:t xml:space="preserve">4. Investigation Process</w:t>
      </w:r>
    </w:p>
    <w:p>
      <w:pPr>
        <w:pStyle w:val="Heading2"/>
      </w:pPr>
      <w:r>
        <w:t xml:space="preserve">Standard Complaints (10 business days)</w:t>
      </w:r>
    </w:p>
    <w:p>
      <w:pPr>
        <w:pStyle w:val="ListParagraph"/>
        <w:numPr>
          <w:ilvl w:val="0"/>
          <w:numId w:val="3"/>
        </w:numPr>
      </w:pPr>
      <w:r>
        <w:rPr>
          <w:rFonts w:ascii="Arial" w:cs="Arial" w:eastAsia="Arial" w:hAnsi="Arial"/>
          <w:sz w:val="22"/>
          <w:szCs w:val="22"/>
        </w:rPr>
        <w:t xml:space="preserve">Complaint is received and logged with a reference number</w:t>
      </w:r>
    </w:p>
    <w:p>
      <w:pPr>
        <w:pStyle w:val="ListParagraph"/>
        <w:numPr>
          <w:ilvl w:val="0"/>
          <w:numId w:val="3"/>
        </w:numPr>
      </w:pPr>
      <w:r>
        <w:rPr>
          <w:rFonts w:ascii="Arial" w:cs="Arial" w:eastAsia="Arial" w:hAnsi="Arial"/>
          <w:sz w:val="22"/>
          <w:szCs w:val="22"/>
        </w:rPr>
        <w:t xml:space="preserve">The complaint is assigned to an appropriate staff member (not the subject of the complaint)</w:t>
      </w:r>
    </w:p>
    <w:p>
      <w:pPr>
        <w:pStyle w:val="ListParagraph"/>
        <w:numPr>
          <w:ilvl w:val="0"/>
          <w:numId w:val="3"/>
        </w:numPr>
      </w:pPr>
      <w:r>
        <w:rPr>
          <w:rFonts w:ascii="Arial" w:cs="Arial" w:eastAsia="Arial" w:hAnsi="Arial"/>
          <w:sz w:val="22"/>
          <w:szCs w:val="22"/>
        </w:rPr>
        <w:t xml:space="preserve">Relevant information is gathered: records, notes, worker statements</w:t>
      </w:r>
    </w:p>
    <w:p>
      <w:pPr>
        <w:pStyle w:val="ListParagraph"/>
        <w:numPr>
          <w:ilvl w:val="0"/>
          <w:numId w:val="3"/>
        </w:numPr>
      </w:pPr>
      <w:r>
        <w:rPr>
          <w:rFonts w:ascii="Arial" w:cs="Arial" w:eastAsia="Arial" w:hAnsi="Arial"/>
          <w:sz w:val="22"/>
          <w:szCs w:val="22"/>
        </w:rPr>
        <w:t xml:space="preserve">The person who made the complaint may be contacted for further information</w:t>
      </w:r>
    </w:p>
    <w:p>
      <w:pPr>
        <w:pStyle w:val="ListParagraph"/>
        <w:numPr>
          <w:ilvl w:val="0"/>
          <w:numId w:val="3"/>
        </w:numPr>
      </w:pPr>
      <w:r>
        <w:rPr>
          <w:rFonts w:ascii="Arial" w:cs="Arial" w:eastAsia="Arial" w:hAnsi="Arial"/>
          <w:sz w:val="22"/>
          <w:szCs w:val="22"/>
        </w:rPr>
        <w:t xml:space="preserve">Findings are documented and reviewed by the Director</w:t>
      </w:r>
    </w:p>
    <w:p>
      <w:pPr>
        <w:pStyle w:val="ListParagraph"/>
        <w:numPr>
          <w:ilvl w:val="0"/>
          <w:numId w:val="3"/>
        </w:numPr>
      </w:pPr>
      <w:r>
        <w:rPr>
          <w:rFonts w:ascii="Arial" w:cs="Arial" w:eastAsia="Arial" w:hAnsi="Arial"/>
          <w:sz w:val="22"/>
          <w:szCs w:val="22"/>
        </w:rPr>
        <w:t xml:space="preserve">Outcome letter issued within 10 business days</w:t>
      </w:r>
    </w:p>
    <w:p>
      <w:r>
        <w:t xml:space="preserve"/>
      </w:r>
    </w:p>
    <w:p>
      <w:pPr>
        <w:pStyle w:val="Heading2"/>
      </w:pPr>
      <w:r>
        <w:t xml:space="preserve">Urgent Complaints (3 business days)</w:t>
      </w:r>
    </w:p>
    <w:p>
      <w:r>
        <w:rPr>
          <w:rFonts w:ascii="Arial" w:cs="Arial" w:eastAsia="Arial" w:hAnsi="Arial"/>
          <w:sz w:val="22"/>
          <w:szCs w:val="22"/>
        </w:rPr>
        <w:t xml:space="preserve">Complaints involving immediate risk to participant safety or serious allegations of misconduct are treated as urgent. An urgent complaint will be:</w:t>
      </w:r>
    </w:p>
    <w:p>
      <w:pPr>
        <w:pStyle w:val="ListParagraph"/>
        <w:numPr>
          <w:ilvl w:val="0"/>
          <w:numId w:val="2"/>
        </w:numPr>
      </w:pPr>
      <w:r>
        <w:rPr>
          <w:rFonts w:ascii="Arial" w:cs="Arial" w:eastAsia="Arial" w:hAnsi="Arial"/>
          <w:sz w:val="22"/>
          <w:szCs w:val="22"/>
        </w:rPr>
        <w:t xml:space="preserve">Acknowledged within 4 hours of receipt</w:t>
      </w:r>
    </w:p>
    <w:p>
      <w:pPr>
        <w:pStyle w:val="ListParagraph"/>
        <w:numPr>
          <w:ilvl w:val="0"/>
          <w:numId w:val="2"/>
        </w:numPr>
      </w:pPr>
      <w:r>
        <w:rPr>
          <w:rFonts w:ascii="Arial" w:cs="Arial" w:eastAsia="Arial" w:hAnsi="Arial"/>
          <w:sz w:val="22"/>
          <w:szCs w:val="22"/>
        </w:rPr>
        <w:t xml:space="preserve">Escalated to the Director immediately</w:t>
      </w:r>
    </w:p>
    <w:p>
      <w:pPr>
        <w:pStyle w:val="ListParagraph"/>
        <w:numPr>
          <w:ilvl w:val="0"/>
          <w:numId w:val="2"/>
        </w:numPr>
      </w:pPr>
      <w:r>
        <w:rPr>
          <w:rFonts w:ascii="Arial" w:cs="Arial" w:eastAsia="Arial" w:hAnsi="Arial"/>
          <w:sz w:val="22"/>
          <w:szCs w:val="22"/>
        </w:rPr>
        <w:t xml:space="preserve">Investigated and responded to within 3 business days</w:t>
      </w:r>
    </w:p>
    <w:p>
      <w:pPr>
        <w:pStyle w:val="ListParagraph"/>
        <w:numPr>
          <w:ilvl w:val="0"/>
          <w:numId w:val="2"/>
        </w:numPr>
      </w:pPr>
      <w:r>
        <w:rPr>
          <w:rFonts w:ascii="Arial" w:cs="Arial" w:eastAsia="Arial" w:hAnsi="Arial"/>
          <w:sz w:val="22"/>
          <w:szCs w:val="22"/>
        </w:rPr>
        <w:t xml:space="preserve">Reported to the primary registered NDIS provider immediately if a participant is at risk</w:t>
      </w:r>
    </w:p>
    <w:p>
      <w:r>
        <w:t xml:space="preserve"/>
      </w:r>
    </w:p>
    <w:p>
      <w:pPr>
        <w:pStyle w:val="Heading1"/>
      </w:pPr>
      <w:r>
        <w:t xml:space="preserve">5. Resolution</w:t>
      </w:r>
    </w:p>
    <w:p>
      <w:r>
        <w:rPr>
          <w:rFonts w:ascii="Arial" w:cs="Arial" w:eastAsia="Arial" w:hAnsi="Arial"/>
          <w:sz w:val="22"/>
          <w:szCs w:val="22"/>
        </w:rPr>
        <w:t xml:space="preserve">At the conclusion of the investigation, TrustCare Support will issue a written outcome letter that includes:</w:t>
      </w:r>
    </w:p>
    <w:p>
      <w:pPr>
        <w:pStyle w:val="ListParagraph"/>
        <w:numPr>
          <w:ilvl w:val="0"/>
          <w:numId w:val="2"/>
        </w:numPr>
      </w:pPr>
      <w:r>
        <w:rPr>
          <w:rFonts w:ascii="Arial" w:cs="Arial" w:eastAsia="Arial" w:hAnsi="Arial"/>
          <w:sz w:val="22"/>
          <w:szCs w:val="22"/>
        </w:rPr>
        <w:t xml:space="preserve">A summary of the complaint and the investigation process</w:t>
      </w:r>
    </w:p>
    <w:p>
      <w:pPr>
        <w:pStyle w:val="ListParagraph"/>
        <w:numPr>
          <w:ilvl w:val="0"/>
          <w:numId w:val="2"/>
        </w:numPr>
      </w:pPr>
      <w:r>
        <w:rPr>
          <w:rFonts w:ascii="Arial" w:cs="Arial" w:eastAsia="Arial" w:hAnsi="Arial"/>
          <w:sz w:val="22"/>
          <w:szCs w:val="22"/>
        </w:rPr>
        <w:t xml:space="preserve">The findings</w:t>
      </w:r>
    </w:p>
    <w:p>
      <w:pPr>
        <w:pStyle w:val="ListParagraph"/>
        <w:numPr>
          <w:ilvl w:val="0"/>
          <w:numId w:val="2"/>
        </w:numPr>
      </w:pPr>
      <w:r>
        <w:rPr>
          <w:rFonts w:ascii="Arial" w:cs="Arial" w:eastAsia="Arial" w:hAnsi="Arial"/>
          <w:sz w:val="22"/>
          <w:szCs w:val="22"/>
        </w:rPr>
        <w:t xml:space="preserve">The outcome and any remedies offered (e.g., apology, service credit, process change)</w:t>
      </w:r>
    </w:p>
    <w:p>
      <w:pPr>
        <w:pStyle w:val="ListParagraph"/>
        <w:numPr>
          <w:ilvl w:val="0"/>
          <w:numId w:val="2"/>
        </w:numPr>
      </w:pPr>
      <w:r>
        <w:rPr>
          <w:rFonts w:ascii="Arial" w:cs="Arial" w:eastAsia="Arial" w:hAnsi="Arial"/>
          <w:sz w:val="22"/>
          <w:szCs w:val="22"/>
        </w:rPr>
        <w:t xml:space="preserve">Information about how to escalate if not satisfied</w:t>
      </w:r>
    </w:p>
    <w:p>
      <w:r>
        <w:rPr>
          <w:rFonts w:ascii="Arial" w:cs="Arial" w:eastAsia="Arial" w:hAnsi="Arial"/>
          <w:sz w:val="22"/>
          <w:szCs w:val="22"/>
        </w:rPr>
        <w:t xml:space="preserve">Remedies available include: formal apology, fee adjustment or credit, changes to service delivery, additional training for workers, and policy or process improvements.</w:t>
      </w:r>
    </w:p>
    <w:p>
      <w:r>
        <w:t xml:space="preserve"/>
      </w:r>
    </w:p>
    <w:p>
      <w:pPr>
        <w:pStyle w:val="Heading1"/>
      </w:pPr>
      <w:r>
        <w:t xml:space="preserve">6. Escalation to NDIS Commission</w:t>
      </w:r>
    </w:p>
    <w:p>
      <w:r>
        <w:rPr>
          <w:rFonts w:ascii="Arial" w:cs="Arial" w:eastAsia="Arial" w:hAnsi="Arial"/>
          <w:sz w:val="22"/>
          <w:szCs w:val="22"/>
        </w:rPr>
        <w:t xml:space="preserve">If you are not satisfied with TrustCare Support's response to your complaint, you may contact the NDIS Quality and Safeguards Commission:</w:t>
      </w:r>
    </w:p>
    <w:p>
      <w:pPr>
        <w:pStyle w:val="ListParagraph"/>
        <w:numPr>
          <w:ilvl w:val="0"/>
          <w:numId w:val="2"/>
        </w:numPr>
      </w:pPr>
      <w:r>
        <w:rPr>
          <w:rFonts w:ascii="Arial" w:cs="Arial" w:eastAsia="Arial" w:hAnsi="Arial"/>
          <w:sz w:val="22"/>
          <w:szCs w:val="22"/>
        </w:rPr>
        <w:t xml:space="preserve">Phone: 1800 035 544 (Monday to Friday, 9am to 5pm)</w:t>
      </w:r>
    </w:p>
    <w:p>
      <w:pPr>
        <w:pStyle w:val="ListParagraph"/>
        <w:numPr>
          <w:ilvl w:val="0"/>
          <w:numId w:val="2"/>
        </w:numPr>
      </w:pPr>
      <w:r>
        <w:rPr>
          <w:rFonts w:ascii="Arial" w:cs="Arial" w:eastAsia="Arial" w:hAnsi="Arial"/>
          <w:sz w:val="22"/>
          <w:szCs w:val="22"/>
        </w:rPr>
        <w:t xml:space="preserve">Website: www.ndiscommission.gov.au/complaints</w:t>
      </w:r>
    </w:p>
    <w:p>
      <w:pPr>
        <w:pStyle w:val="ListParagraph"/>
        <w:numPr>
          <w:ilvl w:val="0"/>
          <w:numId w:val="2"/>
        </w:numPr>
      </w:pPr>
      <w:r>
        <w:rPr>
          <w:rFonts w:ascii="Arial" w:cs="Arial" w:eastAsia="Arial" w:hAnsi="Arial"/>
          <w:sz w:val="22"/>
          <w:szCs w:val="22"/>
        </w:rPr>
        <w:t xml:space="preserve">TTY: 1800 555 677</w:t>
      </w:r>
    </w:p>
    <w:p>
      <w:pPr>
        <w:pStyle w:val="ListParagraph"/>
        <w:numPr>
          <w:ilvl w:val="0"/>
          <w:numId w:val="2"/>
        </w:numPr>
      </w:pPr>
      <w:r>
        <w:rPr>
          <w:rFonts w:ascii="Arial" w:cs="Arial" w:eastAsia="Arial" w:hAnsi="Arial"/>
          <w:sz w:val="22"/>
          <w:szCs w:val="22"/>
        </w:rPr>
        <w:t xml:space="preserve">Translating and Interpreting Service: 131 450</w:t>
      </w:r>
    </w:p>
    <w:p>
      <w:r>
        <w:rPr>
          <w:rFonts w:ascii="Arial" w:cs="Arial" w:eastAsia="Arial" w:hAnsi="Arial"/>
          <w:sz w:val="22"/>
          <w:szCs w:val="22"/>
        </w:rPr>
        <w:t xml:space="preserve">The NDIS Commission can investigate complaints about the conduct of NDIS providers and workers. Unregistered providers (including subcontractors like TrustCare) are subject to the Commission's jurisdiction in relation to the NDIS Code of Conduct.</w:t>
      </w:r>
    </w:p>
    <w:p>
      <w:r>
        <w:t xml:space="preserve"/>
      </w:r>
    </w:p>
    <w:p>
      <w:pPr>
        <w:pStyle w:val="Heading1"/>
      </w:pPr>
      <w:r>
        <w:t xml:space="preserve">7. Anonymous Complaints</w:t>
      </w:r>
    </w:p>
    <w:p>
      <w:r>
        <w:rPr>
          <w:rFonts w:ascii="Arial" w:cs="Arial" w:eastAsia="Arial" w:hAnsi="Arial"/>
          <w:sz w:val="22"/>
          <w:szCs w:val="22"/>
        </w:rPr>
        <w:t xml:space="preserve">TrustCare Support accepts anonymous complaints. Anonymous complaints will be assessed and acted upon where there is sufficient information to do so. We acknowledge that anonymous complainants cannot receive a formal outcome response. Where an anonymous complaint raises serious safety concerns, TrustCare Support will investigate and, if necessary, report to the NDIS Commission.</w:t>
      </w:r>
    </w:p>
    <w:p>
      <w:r>
        <w:t xml:space="preserve"/>
      </w:r>
    </w:p>
    <w:p>
      <w:pPr>
        <w:pStyle w:val="Heading1"/>
      </w:pPr>
      <w:r>
        <w:t xml:space="preserve">8. Vexatious Complaints</w:t>
      </w:r>
    </w:p>
    <w:p>
      <w:r>
        <w:rPr>
          <w:rFonts w:ascii="Arial" w:cs="Arial" w:eastAsia="Arial" w:hAnsi="Arial"/>
          <w:sz w:val="22"/>
          <w:szCs w:val="22"/>
        </w:rPr>
        <w:t xml:space="preserve">Where a complaint is found to be vexatious — made in bad faith, repetitively without new information, or designed to harass — TrustCare Support may:</w:t>
      </w:r>
    </w:p>
    <w:p>
      <w:pPr>
        <w:pStyle w:val="ListParagraph"/>
        <w:numPr>
          <w:ilvl w:val="0"/>
          <w:numId w:val="2"/>
        </w:numPr>
      </w:pPr>
      <w:r>
        <w:rPr>
          <w:rFonts w:ascii="Arial" w:cs="Arial" w:eastAsia="Arial" w:hAnsi="Arial"/>
          <w:sz w:val="22"/>
          <w:szCs w:val="22"/>
        </w:rPr>
        <w:t xml:space="preserve">Notify the complainant in writing that the complaint is considered vexatious</w:t>
      </w:r>
    </w:p>
    <w:p>
      <w:pPr>
        <w:pStyle w:val="ListParagraph"/>
        <w:numPr>
          <w:ilvl w:val="0"/>
          <w:numId w:val="2"/>
        </w:numPr>
      </w:pPr>
      <w:r>
        <w:rPr>
          <w:rFonts w:ascii="Arial" w:cs="Arial" w:eastAsia="Arial" w:hAnsi="Arial"/>
          <w:sz w:val="22"/>
          <w:szCs w:val="22"/>
        </w:rPr>
        <w:t xml:space="preserve">Decline to investigate further</w:t>
      </w:r>
    </w:p>
    <w:p>
      <w:pPr>
        <w:pStyle w:val="ListParagraph"/>
        <w:numPr>
          <w:ilvl w:val="0"/>
          <w:numId w:val="2"/>
        </w:numPr>
      </w:pPr>
      <w:r>
        <w:rPr>
          <w:rFonts w:ascii="Arial" w:cs="Arial" w:eastAsia="Arial" w:hAnsi="Arial"/>
          <w:sz w:val="22"/>
          <w:szCs w:val="22"/>
        </w:rPr>
        <w:t xml:space="preserve">Document the determination in the complaints register</w:t>
      </w:r>
    </w:p>
    <w:p>
      <w:r>
        <w:rPr>
          <w:rFonts w:ascii="Arial" w:cs="Arial" w:eastAsia="Arial" w:hAnsi="Arial"/>
          <w:sz w:val="22"/>
          <w:szCs w:val="22"/>
        </w:rPr>
        <w:t xml:space="preserve">This determination will be made by the Director only, after review of all available information.</w:t>
      </w:r>
    </w:p>
    <w:p>
      <w:r>
        <w:t xml:space="preserve"/>
      </w:r>
    </w:p>
    <w:p>
      <w:pPr>
        <w:pStyle w:val="Heading1"/>
      </w:pPr>
      <w:r>
        <w:t xml:space="preserve">9. Records Retention</w:t>
      </w:r>
    </w:p>
    <w:p>
      <w:r>
        <w:rPr>
          <w:rFonts w:ascii="Arial" w:cs="Arial" w:eastAsia="Arial" w:hAnsi="Arial"/>
          <w:sz w:val="22"/>
          <w:szCs w:val="22"/>
        </w:rPr>
        <w:t xml:space="preserve">All complaint records — including the original complaint, investigation notes, outcome letters, and corrective actions — are retained for a minimum of 7 years. Records are stored securely with access restricted to authorised personnel.</w:t>
      </w:r>
    </w:p>
    <w:p>
      <w:r>
        <w:t xml:space="preserve"/>
      </w:r>
    </w:p>
    <w:p>
      <w:pPr>
        <w:pStyle w:val="Heading1"/>
      </w:pPr>
      <w:r>
        <w:t xml:space="preserve">10. Continuous Improvement</w:t>
      </w:r>
    </w:p>
    <w:p>
      <w:r>
        <w:rPr>
          <w:rFonts w:ascii="Arial" w:cs="Arial" w:eastAsia="Arial" w:hAnsi="Arial"/>
          <w:sz w:val="22"/>
          <w:szCs w:val="22"/>
        </w:rPr>
        <w:t xml:space="preserve">Complaints are reviewed quarterly by the Director to identify themes, systemic issues, and improvement opportunities. Quarterly reviews result in:</w:t>
      </w:r>
    </w:p>
    <w:p>
      <w:pPr>
        <w:pStyle w:val="ListParagraph"/>
        <w:numPr>
          <w:ilvl w:val="0"/>
          <w:numId w:val="2"/>
        </w:numPr>
      </w:pPr>
      <w:r>
        <w:rPr>
          <w:rFonts w:ascii="Arial" w:cs="Arial" w:eastAsia="Arial" w:hAnsi="Arial"/>
          <w:sz w:val="22"/>
          <w:szCs w:val="22"/>
        </w:rPr>
        <w:t xml:space="preserve">A summary of complaints received by type and outcome</w:t>
      </w:r>
    </w:p>
    <w:p>
      <w:pPr>
        <w:pStyle w:val="ListParagraph"/>
        <w:numPr>
          <w:ilvl w:val="0"/>
          <w:numId w:val="2"/>
        </w:numPr>
      </w:pPr>
      <w:r>
        <w:rPr>
          <w:rFonts w:ascii="Arial" w:cs="Arial" w:eastAsia="Arial" w:hAnsi="Arial"/>
          <w:sz w:val="22"/>
          <w:szCs w:val="22"/>
        </w:rPr>
        <w:t xml:space="preserve">Identification of any patterns or systemic issues</w:t>
      </w:r>
    </w:p>
    <w:p>
      <w:pPr>
        <w:pStyle w:val="ListParagraph"/>
        <w:numPr>
          <w:ilvl w:val="0"/>
          <w:numId w:val="2"/>
        </w:numPr>
      </w:pPr>
      <w:r>
        <w:rPr>
          <w:rFonts w:ascii="Arial" w:cs="Arial" w:eastAsia="Arial" w:hAnsi="Arial"/>
          <w:sz w:val="22"/>
          <w:szCs w:val="22"/>
        </w:rPr>
        <w:t xml:space="preserve">Corrective and preventive actions documented in the quality improvement register</w:t>
      </w:r>
    </w:p>
    <w:p>
      <w:pPr>
        <w:pStyle w:val="ListParagraph"/>
        <w:numPr>
          <w:ilvl w:val="0"/>
          <w:numId w:val="2"/>
        </w:numPr>
      </w:pPr>
      <w:r>
        <w:rPr>
          <w:rFonts w:ascii="Arial" w:cs="Arial" w:eastAsia="Arial" w:hAnsi="Arial"/>
          <w:sz w:val="22"/>
          <w:szCs w:val="22"/>
        </w:rPr>
        <w:t xml:space="preserve">Updates to policies, training, or service delivery processes as required</w:t>
      </w:r>
    </w:p>
    <w:p>
      <w:r>
        <w:t xml:space="preserve"/>
      </w:r>
    </w:p>
    <w:p>
      <w:pPr>
        <w:pStyle w:val="Heading1"/>
      </w:pPr>
      <w:r>
        <w:t xml:space="preserve">Appendix: Complaint Lodgement Form</w:t>
      </w:r>
    </w:p>
    <w:p>
      <w:r>
        <w:rPr>
          <w:rFonts w:ascii="Arial" w:cs="Arial" w:eastAsia="Arial" w:hAnsi="Arial"/>
          <w:sz w:val="22"/>
          <w:szCs w:val="22"/>
        </w:rPr>
        <w:t xml:space="preserve">Complete this form and send to admin@trustcaresupport.com.au or return to TrustCare Support, Perth WA.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26"/>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Your Response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name (or anonymous if preferred)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Your role (participant / representative / provider / worker / other)</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details (phone/email — leave blank if anonymous)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Date of complaint</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Date(s) of the incident or concern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Description of complaint (what happened, who was involved, where, when)</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Outcome you are seeking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Have you raised this with TrustCare Support previously? (Y/N — if yes, when)</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588" w:sz="4" w:space="1"/>
      </w:pBdr>
      <w:jc w:val="center"/>
    </w:pPr>
    <w:r>
      <w:rPr>
        <w:rFonts w:ascii="Arial" w:cs="Arial" w:eastAsia="Arial" w:hAnsi="Arial"/>
        <w:color w:val="666666"/>
        <w:sz w:val="18"/>
        <w:szCs w:val="18"/>
      </w:rPr>
      <w:t xml:space="preserve">Version 1.0 | January 2025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588" w:sz="4" w:space="1"/>
      </w:pBdr>
      <w:tabs>
        <w:tab w:val="right" w:pos="9026"/>
      </w:tabs>
    </w:pPr>
    <w:r>
      <w:rPr>
        <w:rFonts w:ascii="Arial" w:cs="Arial" w:eastAsia="Arial" w:hAnsi="Arial"/>
        <w:color w:val="666666"/>
        <w:sz w:val="18"/>
        <w:szCs w:val="18"/>
      </w:rPr>
      <w:t xml:space="preserve">TrustCare Support — Confidential</w:t>
    </w:r>
    <w:r>
      <w:rPr>
        <w:rFonts w:ascii="Arial" w:cs="Arial" w:eastAsia="Arial" w:hAnsi="Arial"/>
        <w:color w:val="666666"/>
        <w:sz w:val="18"/>
        <w:szCs w:val="18"/>
      </w:rPr>
      <w:t xml:space="preserve">	Complaints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3588"/>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003588"/>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2026-03-31T15:56:26.445Z</dcterms:created>
  <dcterms:modified xsi:type="dcterms:W3CDTF">2026-03-31T15:56:26.445Z</dcterms:modified>
</cp:coreProperties>
</file>

<file path=docProps/custom.xml><?xml version="1.0" encoding="utf-8"?>
<Properties xmlns="http://schemas.openxmlformats.org/officeDocument/2006/custom-properties" xmlns:vt="http://schemas.openxmlformats.org/officeDocument/2006/docPropsVTypes"/>
</file>