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588"/>
          <w:sz w:val="48"/>
          <w:szCs w:val="48"/>
        </w:rPr>
        <w:t xml:space="preserve">TrustCare Support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Clinical Care &amp; Service Delivery Policy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Clinical Governance Framework for Nursing Services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ABN: 18 809 341 867 | Perth, Western Australia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admin@trustcaresupport.com.au  |  0432 014 162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| January 2025</w:t>
      </w:r>
    </w:p>
    <w:p>
      <w:r>
        <w:br w:type="page"/>
      </w:r>
    </w:p>
    <w:p>
      <w:pPr>
        <w:pStyle w:val="Heading1"/>
      </w:pPr>
      <w:r>
        <w:t xml:space="preserve">Purpose</w:t>
      </w:r>
    </w:p>
    <w:p>
      <w:r>
        <w:rPr>
          <w:rFonts w:ascii="Arial" w:cs="Arial" w:eastAsia="Arial" w:hAnsi="Arial"/>
          <w:sz w:val="22"/>
          <w:szCs w:val="22"/>
        </w:rPr>
        <w:t xml:space="preserve">This policy establishes the clinical governance framework for TrustCare Support to ensure that all nursing services are delivered safely, competently, and in accordance with evidence-based practice, NDIS standards, and AHPRA obligations. It applies to all Registered Nurses and Enrolled Nurses employed or engaged by TrustCare Support.</w:t>
      </w:r>
    </w:p>
    <w:p>
      <w:r>
        <w:t xml:space="preserve"/>
      </w:r>
    </w:p>
    <w:p>
      <w:pPr>
        <w:pStyle w:val="Heading1"/>
      </w:pPr>
      <w:r>
        <w:t xml:space="preserve">1. Scope</w:t>
      </w:r>
    </w:p>
    <w:p>
      <w:r>
        <w:rPr>
          <w:rFonts w:ascii="Arial" w:cs="Arial" w:eastAsia="Arial" w:hAnsi="Arial"/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Registered Nurses employed or engaged by TrustCare Support in the delivery of NDIS nursing supports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Enrolled Nurses working under RN supervision within TrustCare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students and observers accompanying TrustCare staff during participant visits (with participant consent)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HIDPA training and competency assessment delivered by TrustCare clinicians</w:t>
      </w:r>
    </w:p>
    <w:p>
      <w:r>
        <w:t xml:space="preserve"/>
      </w:r>
    </w:p>
    <w:p>
      <w:pPr>
        <w:pStyle w:val="Heading1"/>
      </w:pPr>
      <w:r>
        <w:t xml:space="preserve">2. Clinical Governance Framework</w:t>
      </w:r>
    </w:p>
    <w:p>
      <w:r>
        <w:rPr>
          <w:rFonts w:ascii="Arial" w:cs="Arial" w:eastAsia="Arial" w:hAnsi="Arial"/>
          <w:sz w:val="22"/>
          <w:szCs w:val="22"/>
        </w:rPr>
        <w:t xml:space="preserve">TrustCare Support's clinical governance framework is built on three pillars:</w:t>
      </w:r>
    </w:p>
    <w:p>
      <w:r>
        <w:t xml:space="preserve"/>
      </w:r>
    </w:p>
    <w:p>
      <w:pPr>
        <w:pStyle w:val="Heading2"/>
      </w:pPr>
      <w:r>
        <w:t xml:space="preserve">Pillar 1: AHPRA Registration and Professional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practising nurses maintain current AHPRA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Practice aligned with NMBA Registered Nurse Standards for Practice (2016)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NMBA Code of Conduct for Nurses observed at all times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Continuing professional development (CPD) requirements maintained (minimum 20 hours/year for RNs)</w:t>
      </w:r>
    </w:p>
    <w:p>
      <w:r>
        <w:t xml:space="preserve"/>
      </w:r>
    </w:p>
    <w:p>
      <w:pPr>
        <w:pStyle w:val="Heading2"/>
      </w:pPr>
      <w:r>
        <w:t xml:space="preserve">Pillar 2: NDIS Practice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NDIS Practice Standards Core Module — person-centred supports, prevention of violence/abuse/neglect, workforce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NDIS Practice Standards Supplementary Module 1 — High Intensity Support Skills Descriptors (February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NDIS Code of Conduct — 7 obligations observed by all staff</w:t>
      </w:r>
    </w:p>
    <w:p>
      <w:r>
        <w:t xml:space="preserve"/>
      </w:r>
    </w:p>
    <w:p>
      <w:pPr>
        <w:pStyle w:val="Heading2"/>
      </w:pPr>
      <w:r>
        <w:t xml:space="preserve">Pillar 3: Continuous Quality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Quarterly clinical audits of documentation, care plan compliance, and competency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review of all clinical policies against current legislative and professional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Incident and near-miss review integrated into clinical practice improvement</w:t>
      </w:r>
    </w:p>
    <w:p>
      <w:r>
        <w:t xml:space="preserve"/>
      </w:r>
    </w:p>
    <w:p>
      <w:pPr>
        <w:pStyle w:val="Heading1"/>
      </w:pPr>
      <w:r>
        <w:t xml:space="preserve">3. Assessment &amp; Care Planning</w:t>
      </w:r>
    </w:p>
    <w:p>
      <w:pPr>
        <w:pStyle w:val="Heading2"/>
      </w:pPr>
      <w:r>
        <w:t xml:space="preserve">Initial Assessment</w:t>
      </w:r>
    </w:p>
    <w:p>
      <w:r>
        <w:rPr>
          <w:rFonts w:ascii="Arial" w:cs="Arial" w:eastAsia="Arial" w:hAnsi="Arial"/>
          <w:sz w:val="22"/>
          <w:szCs w:val="22"/>
        </w:rPr>
        <w:t xml:space="preserve">Every new participant receives an initial nursing assessment prior to service commencement. The assessment covers: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diagnosis and co-morbidities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medications (prescribed and over-the-counter)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Functional status and level of independence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HIDPA needs and existing care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 needs and preferred communication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Cultural, religious, and personal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Emergency contacts and advance care directive (if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environment safety assessment</w:t>
      </w:r>
    </w:p>
    <w:p>
      <w:r>
        <w:t xml:space="preserve"/>
      </w:r>
    </w:p>
    <w:p>
      <w:pPr>
        <w:pStyle w:val="Heading2"/>
      </w:pPr>
      <w:r>
        <w:t xml:space="preserve">Care Plan Development</w:t>
      </w:r>
    </w:p>
    <w:p>
      <w:r>
        <w:rPr>
          <w:rFonts w:ascii="Arial" w:cs="Arial" w:eastAsia="Arial" w:hAnsi="Arial"/>
          <w:sz w:val="22"/>
          <w:szCs w:val="22"/>
        </w:rPr>
        <w:t xml:space="preserve">Following assessment, TrustCare's RN develops a personalised Nursing Care Plan: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Goals: short-term and long-term clinical goals in language the participant understands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Interventions: specific nursing actions, frequency, and responsible clinician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HIDPA requirements: specific skill areas, competency requirements for support workers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Escalation protocol: when to contact the GP, specialist, or call 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schedule: minimum 6-monthly review; earlier if clinical status changes</w:t>
      </w:r>
    </w:p>
    <w:p>
      <w:r>
        <w:rPr>
          <w:rFonts w:ascii="Arial" w:cs="Arial" w:eastAsia="Arial" w:hAnsi="Arial"/>
          <w:sz w:val="22"/>
          <w:szCs w:val="22"/>
        </w:rPr>
        <w:t xml:space="preserve">Care plans are shared with the primary registered NDIS provider within 5 business days of completion. The participant (and their representative/guardian) also receives a copy.</w:t>
      </w:r>
    </w:p>
    <w:p>
      <w:r>
        <w:t xml:space="preserve"/>
      </w:r>
    </w:p>
    <w:p>
      <w:pPr>
        <w:pStyle w:val="Heading1"/>
      </w:pPr>
      <w:r>
        <w:t xml:space="preserve">4. HIDPA Delivery Standards</w:t>
      </w:r>
    </w:p>
    <w:p>
      <w:r>
        <w:rPr>
          <w:rFonts w:ascii="Arial" w:cs="Arial" w:eastAsia="Arial" w:hAnsi="Arial"/>
          <w:sz w:val="22"/>
          <w:szCs w:val="22"/>
        </w:rPr>
        <w:t xml:space="preserve">All HIDPA supports are delivered in accordance with the NDIS Practice Standards: High Intensity Support Skills Descriptors (revised February 2025). For each of the 9 skill areas: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RN develops a specific protocol for the participant's needs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worker competency is assessed by an AHPRA-registered health professional (TrustCare RN) before the worker delivers the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Written competency sign-off is provided to the provider after each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competency reassessment is recommended; earlier reassessment if the participant's condition changes significantly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TrustCare maintains competency records for 7 years</w:t>
      </w:r>
    </w:p>
    <w:p>
      <w:r>
        <w:t xml:space="preserve"/>
      </w:r>
    </w:p>
    <w:p>
      <w:pPr>
        <w:pStyle w:val="Heading1"/>
      </w:pPr>
      <w:r>
        <w:t xml:space="preserve">5. Medication Management</w:t>
      </w:r>
    </w:p>
    <w:p>
      <w:r>
        <w:rPr>
          <w:rFonts w:ascii="Arial" w:cs="Arial" w:eastAsia="Arial" w:hAnsi="Arial"/>
          <w:sz w:val="22"/>
          <w:szCs w:val="22"/>
        </w:rPr>
        <w:t xml:space="preserve">TrustCare RNs manage medications for NDIS participants in accordance with the Nursing and Midwifery Board of Australia standards and relevant WA legislation.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 4 (S4) medications: administered by RN only — no delegation to support workers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 8 (S8) controlled drugs: administered by RN only — require specific authorisation under WA law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administration records (MARs) completed for every dose administered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errors reported via the incident management process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Webster/blister packing: RN oversees packing process; packing verified by second RN if possible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reconciliation completed at each participant visit</w:t>
      </w:r>
    </w:p>
    <w:p>
      <w:r>
        <w:t xml:space="preserve"/>
      </w:r>
    </w:p>
    <w:p>
      <w:pPr>
        <w:pStyle w:val="Heading1"/>
      </w:pPr>
      <w:r>
        <w:t xml:space="preserve">6. Infection Control</w:t>
      </w:r>
    </w:p>
    <w:p>
      <w:r>
        <w:rPr>
          <w:rFonts w:ascii="Arial" w:cs="Arial" w:eastAsia="Arial" w:hAnsi="Arial"/>
          <w:sz w:val="22"/>
          <w:szCs w:val="22"/>
        </w:rPr>
        <w:t xml:space="preserve">Standard precautions are applied in all clinical interactions: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 hygiene: 5 moments of hand hygiene per WHO guidelines (before participant contact, before aseptic procedure, after body fluid exposure, after participant contact, after touching participant's environment)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 Protective Equipment (PPE): gloves, apron, and mask as appropriate to the task and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Sharps disposal: rigid sharps containers used; no recapping of needles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Wound care: aseptic non-touch technique (ANTT) for all invasive procedures and wound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Waste disposal: clinical waste segregated per WA Health guidelines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Respiratory hygiene: respiratory precautions when participant has respiratory symptoms</w:t>
      </w:r>
    </w:p>
    <w:p>
      <w:r>
        <w:t xml:space="preserve"/>
      </w:r>
    </w:p>
    <w:p>
      <w:pPr>
        <w:pStyle w:val="Heading1"/>
      </w:pPr>
      <w:r>
        <w:t xml:space="preserve">7. Competency &amp; Training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(under RN supervision)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AHPRA registration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— required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—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— HLTAID011 or equivalent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— HLTAID011 or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Worker Screening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clearance — required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clearance —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training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 + annually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 + annually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of Conduct training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 + annually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 + annually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competency (relevant areas)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Assessed at commencement + annually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 supervision required for HIDPA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 + biennial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 + biennial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Documentation Standards</w:t>
      </w:r>
    </w:p>
    <w:p>
      <w:r>
        <w:rPr>
          <w:rFonts w:ascii="Arial" w:cs="Arial" w:eastAsia="Arial" w:hAnsi="Arial"/>
          <w:sz w:val="22"/>
          <w:szCs w:val="22"/>
        </w:rPr>
        <w:t xml:space="preserve">All clinical documentation must 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Contemporaneous — completed as soon as practicable after the clinical interaction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Accurate and objective — factual record of assessment, care provided, and participant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Legible — clear and unambiguous (typed or clearly handwritten)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Signed — with the clinician's full name, AHPRA number, date, and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Retained securely — digital records encrypted; paper records in locked storage</w:t>
      </w:r>
    </w:p>
    <w:p>
      <w:r>
        <w:rPr>
          <w:rFonts w:ascii="Arial" w:cs="Arial" w:eastAsia="Arial" w:hAnsi="Arial"/>
          <w:sz w:val="22"/>
          <w:szCs w:val="22"/>
        </w:rPr>
        <w:t xml:space="preserve">SOAP note format is used for all progress notes: Subjective (participant's report), Objective (clinical findings), Assessment (clinical interpretation), Plan (next steps).</w:t>
      </w:r>
    </w:p>
    <w:p>
      <w:r>
        <w:rPr>
          <w:rFonts w:ascii="Arial" w:cs="Arial" w:eastAsia="Arial" w:hAnsi="Arial"/>
          <w:sz w:val="22"/>
          <w:szCs w:val="22"/>
        </w:rPr>
        <w:t xml:space="preserve">Corrections to clinical records: draw a single line through the error, sign, date, and enter the correct information. No use of correction fluid (whiteout). Do not delete digital records — use version control or addendum.</w:t>
      </w:r>
    </w:p>
    <w:p>
      <w:r>
        <w:t xml:space="preserve"/>
      </w:r>
    </w:p>
    <w:p>
      <w:pPr>
        <w:pStyle w:val="Heading1"/>
      </w:pPr>
      <w:r>
        <w:t xml:space="preserve">9. Clinical Supervision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RNs receive formal clinical supervision at minimum quarterly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Supervision is conducted by an experienced RN (minimum 5 years clinical experience)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 cases may require more frequent supervision — at the discretion of the supervising RN or Director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Supervision records are maintained and available on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nurses and new graduate RNs receive weekly supervision for the first 3 months</w:t>
      </w:r>
    </w:p>
    <w:p>
      <w:r>
        <w:t xml:space="preserve"/>
      </w:r>
    </w:p>
    <w:p>
      <w:pPr>
        <w:pStyle w:val="Heading1"/>
      </w:pPr>
      <w:r>
        <w:t xml:space="preserve">10. Clinical Audits</w:t>
      </w:r>
    </w:p>
    <w:p>
      <w:r>
        <w:rPr>
          <w:rFonts w:ascii="Arial" w:cs="Arial" w:eastAsia="Arial" w:hAnsi="Arial"/>
          <w:sz w:val="22"/>
          <w:szCs w:val="22"/>
        </w:rPr>
        <w:t xml:space="preserve">TrustCare conducts clinical audits to monitor the quality and safety of care: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Quarterly internal audit: documentation compliance (SOAP notes, care plan updates, medication records), 10% random sample of active participant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clinical audit: full review of all active participants, competency records, and incident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findings are documented and shared with clinical staff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Corrective actions are implemented within 30 days of the audit</w:t>
      </w:r>
    </w:p>
    <w:p>
      <w:r>
        <w:t xml:space="preserve"/>
      </w:r>
    </w:p>
    <w:p>
      <w:pPr>
        <w:pStyle w:val="Heading1"/>
      </w:pPr>
      <w:r>
        <w:t xml:space="preserve">11. Scope of Practice</w:t>
      </w:r>
    </w:p>
    <w:p>
      <w:pPr>
        <w:pStyle w:val="Heading2"/>
      </w:pPr>
      <w:r>
        <w:t xml:space="preserve">What RNs Can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nursing assessments and care plan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Administration of S4 and S8 medications (with required authorisation for S8)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Invasive procedures: IDC/SPC insertion, wound debridement, NGT insertion, IV cannulation (if trained)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9 HIDPA direct delivery and competency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Clinical supervision of Enrolled Nurses</w:t>
      </w:r>
    </w:p>
    <w:p>
      <w:r>
        <w:t xml:space="preserve"/>
      </w:r>
    </w:p>
    <w:p>
      <w:pPr>
        <w:pStyle w:val="Heading2"/>
      </w:pPr>
      <w:r>
        <w:t xml:space="preserve">Referral Pathways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 referral: when participant's clinical condition requires medical review or prescription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Specialist referral: when outside the RN's scope or specialist assessment is required (wound care specialist, stomal therapy, continence nurse specialist)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Emergency services (000): whenever there is immediate risk to life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Hospital: when participant requires acute inpatient care</w:t>
      </w:r>
    </w:p>
    <w:p>
      <w:r>
        <w:t xml:space="preserve"/>
      </w:r>
    </w:p>
    <w:p>
      <w:pPr>
        <w:pStyle w:val="Heading1"/>
      </w:pPr>
      <w:r>
        <w:t xml:space="preserve">Appendix: Clinical Audit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2263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plan present and current (within 6 months)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notes completed for every visit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administration records complete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competency sign-off on file for all relevant workers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reports completed within 24 hours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Screening Clearance current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AHPRA registration current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collection statement provided to participant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588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Version 1.0 | January 2025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88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TrustCare Support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Clinical Care &amp; Service Delivery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35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35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2026-03-31T15:56:26.450Z</dcterms:created>
  <dcterms:modified xsi:type="dcterms:W3CDTF">2026-03-31T15:56:26.450Z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