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8"/>
          <w:sz w:val="48"/>
          <w:szCs w:val="48"/>
        </w:rPr>
        <w:t xml:space="preserve">TrustCare Support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Staff Competency &amp; Training Policy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Competency Assessment, Training Records &amp; Workforce Development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ABN: 18 809 341 867 | Perth, Western Australia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admin@trustcaresupport.com.au  |  0432 014 162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Purpose</w:t>
      </w:r>
    </w:p>
    <w:p>
      <w:r>
        <w:rPr>
          <w:rFonts w:ascii="Arial" w:cs="Arial" w:eastAsia="Arial" w:hAnsi="Arial"/>
          <w:sz w:val="22"/>
          <w:szCs w:val="22"/>
        </w:rPr>
        <w:t xml:space="preserve">TrustCare Support is committed to ensuring that all clinical and support staff possess the knowledge, skills, and attributes necessary to deliver safe, high-quality NDIS nursing services. This policy establishes minimum qualification requirements, induction procedures, HIDPA competency assessment standards, and the ongoing training framework for all TrustCare personnel.</w:t>
      </w:r>
    </w:p>
    <w:p>
      <w:r>
        <w:t xml:space="preserve"/>
      </w:r>
    </w:p>
    <w:p>
      <w:pPr>
        <w:pStyle w:val="Heading1"/>
      </w:pPr>
      <w:r>
        <w:t xml:space="preserve">1. Minimum Qualifications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Nurse (RN)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AHPRA registration as Registered Nurse (no conditions that prohibit independent practice); current CPR certification; NDIS Worker Screening Clearance; annual minimum 20 hours CPD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Nurse (EN)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AHPRA registration as Enrolled Nurse; current CPR certification; NDIS Worker Screening Clearance; must work under direct RN supervision at TrustCare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Worker (engaged via TrustCare for HIDPA delivery)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III in Individual Support or equivalent; NDIS Worker Screening Clearance; completed TrustCare HIDPA competency assessment for relevant skill areas; current CPR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Induction Requirements</w:t>
      </w:r>
    </w:p>
    <w:p>
      <w:r>
        <w:rPr>
          <w:rFonts w:ascii="Arial" w:cs="Arial" w:eastAsia="Arial" w:hAnsi="Arial"/>
          <w:sz w:val="22"/>
          <w:szCs w:val="22"/>
        </w:rPr>
        <w:t xml:space="preserve">All new staff complete a structured induction before delivering unsupervised NDIS supports. The induction checklist must be signed by the staff member and their supervising RN.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Code of Conduct review and acknowledgment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TrustCare Policies review (Clinical, Incidents, Complaints, Privacy, Worker Screening)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and data security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Infection control and standard precautions briefing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 and safe work practices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and near-miss reporting procedure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procedures (participant emergencies, calling 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rights and dignity of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 health and safety orientation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standards and clinical record-keeping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and systems (clinical records system, communications)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Worker Screening Clearance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registration verified (for clinical staff)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indemnity insurance confirmed (for self-employed RNs)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 equipment orientation (PPE, clinical equipment)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HIDPA Competency Assessment</w:t>
      </w:r>
    </w:p>
    <w:p>
      <w:r>
        <w:rPr>
          <w:rFonts w:ascii="Arial" w:cs="Arial" w:eastAsia="Arial" w:hAnsi="Arial"/>
          <w:sz w:val="22"/>
          <w:szCs w:val="22"/>
        </w:rPr>
        <w:t xml:space="preserve">HIDPA competency assessment is a non-delegable obligation. Under the NDIS Practice Standards: High Intensity Support Skills Descriptors (revised February 2025), all HIDPA competency assessments must be conducted by an AHPRA-registered health professional. At TrustCare, all HIDPA assessments are conducted by our Registered Nurses.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Assessment is individualised to the specific participant's care needs — generic training is insufficient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Competency is assessed, not assumed — training is not the same as competency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Written competency sign-off is provided to the provider after every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TrustCare maintains a competency register for all assessed workers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HIDPA Skill 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Assessed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Tracheostomy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Suctioning technique, inner cannula change, stoma care, emergency response, infection control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+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Ventilator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circuit check, alarm management, emergency procedure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+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Seizure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Seizure recognition, response protocol, medication administration (if applicable)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Scenario-based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Subcutaneous injections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technique, medication identification, documentation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+ demonstration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Enteral feeding (PEG/NGT)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preparation, administration, site care, troubleshooting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Urinary catheter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Catheter bag care, monitoring, complication recognition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Bowel care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Suppository administration, monitoring, escalation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+ written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Dysphagia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 modification, mealtime technique, aspiration recognition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+ scenario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wound and skin care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Dressing change per care plan, wound monitoring, escalation criteria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Competency Assessment 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TrustCare RN reviews the participant's care plan and HIDPA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RN conducts a knowledge check: written or verbal questions about the specific HIDPA area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RN observes the worker performing the skill (with the participant if possible, or simulation if not yet commenced)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RN assesses against the NDIS Skills Descriptors for the relevant skill area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competency is demonstrated: written sign-off document completed and provided to provider and worker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competency is not demonstrated: gap noted, additional training provided, reassessment scheduled (minimum 2 weeks)</w:t>
      </w:r>
    </w:p>
    <w:p>
      <w:r>
        <w:t xml:space="preserve"/>
      </w:r>
    </w:p>
    <w:p>
      <w:pPr>
        <w:pStyle w:val="Heading1"/>
      </w:pPr>
      <w:r>
        <w:t xml:space="preserve">5. Competency Records</w:t>
      </w:r>
    </w:p>
    <w:p>
      <w:r>
        <w:rPr>
          <w:rFonts w:ascii="Arial" w:cs="Arial" w:eastAsia="Arial" w:hAnsi="Arial"/>
          <w:sz w:val="22"/>
          <w:szCs w:val="22"/>
        </w:rPr>
        <w:t xml:space="preserve">TrustCare maintains a digital Competency Register for all assessed workers: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name, role, and employer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HIDPA skill area assessed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Participant name (records are participant-specific)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of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Outcome (competent / not yet competent / requires reassessment)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and AHPRA number of assessing 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of next recommended review</w:t>
      </w:r>
    </w:p>
    <w:p>
      <w:r>
        <w:rPr>
          <w:rFonts w:ascii="Arial" w:cs="Arial" w:eastAsia="Arial" w:hAnsi="Arial"/>
          <w:sz w:val="22"/>
          <w:szCs w:val="22"/>
        </w:rPr>
        <w:t xml:space="preserve">Records are stored with AES-256 encryption. Access is restricted to TrustCare clinical staff and the primary provider (on reasonable request). Records are retained for 7 years.</w:t>
      </w:r>
    </w:p>
    <w:p>
      <w:r>
        <w:t xml:space="preserve"/>
      </w:r>
    </w:p>
    <w:p>
      <w:pPr>
        <w:pStyle w:val="Heading1"/>
      </w:pPr>
      <w:r>
        <w:t xml:space="preserve">6. Annual Competency Review</w:t>
      </w:r>
    </w:p>
    <w:p>
      <w:r>
        <w:rPr>
          <w:rFonts w:ascii="Arial" w:cs="Arial" w:eastAsia="Arial" w:hAnsi="Arial"/>
          <w:sz w:val="22"/>
          <w:szCs w:val="22"/>
        </w:rPr>
        <w:t xml:space="preserve">Annual competency review is recommended for all workers in HIDPA roles. Early review is triggered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participant's clinical condition changes significantly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incident or near-miss occurs related to a HIDPA skill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worker has not performed the skill in the past 6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clinical evidence or NDIS guidance changes best practice for the skill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worker or provider requests reassessment</w:t>
      </w:r>
    </w:p>
    <w:p>
      <w:r>
        <w:t xml:space="preserve"/>
      </w:r>
    </w:p>
    <w:p>
      <w:pPr>
        <w:pStyle w:val="Heading1"/>
      </w:pPr>
      <w:r>
        <w:t xml:space="preserve">7. Training Delivery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Type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(TrustCare RN)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(Approved Provider)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skill training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delivered by TrustCare RN at participant's home or agreed venue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Supplementary only — must still be assessed by TrustCare 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delivered internally — must be completed with AHPRA or RTO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must be HLTAID011 or equivalent, current within 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orientation component delivered at induction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biennial refresher may be via RTO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training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annual internal privacy training delivered by Director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OAIC eLearning modules accepted as supplement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Conduct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induction and annual refresher delivered internally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Commission eLearning modules accepted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Mandatory Training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 (HLTAID011 or equivalent)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Face-to-face RTO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from last certificate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Biennial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or RTO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 from last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and data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or eLearning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from last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Code of Conduct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Induction + 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NDIS Commission eLearning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induction; then annually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Infection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from last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competency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(or as triggered)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observation by TrustCare RN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from last assessment; or earlier if triggered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Competency Gap Management</w:t>
      </w:r>
    </w:p>
    <w:p>
      <w:r>
        <w:rPr>
          <w:rFonts w:ascii="Arial" w:cs="Arial" w:eastAsia="Arial" w:hAnsi="Arial"/>
          <w:sz w:val="22"/>
          <w:szCs w:val="22"/>
        </w:rPr>
        <w:t xml:space="preserve">If a competency gap is identified at any time (via assessment, audit, incident review, or supervisor observation):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worker is immediately restricted from performing the relevant skill unsupervised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gap is documented in the competency register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gap management plan is developed: additional training, supervised practice sessions, and timeline for reassessment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the gap poses an immediate safety risk, the worker is stood down from the relevant role until competency is re-established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primary registered NDIS provider is notified within 24 hours if a worker's restrictions affect participant support delivery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Reassessment is scheduled as soon as practicable (minimum 2 weeks training before reassessment)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competency cannot be re-established after two reassessment attempts, the Director reviews suitability for the role</w:t>
      </w:r>
    </w:p>
    <w:p>
      <w:r>
        <w:t xml:space="preserve"/>
      </w:r>
    </w:p>
    <w:p>
      <w:pPr>
        <w:pStyle w:val="Heading1"/>
      </w:pPr>
      <w:r>
        <w:t xml:space="preserve">10. Records Retention</w:t>
      </w:r>
    </w:p>
    <w:p>
      <w:r>
        <w:rPr>
          <w:rFonts w:ascii="Arial" w:cs="Arial" w:eastAsia="Arial" w:hAnsi="Arial"/>
          <w:sz w:val="22"/>
          <w:szCs w:val="22"/>
        </w:rPr>
        <w:t xml:space="preserve">All staff training and competency records are retained for a minimum of 7 years after employment or engagement ends. Records are stored securely (encrypted digital storage) with access restricted to authorised personnel.</w:t>
      </w:r>
    </w:p>
    <w:p>
      <w:r>
        <w:t xml:space="preserve"/>
      </w:r>
    </w:p>
    <w:p>
      <w:pPr>
        <w:pStyle w:val="Heading1"/>
      </w:pPr>
      <w:r>
        <w:t xml:space="preserve">Appendix A: Induction Checklist</w:t>
      </w:r>
    </w:p>
    <w:p>
      <w:r>
        <w:rPr>
          <w:rFonts w:ascii="Arial" w:cs="Arial" w:eastAsia="Arial" w:hAnsi="Arial"/>
          <w:sz w:val="22"/>
          <w:szCs w:val="22"/>
        </w:rPr>
        <w:t xml:space="preserve">See Section 2 table above. Print, complete, and file with the worker's personnel record.</w:t>
      </w:r>
    </w:p>
    <w:p>
      <w:r>
        <w:t xml:space="preserve"/>
      </w:r>
    </w:p>
    <w:p>
      <w:pPr>
        <w:pStyle w:val="Heading1"/>
      </w:pPr>
      <w:r>
        <w:t xml:space="preserve">Appendix B: Competency Assessment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name and 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Worker's employer (NDIS provider name)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name and 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skill area assessed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assessment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methods used (observation / simulation / written / verbal)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Outcome: Competent / Not Yet Competent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(if not yet competent — describe gap and recommended action)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next recommended review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Assessing RN name and AHPRA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Assessing RN signature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signed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C: Annual Training Calendar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400"/>
        <w:gridCol w:w="1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On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CPR (HLTAID011)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&amp; data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Code of Conduct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HIDPA competency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AHPRA CPD log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58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| January 2025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TrustCare Support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Staff Competency &amp; Training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5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35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2026-03-31T16:00:09.280Z</dcterms:created>
  <dcterms:modified xsi:type="dcterms:W3CDTF">2026-03-31T16:00:09.280Z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