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color w:val="003588"/>
          <w:sz w:val="48"/>
          <w:szCs w:val="48"/>
        </w:rPr>
        <w:t xml:space="preserve">TrustCare Support</w:t>
      </w:r>
    </w:p>
    <w:p>
      <w:r>
        <w:t xml:space="preserve"/>
      </w:r>
    </w:p>
    <w:p>
      <w:pPr>
        <w:jc w:val="center"/>
      </w:pPr>
      <w:r>
        <w:rPr>
          <w:rFonts w:ascii="Arial" w:cs="Arial" w:eastAsia="Arial" w:hAnsi="Arial"/>
          <w:b/>
          <w:bCs/>
          <w:sz w:val="36"/>
          <w:szCs w:val="36"/>
        </w:rPr>
        <w:t xml:space="preserve">Data Retention &amp; Privacy Policy</w:t>
      </w:r>
    </w:p>
    <w:p>
      <w:pPr>
        <w:jc w:val="center"/>
      </w:pPr>
      <w:r>
        <w:rPr>
          <w:rFonts w:ascii="Arial" w:cs="Arial" w:eastAsia="Arial" w:hAnsi="Arial"/>
          <w:color w:val="444444"/>
          <w:sz w:val="24"/>
          <w:szCs w:val="24"/>
        </w:rPr>
        <w:t xml:space="preserve">Data Classification, Retention Schedules &amp; Privacy Management</w:t>
      </w:r>
    </w:p>
    <w:p>
      <w:r>
        <w:t xml:space="preserve"/>
      </w:r>
    </w:p>
    <w:p>
      <w:r>
        <w:t xml:space="preserve"/>
      </w:r>
    </w:p>
    <w:p>
      <w:pPr>
        <w:jc w:val="center"/>
      </w:pPr>
      <w:r>
        <w:rPr>
          <w:rFonts w:ascii="Arial" w:cs="Arial" w:eastAsia="Arial" w:hAnsi="Arial"/>
          <w:color w:val="666666"/>
          <w:sz w:val="20"/>
          <w:szCs w:val="20"/>
        </w:rPr>
        <w:t xml:space="preserve">ABN: 18 809 341 867 | Perth, Western Australia</w:t>
      </w:r>
    </w:p>
    <w:p>
      <w:pPr>
        <w:jc w:val="center"/>
      </w:pPr>
      <w:r>
        <w:rPr>
          <w:rFonts w:ascii="Arial" w:cs="Arial" w:eastAsia="Arial" w:hAnsi="Arial"/>
          <w:color w:val="666666"/>
          <w:sz w:val="20"/>
          <w:szCs w:val="20"/>
        </w:rPr>
        <w:t xml:space="preserve">admin@trustcaresupport.com.au  |  0432 014 162</w:t>
      </w:r>
    </w:p>
    <w:p>
      <w:r>
        <w:t xml:space="preserve"/>
      </w:r>
    </w:p>
    <w:p>
      <w:pPr>
        <w:jc w:val="center"/>
      </w:pPr>
      <w:r>
        <w:rPr>
          <w:rFonts w:ascii="Arial" w:cs="Arial" w:eastAsia="Arial" w:hAnsi="Arial"/>
          <w:color w:val="666666"/>
          <w:sz w:val="20"/>
          <w:szCs w:val="20"/>
        </w:rPr>
        <w:t xml:space="preserve">Version 1.0 | January 2025</w:t>
      </w:r>
    </w:p>
    <w:p>
      <w:r>
        <w:br w:type="page"/>
      </w:r>
    </w:p>
    <w:p>
      <w:pPr>
        <w:pStyle w:val="Heading1"/>
      </w:pPr>
      <w:r>
        <w:t xml:space="preserve">Purpose</w:t>
      </w:r>
    </w:p>
    <w:p>
      <w:r>
        <w:rPr>
          <w:rFonts w:ascii="Arial" w:cs="Arial" w:eastAsia="Arial" w:hAnsi="Arial"/>
          <w:sz w:val="22"/>
          <w:szCs w:val="22"/>
        </w:rPr>
        <w:t xml:space="preserve">TrustCare Support collects and retains personal information to deliver NDIS nursing services, meet legal obligations, and support continuous improvement. This policy establishes retention schedules for all data categories, storage and access standards, destruction procedures, and privacy impact assessment requirements.</w:t>
      </w:r>
    </w:p>
    <w:p>
      <w:r>
        <w:rPr>
          <w:rFonts w:ascii="Arial" w:cs="Arial" w:eastAsia="Arial" w:hAnsi="Arial"/>
          <w:sz w:val="22"/>
          <w:szCs w:val="22"/>
        </w:rPr>
        <w:t xml:space="preserve">Under APP 11.2 of the Privacy Act 1988 (Cth), TrustCare Support must take reasonable steps to destroy or permanently de-identify personal information when it is no longer needed for any purpose for which it may be used or disclosed. This policy operationalises that obligation.</w:t>
      </w:r>
    </w:p>
    <w:p>
      <w:r>
        <w:t xml:space="preserve"/>
      </w:r>
    </w:p>
    <w:p>
      <w:pPr>
        <w:pStyle w:val="Heading1"/>
      </w:pPr>
      <w:r>
        <w:t xml:space="preserve">1. Data Categories and Retention Schedules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226"/>
      </w:tblGrid>
      <w:tr>
        <w:tc>
          <w:tcPr>
            <w:tcW w:type="dxa" w:w="2800"/>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Data Category</w:t>
            </w:r>
          </w:p>
        </w:tc>
        <w:tc>
          <w:tcPr>
            <w:tcW w:type="dxa" w:w="2000"/>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Retention Period</w:t>
            </w:r>
          </w:p>
        </w:tc>
        <w:tc>
          <w:tcPr>
            <w:tcW w:type="dxa" w:w="2000"/>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Legal Basis</w:t>
            </w:r>
          </w:p>
        </w:tc>
        <w:tc>
          <w:tcPr>
            <w:tcW w:type="dxa" w:w="2226"/>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Participant clinical records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years (adult)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 Records Act WA; professional standards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participant was under 18: retain until 7 years after their 25th birthday</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Incident reports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7 years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NDIS Rules; professional indemnity</w:t>
            </w:r>
          </w:p>
        </w:tc>
        <w:tc>
          <w:tcPr>
            <w:tcW w:type="dxa" w:w="22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If participant was a child: retain until 7 years after 25th birthday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Worker employment records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years post-employment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 employment law; Fair Work Act</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Includes contracts, payroll, leave records, performance reviews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Worker competency records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7 years post-employment</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NDIS Practice Standards; professional standards</w:t>
            </w:r>
          </w:p>
        </w:tc>
        <w:tc>
          <w:tcPr>
            <w:tcW w:type="dxa" w:w="22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Competency sign-off documents, training certificates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NDIS Worker Screening records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years post-expiry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NDIS Worker Screening Act 2020</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Clearance numbers, verification dates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Provider contracts and agreements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7 years post-expiry</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Limitation Act WA; contract law</w:t>
            </w:r>
          </w:p>
        </w:tc>
        <w:tc>
          <w:tcPr>
            <w:tcW w:type="dxa" w:w="22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Service agreements, amendments, schedules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 records (invoices, payments)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years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Taxation Administration Act 1953 (Cth)</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ATO requires 5 years; extend to 7 if legal risk</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Complaints records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7 years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NDIS Commission; professional indemnity</w:t>
            </w:r>
          </w:p>
        </w:tc>
        <w:tc>
          <w:tcPr>
            <w:tcW w:type="dxa" w:w="22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All complaints, investigations, outcomes, CAPAs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Website enquiry / Formspree form data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years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11.2 — minimum necessary retention</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Formspree retains for 90 days; TrustCare email records: 2 years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General email correspondence</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2 years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APP 11.2</w:t>
            </w:r>
          </w:p>
        </w:tc>
        <w:tc>
          <w:tcPr>
            <w:tcW w:type="dxa" w:w="22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Routine business emails not relating to clinical care or legal matters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 or legal email correspondence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years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 records; legal risk</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Emails containing clinical information or legal discussions</w:t>
            </w:r>
          </w:p>
        </w:tc>
      </w:tr>
    </w:tbl>
    <w:p>
      <w:r>
        <w:t xml:space="preserve"/>
      </w:r>
    </w:p>
    <w:p>
      <w:pPr>
        <w:pStyle w:val="Heading1"/>
      </w:pPr>
      <w:r>
        <w:t xml:space="preserve">2. Storage Locations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3263"/>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Storage Location</w:t>
            </w:r>
          </w:p>
        </w:tc>
        <w:tc>
          <w:tcPr>
            <w:tcW w:type="dxa" w:w="3263"/>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Security Standard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 records (digital)</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storage (encrypted) — AES-256 encryption at rest</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AES-256 encryption; role-based access; audit logs</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Clinical records (paper)</w:t>
            </w:r>
          </w:p>
        </w:tc>
        <w:tc>
          <w:tcPr>
            <w:tcW w:type="dxa" w:w="326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Locked filing cabinet — restricted access area</w:t>
            </w:r>
          </w:p>
        </w:tc>
        <w:tc>
          <w:tcPr>
            <w:tcW w:type="dxa" w:w="326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Locked storage; access log; limited to authorised personnel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Worker records</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storage (encrypted) — director access only</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AES-256 encryption; director access only</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Website form submissions</w:t>
            </w:r>
          </w:p>
        </w:tc>
        <w:tc>
          <w:tcPr>
            <w:tcW w:type="dxa" w:w="326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Formspree (US-based, GDPR-compliant) — 90-day retention on free plan</w:t>
            </w:r>
          </w:p>
        </w:tc>
        <w:tc>
          <w:tcPr>
            <w:tcW w:type="dxa" w:w="326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TLS transmission; reviewed and stored to email within 90 days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 records</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Accounting software (cloud); paper invoices in locked storage</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Software provider encryption; TrustCare access controls</w:t>
            </w:r>
          </w:p>
        </w:tc>
      </w:tr>
    </w:tbl>
    <w:p>
      <w:r>
        <w:t xml:space="preserve"/>
      </w:r>
    </w:p>
    <w:p>
      <w:pPr>
        <w:pStyle w:val="Heading1"/>
      </w:pPr>
      <w:r>
        <w:t xml:space="preserve">3. Access Controls</w:t>
      </w:r>
    </w:p>
    <w:p>
      <w:r>
        <w:rPr>
          <w:rFonts w:ascii="Arial" w:cs="Arial" w:eastAsia="Arial" w:hAnsi="Arial"/>
          <w:sz w:val="22"/>
          <w:szCs w:val="22"/>
        </w:rPr>
        <w:t xml:space="preserve">TrustCare applies minimum necessary access principles (APP 11):</w:t>
      </w:r>
    </w:p>
    <w:p>
      <w:pPr>
        <w:pStyle w:val="ListParagraph"/>
        <w:numPr>
          <w:ilvl w:val="0"/>
          <w:numId w:val="2"/>
        </w:numPr>
      </w:pPr>
      <w:r>
        <w:rPr>
          <w:rFonts w:ascii="Arial" w:cs="Arial" w:eastAsia="Arial" w:hAnsi="Arial"/>
          <w:sz w:val="22"/>
          <w:szCs w:val="22"/>
        </w:rPr>
        <w:t xml:space="preserve">Clinical records: Accessible to the treating RN and Director only — not shared with other workers without clinical need</w:t>
      </w:r>
    </w:p>
    <w:p>
      <w:pPr>
        <w:pStyle w:val="ListParagraph"/>
        <w:numPr>
          <w:ilvl w:val="0"/>
          <w:numId w:val="2"/>
        </w:numPr>
      </w:pPr>
      <w:r>
        <w:rPr>
          <w:rFonts w:ascii="Arial" w:cs="Arial" w:eastAsia="Arial" w:hAnsi="Arial"/>
          <w:sz w:val="22"/>
          <w:szCs w:val="22"/>
        </w:rPr>
        <w:t xml:space="preserve">Worker records: Accessible to Director only — not accessible to clinical staff unless required for supervision</w:t>
      </w:r>
    </w:p>
    <w:p>
      <w:pPr>
        <w:pStyle w:val="ListParagraph"/>
        <w:numPr>
          <w:ilvl w:val="0"/>
          <w:numId w:val="2"/>
        </w:numPr>
      </w:pPr>
      <w:r>
        <w:rPr>
          <w:rFonts w:ascii="Arial" w:cs="Arial" w:eastAsia="Arial" w:hAnsi="Arial"/>
          <w:sz w:val="22"/>
          <w:szCs w:val="22"/>
        </w:rPr>
        <w:t xml:space="preserve">Financial records: Accessible to Director and bookkeeper only</w:t>
      </w:r>
    </w:p>
    <w:p>
      <w:pPr>
        <w:pStyle w:val="ListParagraph"/>
        <w:numPr>
          <w:ilvl w:val="0"/>
          <w:numId w:val="2"/>
        </w:numPr>
      </w:pPr>
      <w:r>
        <w:rPr>
          <w:rFonts w:ascii="Arial" w:cs="Arial" w:eastAsia="Arial" w:hAnsi="Arial"/>
          <w:sz w:val="22"/>
          <w:szCs w:val="22"/>
        </w:rPr>
        <w:t xml:space="preserve">All systems: Role-based access controls enforced; shared passwords are not permitted</w:t>
      </w:r>
    </w:p>
    <w:p>
      <w:pPr>
        <w:pStyle w:val="ListParagraph"/>
        <w:numPr>
          <w:ilvl w:val="0"/>
          <w:numId w:val="2"/>
        </w:numPr>
      </w:pPr>
      <w:r>
        <w:rPr>
          <w:rFonts w:ascii="Arial" w:cs="Arial" w:eastAsia="Arial" w:hAnsi="Arial"/>
          <w:sz w:val="22"/>
          <w:szCs w:val="22"/>
        </w:rPr>
        <w:t xml:space="preserve">Access logs: All access to personal information systems is logged and reviewable</w:t>
      </w:r>
    </w:p>
    <w:p>
      <w:pPr>
        <w:pStyle w:val="ListParagraph"/>
        <w:numPr>
          <w:ilvl w:val="0"/>
          <w:numId w:val="2"/>
        </w:numPr>
      </w:pPr>
      <w:r>
        <w:rPr>
          <w:rFonts w:ascii="Arial" w:cs="Arial" w:eastAsia="Arial" w:hAnsi="Arial"/>
          <w:sz w:val="22"/>
          <w:szCs w:val="22"/>
        </w:rPr>
        <w:t xml:space="preserve">Third-party access: No personal information is shared with third parties without a data processing agreement or legal basis</w:t>
      </w:r>
    </w:p>
    <w:p>
      <w:r>
        <w:t xml:space="preserve"/>
      </w:r>
    </w:p>
    <w:p>
      <w:pPr>
        <w:pStyle w:val="Heading1"/>
      </w:pPr>
      <w:r>
        <w:t xml:space="preserve">4. Destruction Procedures</w:t>
      </w:r>
    </w:p>
    <w:p>
      <w:pPr>
        <w:pStyle w:val="Heading2"/>
      </w:pPr>
      <w:r>
        <w:t xml:space="preserve">Digital Records</w:t>
      </w:r>
    </w:p>
    <w:p>
      <w:pPr>
        <w:pStyle w:val="ListParagraph"/>
        <w:numPr>
          <w:ilvl w:val="0"/>
          <w:numId w:val="2"/>
        </w:numPr>
      </w:pPr>
      <w:r>
        <w:rPr>
          <w:rFonts w:ascii="Arial" w:cs="Arial" w:eastAsia="Arial" w:hAnsi="Arial"/>
          <w:sz w:val="22"/>
          <w:szCs w:val="22"/>
        </w:rPr>
        <w:t xml:space="preserve">When retention period expires: files are securely deleted using overwrite deletion (not simply moved to recycle bin)</w:t>
      </w:r>
    </w:p>
    <w:p>
      <w:pPr>
        <w:pStyle w:val="ListParagraph"/>
        <w:numPr>
          <w:ilvl w:val="0"/>
          <w:numId w:val="2"/>
        </w:numPr>
      </w:pPr>
      <w:r>
        <w:rPr>
          <w:rFonts w:ascii="Arial" w:cs="Arial" w:eastAsia="Arial" w:hAnsi="Arial"/>
          <w:sz w:val="22"/>
          <w:szCs w:val="22"/>
        </w:rPr>
        <w:t xml:space="preserve">Cloud storage: provider's secure deletion function used; deletion confirmed in the destruction log</w:t>
      </w:r>
    </w:p>
    <w:p>
      <w:pPr>
        <w:pStyle w:val="ListParagraph"/>
        <w:numPr>
          <w:ilvl w:val="0"/>
          <w:numId w:val="2"/>
        </w:numPr>
      </w:pPr>
      <w:r>
        <w:rPr>
          <w:rFonts w:ascii="Arial" w:cs="Arial" w:eastAsia="Arial" w:hAnsi="Arial"/>
          <w:sz w:val="22"/>
          <w:szCs w:val="22"/>
        </w:rPr>
        <w:t xml:space="preserve">A destruction log is maintained: data category, date of destruction, method, authorised by</w:t>
      </w:r>
    </w:p>
    <w:p>
      <w:r>
        <w:t xml:space="preserve"/>
      </w:r>
    </w:p>
    <w:p>
      <w:pPr>
        <w:pStyle w:val="Heading2"/>
      </w:pPr>
      <w:r>
        <w:t xml:space="preserve">Paper Records</w:t>
      </w:r>
    </w:p>
    <w:p>
      <w:pPr>
        <w:pStyle w:val="ListParagraph"/>
        <w:numPr>
          <w:ilvl w:val="0"/>
          <w:numId w:val="2"/>
        </w:numPr>
      </w:pPr>
      <w:r>
        <w:rPr>
          <w:rFonts w:ascii="Arial" w:cs="Arial" w:eastAsia="Arial" w:hAnsi="Arial"/>
          <w:sz w:val="22"/>
          <w:szCs w:val="22"/>
        </w:rPr>
        <w:t xml:space="preserve">Cross-cut shredding of all paper records containing personal information</w:t>
      </w:r>
    </w:p>
    <w:p>
      <w:pPr>
        <w:pStyle w:val="ListParagraph"/>
        <w:numPr>
          <w:ilvl w:val="0"/>
          <w:numId w:val="2"/>
        </w:numPr>
      </w:pPr>
      <w:r>
        <w:rPr>
          <w:rFonts w:ascii="Arial" w:cs="Arial" w:eastAsia="Arial" w:hAnsi="Arial"/>
          <w:sz w:val="22"/>
          <w:szCs w:val="22"/>
        </w:rPr>
        <w:t xml:space="preserve">Bulk shredding may be contracted to a registered commercial shredding service (with confidentiality agreement)</w:t>
      </w:r>
    </w:p>
    <w:p>
      <w:pPr>
        <w:pStyle w:val="ListParagraph"/>
        <w:numPr>
          <w:ilvl w:val="0"/>
          <w:numId w:val="2"/>
        </w:numPr>
      </w:pPr>
      <w:r>
        <w:rPr>
          <w:rFonts w:ascii="Arial" w:cs="Arial" w:eastAsia="Arial" w:hAnsi="Arial"/>
          <w:sz w:val="22"/>
          <w:szCs w:val="22"/>
        </w:rPr>
        <w:t xml:space="preserve">Shredding certificate obtained from commercial provider and retained in destruction log</w:t>
      </w:r>
    </w:p>
    <w:p>
      <w:r>
        <w:t xml:space="preserve"/>
      </w:r>
    </w:p>
    <w:p>
      <w:pPr>
        <w:pStyle w:val="Heading1"/>
      </w:pPr>
      <w:r>
        <w:t xml:space="preserve">5. Data Breach Response</w:t>
      </w:r>
    </w:p>
    <w:p>
      <w:r>
        <w:rPr>
          <w:rFonts w:ascii="Arial" w:cs="Arial" w:eastAsia="Arial" w:hAnsi="Arial"/>
          <w:sz w:val="22"/>
          <w:szCs w:val="22"/>
        </w:rPr>
        <w:t xml:space="preserve">In the event of a suspected or actual data breach:</w:t>
      </w:r>
    </w:p>
    <w:p>
      <w:pPr>
        <w:pStyle w:val="ListParagraph"/>
        <w:numPr>
          <w:ilvl w:val="0"/>
          <w:numId w:val="3"/>
        </w:numPr>
      </w:pPr>
      <w:r>
        <w:rPr>
          <w:rFonts w:ascii="Arial" w:cs="Arial" w:eastAsia="Arial" w:hAnsi="Arial"/>
          <w:sz w:val="22"/>
          <w:szCs w:val="22"/>
        </w:rPr>
        <w:t xml:space="preserve">Contain the breach immediately (revoke access, isolate affected systems)</w:t>
      </w:r>
    </w:p>
    <w:p>
      <w:pPr>
        <w:pStyle w:val="ListParagraph"/>
        <w:numPr>
          <w:ilvl w:val="0"/>
          <w:numId w:val="3"/>
        </w:numPr>
      </w:pPr>
      <w:r>
        <w:rPr>
          <w:rFonts w:ascii="Arial" w:cs="Arial" w:eastAsia="Arial" w:hAnsi="Arial"/>
          <w:sz w:val="22"/>
          <w:szCs w:val="22"/>
        </w:rPr>
        <w:t xml:space="preserve">Assess the nature and scale of the breach within 30 days</w:t>
      </w:r>
    </w:p>
    <w:p>
      <w:pPr>
        <w:pStyle w:val="ListParagraph"/>
        <w:numPr>
          <w:ilvl w:val="0"/>
          <w:numId w:val="3"/>
        </w:numPr>
      </w:pPr>
      <w:r>
        <w:rPr>
          <w:rFonts w:ascii="Arial" w:cs="Arial" w:eastAsia="Arial" w:hAnsi="Arial"/>
          <w:sz w:val="22"/>
          <w:szCs w:val="22"/>
        </w:rPr>
        <w:t xml:space="preserve">Determine if the breach is an 'eligible data breach' under the NDB scheme (likely to result in serious harm)</w:t>
      </w:r>
    </w:p>
    <w:p>
      <w:pPr>
        <w:pStyle w:val="ListParagraph"/>
        <w:numPr>
          <w:ilvl w:val="0"/>
          <w:numId w:val="3"/>
        </w:numPr>
      </w:pPr>
      <w:r>
        <w:rPr>
          <w:rFonts w:ascii="Arial" w:cs="Arial" w:eastAsia="Arial" w:hAnsi="Arial"/>
          <w:sz w:val="22"/>
          <w:szCs w:val="22"/>
        </w:rPr>
        <w:t xml:space="preserve">If eligible: notify the OAIC and affected individuals as soon as practicable</w:t>
      </w:r>
    </w:p>
    <w:p>
      <w:pPr>
        <w:pStyle w:val="ListParagraph"/>
        <w:numPr>
          <w:ilvl w:val="0"/>
          <w:numId w:val="3"/>
        </w:numPr>
      </w:pPr>
      <w:r>
        <w:rPr>
          <w:rFonts w:ascii="Arial" w:cs="Arial" w:eastAsia="Arial" w:hAnsi="Arial"/>
          <w:sz w:val="22"/>
          <w:szCs w:val="22"/>
        </w:rPr>
        <w:t xml:space="preserve">Document all actions taken in the breach response log</w:t>
      </w:r>
    </w:p>
    <w:p>
      <w:pPr>
        <w:pStyle w:val="ListParagraph"/>
        <w:numPr>
          <w:ilvl w:val="0"/>
          <w:numId w:val="3"/>
        </w:numPr>
      </w:pPr>
      <w:r>
        <w:rPr>
          <w:rFonts w:ascii="Arial" w:cs="Arial" w:eastAsia="Arial" w:hAnsi="Arial"/>
          <w:sz w:val="22"/>
          <w:szCs w:val="22"/>
        </w:rPr>
        <w:t xml:space="preserve">Implement corrective actions to prevent recurrence</w:t>
      </w:r>
    </w:p>
    <w:p>
      <w:r>
        <w:rPr>
          <w:rFonts w:ascii="Arial" w:cs="Arial" w:eastAsia="Arial" w:hAnsi="Arial"/>
          <w:sz w:val="22"/>
          <w:szCs w:val="22"/>
        </w:rPr>
        <w:t xml:space="preserve">OAIC contact: www.oaic.gov.au | Phone: 1300 363 992</w:t>
      </w:r>
    </w:p>
    <w:p>
      <w:r>
        <w:t xml:space="preserve"/>
      </w:r>
    </w:p>
    <w:p>
      <w:pPr>
        <w:pStyle w:val="Heading1"/>
      </w:pPr>
      <w:r>
        <w:t xml:space="preserve">6. Privacy Impact Assessment</w:t>
      </w:r>
    </w:p>
    <w:p>
      <w:r>
        <w:rPr>
          <w:rFonts w:ascii="Arial" w:cs="Arial" w:eastAsia="Arial" w:hAnsi="Arial"/>
          <w:sz w:val="22"/>
          <w:szCs w:val="22"/>
        </w:rPr>
        <w:t xml:space="preserve">TrustCare will conduct a Privacy Impact Assessment (PIA) before:</w:t>
      </w:r>
    </w:p>
    <w:p>
      <w:pPr>
        <w:pStyle w:val="ListParagraph"/>
        <w:numPr>
          <w:ilvl w:val="0"/>
          <w:numId w:val="2"/>
        </w:numPr>
      </w:pPr>
      <w:r>
        <w:rPr>
          <w:rFonts w:ascii="Arial" w:cs="Arial" w:eastAsia="Arial" w:hAnsi="Arial"/>
          <w:sz w:val="22"/>
          <w:szCs w:val="22"/>
        </w:rPr>
        <w:t xml:space="preserve">Implementing a new information system or significantly changing an existing one</w:t>
      </w:r>
    </w:p>
    <w:p>
      <w:pPr>
        <w:pStyle w:val="ListParagraph"/>
        <w:numPr>
          <w:ilvl w:val="0"/>
          <w:numId w:val="2"/>
        </w:numPr>
      </w:pPr>
      <w:r>
        <w:rPr>
          <w:rFonts w:ascii="Arial" w:cs="Arial" w:eastAsia="Arial" w:hAnsi="Arial"/>
          <w:sz w:val="22"/>
          <w:szCs w:val="22"/>
        </w:rPr>
        <w:t xml:space="preserve">Collecting a new type of personal information</w:t>
      </w:r>
    </w:p>
    <w:p>
      <w:pPr>
        <w:pStyle w:val="ListParagraph"/>
        <w:numPr>
          <w:ilvl w:val="0"/>
          <w:numId w:val="2"/>
        </w:numPr>
      </w:pPr>
      <w:r>
        <w:rPr>
          <w:rFonts w:ascii="Arial" w:cs="Arial" w:eastAsia="Arial" w:hAnsi="Arial"/>
          <w:sz w:val="22"/>
          <w:szCs w:val="22"/>
        </w:rPr>
        <w:t xml:space="preserve">Disclosing personal information to a new third party or overseas recipient</w:t>
      </w:r>
    </w:p>
    <w:p>
      <w:pPr>
        <w:pStyle w:val="ListParagraph"/>
        <w:numPr>
          <w:ilvl w:val="0"/>
          <w:numId w:val="2"/>
        </w:numPr>
      </w:pPr>
      <w:r>
        <w:rPr>
          <w:rFonts w:ascii="Arial" w:cs="Arial" w:eastAsia="Arial" w:hAnsi="Arial"/>
          <w:sz w:val="22"/>
          <w:szCs w:val="22"/>
        </w:rPr>
        <w:t xml:space="preserve">Changing the purpose for which personal information is used</w:t>
      </w:r>
    </w:p>
    <w:p>
      <w:r>
        <w:rPr>
          <w:rFonts w:ascii="Arial" w:cs="Arial" w:eastAsia="Arial" w:hAnsi="Arial"/>
          <w:sz w:val="22"/>
          <w:szCs w:val="22"/>
        </w:rPr>
        <w:t xml:space="preserve">PIAs are documented and retained for the life of the system or change plus 7 years.</w:t>
      </w:r>
    </w:p>
    <w:p>
      <w:r>
        <w:t xml:space="preserve"/>
      </w:r>
    </w:p>
    <w:p>
      <w:pPr>
        <w:pStyle w:val="Heading1"/>
      </w:pPr>
      <w:r>
        <w:t xml:space="preserve">7. Third-Party Processors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526"/>
      </w:tblGrid>
      <w:tr>
        <w:tc>
          <w:tcPr>
            <w:tcW w:type="dxa" w:w="2000"/>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Processor</w:t>
            </w:r>
          </w:p>
        </w:tc>
        <w:tc>
          <w:tcPr>
            <w:tcW w:type="dxa" w:w="2500"/>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526"/>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Agreement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Formspree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Website contact and referral forms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United States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Formspree Terms of Service; GDPR-compliant</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Netlify</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Website hosting and CDN</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United States</w:t>
            </w:r>
          </w:p>
        </w:tc>
        <w:tc>
          <w:tcPr>
            <w:tcW w:type="dxa" w:w="25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Netlify DPA available; no participant data processed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Analytics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Website traffic analytics (aggregate, anonymised)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United States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Terms; no personal health information</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Email provider</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Business email communications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Varies</w:t>
            </w:r>
          </w:p>
        </w:tc>
        <w:tc>
          <w:tcPr>
            <w:tcW w:type="dxa" w:w="25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Provider terms; TrustCare responsible for encryption of sensitive emails</w:t>
            </w:r>
          </w:p>
        </w:tc>
      </w:tr>
    </w:tbl>
    <w:p>
      <w:r>
        <w:t xml:space="preserve"/>
      </w:r>
    </w:p>
    <w:p>
      <w:pPr>
        <w:pStyle w:val="Heading1"/>
      </w:pPr>
      <w:r>
        <w:t xml:space="preserve">8. Review</w:t>
      </w:r>
    </w:p>
    <w:p>
      <w:r>
        <w:rPr>
          <w:rFonts w:ascii="Arial" w:cs="Arial" w:eastAsia="Arial" w:hAnsi="Arial"/>
          <w:sz w:val="22"/>
          <w:szCs w:val="22"/>
        </w:rPr>
        <w:t xml:space="preserve">This policy is reviewed annually and following any data breach, significant system change, or relevant legislative amendment. The Privacy Officer (Director) is responsible for ensuring the policy remains current.</w:t>
      </w:r>
    </w:p>
    <w:p>
      <w:r>
        <w:t xml:space="preserve"/>
      </w:r>
    </w:p>
    <w:p>
      <w:r>
        <w:rPr>
          <w:rFonts w:ascii="Arial" w:cs="Arial" w:eastAsia="Arial" w:hAnsi="Arial"/>
          <w:sz w:val="22"/>
          <w:szCs w:val="22"/>
        </w:rPr>
        <w:t xml:space="preserve">Last reviewed: January 2025</w:t>
      </w:r>
    </w:p>
    <w:p>
      <w:r>
        <w:rPr>
          <w:rFonts w:ascii="Arial" w:cs="Arial" w:eastAsia="Arial" w:hAnsi="Arial"/>
          <w:sz w:val="22"/>
          <w:szCs w:val="22"/>
        </w:rPr>
        <w:t xml:space="preserve">Next review due: January 2026</w:t>
      </w:r>
    </w:p>
    <w:p>
      <w:r>
        <w:rPr>
          <w:rFonts w:ascii="Arial" w:cs="Arial" w:eastAsia="Arial" w:hAnsi="Arial"/>
          <w:sz w:val="22"/>
          <w:szCs w:val="22"/>
        </w:rPr>
        <w:t xml:space="preserve">Policy Owner: Director, TrustCare Support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588" w:sz="4" w:space="1"/>
      </w:pBdr>
      <w:jc w:val="center"/>
    </w:pPr>
    <w:r>
      <w:rPr>
        <w:rFonts w:ascii="Arial" w:cs="Arial" w:eastAsia="Arial" w:hAnsi="Arial"/>
        <w:color w:val="666666"/>
        <w:sz w:val="18"/>
        <w:szCs w:val="18"/>
      </w:rPr>
      <w:t xml:space="preserve">Version 1.0 | January 2025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588" w:sz="4" w:space="1"/>
      </w:pBdr>
      <w:tabs>
        <w:tab w:val="right" w:pos="9026"/>
      </w:tabs>
    </w:pPr>
    <w:r>
      <w:rPr>
        <w:rFonts w:ascii="Arial" w:cs="Arial" w:eastAsia="Arial" w:hAnsi="Arial"/>
        <w:color w:val="666666"/>
        <w:sz w:val="18"/>
        <w:szCs w:val="18"/>
      </w:rPr>
      <w:t xml:space="preserve">TrustCare Support — Confidential</w:t>
    </w:r>
    <w:r>
      <w:rPr>
        <w:rFonts w:ascii="Arial" w:cs="Arial" w:eastAsia="Arial" w:hAnsi="Arial"/>
        <w:color w:val="666666"/>
        <w:sz w:val="18"/>
        <w:szCs w:val="18"/>
      </w:rPr>
      <w:t xml:space="preserve">	Data Retention &amp; 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003588"/>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003588"/>
      <w:sz w:val="24"/>
      <w:szCs w:val="24"/>
    </w:rPr>
  </w:style>
  <w:style w:type="paragraph" w:styleId="Heading3">
    <w:name w:val="Heading 3"/>
    <w:basedOn w:val="Normal"/>
    <w:next w:val="Normal"/>
    <w:qFormat/>
    <w:pPr>
      <w:spacing w:after="80" w:before="18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2026-03-31T16:00:09.282Z</dcterms:created>
  <dcterms:modified xsi:type="dcterms:W3CDTF">2026-03-31T16:00:09.282Z</dcterms:modified>
</cp:coreProperties>
</file>

<file path=docProps/custom.xml><?xml version="1.0" encoding="utf-8"?>
<Properties xmlns="http://schemas.openxmlformats.org/officeDocument/2006/custom-properties" xmlns:vt="http://schemas.openxmlformats.org/officeDocument/2006/docPropsVTypes"/>
</file>