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Blog Articles Collection</w:t>
      </w:r>
    </w:p>
    <w:p>
      <w:pPr>
        <w:jc w:val="center"/>
      </w:pPr>
      <w:r>
        <w:rPr>
          <w:rFonts w:ascii="Arial" w:cs="Arial" w:eastAsia="Arial" w:hAnsi="Arial"/>
          <w:color w:val="444444"/>
          <w:sz w:val="24"/>
          <w:szCs w:val="24"/>
        </w:rPr>
        <w:t xml:space="preserve">8 Ready-to-Publish Articles for trustcaresupport.com.au</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trustcaresupport.com.au</w:t>
      </w:r>
    </w:p>
    <w:p>
      <w:r>
        <w:t xml:space="preserve"/>
      </w:r>
    </w:p>
    <w:p>
      <w:pPr>
        <w:jc w:val="center"/>
      </w:pPr>
      <w:r>
        <w:rPr>
          <w:rFonts w:ascii="Arial" w:cs="Arial" w:eastAsia="Arial" w:hAnsi="Arial"/>
          <w:color w:val="666666"/>
          <w:sz w:val="20"/>
          <w:szCs w:val="20"/>
        </w:rPr>
        <w:t xml:space="preserve">Version 1.0 | 2025</w:t>
      </w:r>
    </w:p>
    <w:p>
      <w:r>
        <w:br w:type="page"/>
      </w:r>
    </w:p>
    <w:p>
      <w:r>
        <w:rPr>
          <w:rFonts w:ascii="Arial" w:cs="Arial" w:eastAsia="Arial" w:hAnsi="Arial"/>
          <w:sz w:val="22"/>
          <w:szCs w:val="22"/>
        </w:rPr>
        <w:t xml:space="preserve">This document contains 8 complete blog articles for publication on the TrustCare Support website. Each article is approximately 600-900 words and is written for the target audience of registered NDIS providers, support coordinators, and NDIS participants with complex nursing needs.</w:t>
      </w:r>
    </w:p>
    <w:p>
      <w:r>
        <w:rPr>
          <w:rFonts w:ascii="Arial" w:cs="Arial" w:eastAsia="Arial" w:hAnsi="Arial"/>
          <w:sz w:val="22"/>
          <w:szCs w:val="22"/>
        </w:rPr>
        <w:t xml:space="preserve">To publish: log in to trustcaresupport.com.au/admin, navigate to Blog Posts, and create a new post. Copy the article text, add a featured image, and publish.</w:t>
      </w:r>
    </w:p>
    <w:p>
      <w:r>
        <w:t xml:space="preserve"/>
      </w:r>
    </w:p>
    <w:p>
      <w:r>
        <w:br w:type="page"/>
      </w:r>
    </w:p>
    <w:p>
      <w:r>
        <w:t xml:space="preserve"/>
      </w:r>
    </w:p>
    <w:p>
      <w:pPr>
        <w:pStyle w:val="Heading1"/>
      </w:pPr>
      <w:r>
        <w:t xml:space="preserve">Article 1: What Is a Nursing Subcontractor? How NDIS Registered Providers Use Clinical Nursing Partners</w:t>
      </w:r>
    </w:p>
    <w:p>
      <w:r>
        <w:rPr>
          <w:rFonts w:ascii="Arial" w:cs="Arial" w:eastAsia="Arial" w:hAnsi="Arial"/>
          <w:i/>
          <w:iCs/>
          <w:sz w:val="22"/>
          <w:szCs w:val="22"/>
        </w:rPr>
        <w:t xml:space="preserve">Category: NDIS Provider Resources | Reading time: approx. 4 min | Published: 2025</w:t>
      </w:r>
    </w:p>
    <w:p>
      <w:r>
        <w:t xml:space="preserve"/>
      </w:r>
    </w:p>
    <w:p>
      <w:r>
        <w:rPr>
          <w:rFonts w:ascii="Arial" w:cs="Arial" w:eastAsia="Arial" w:hAnsi="Arial"/>
          <w:sz w:val="22"/>
          <w:szCs w:val="22"/>
        </w:rPr>
        <w:t xml:space="preserve">If you run a registered NDIS provider organisation, you're probably familiar with the challenge: your participants have complex nursing needs, but employing a Registered Nurse (RN) full-time isn't viable. The clinical risk is high. The regulatory requirements are stringent. And the NDIS pricing doesn't always leave room for an in-house clinical team.</w:t>
      </w:r>
    </w:p>
    <w:p>
      <w:r>
        <w:rPr>
          <w:rFonts w:ascii="Arial" w:cs="Arial" w:eastAsia="Arial" w:hAnsi="Arial"/>
          <w:sz w:val="22"/>
          <w:szCs w:val="22"/>
        </w:rPr>
        <w:t xml:space="preserve">This is where nursing subcontractors come in.</w:t>
      </w:r>
    </w:p>
    <w:p>
      <w:r>
        <w:t xml:space="preserve"/>
      </w:r>
    </w:p>
    <w:p>
      <w:pPr>
        <w:pStyle w:val="Heading2"/>
      </w:pPr>
      <w:r>
        <w:t xml:space="preserve">What Is a Nursing Subcontractor?</w:t>
      </w:r>
    </w:p>
    <w:p>
      <w:r>
        <w:rPr>
          <w:rFonts w:ascii="Arial" w:cs="Arial" w:eastAsia="Arial" w:hAnsi="Arial"/>
          <w:sz w:val="22"/>
          <w:szCs w:val="22"/>
        </w:rPr>
        <w:t xml:space="preserve">A nursing subcontractor is an AHPRA-registered clinical nursing provider that works behind the scenes, delivering nursing services on behalf of a registered NDIS provider. The key distinction: we don't hold the participant's service agreement — you do. We provide the clinical expertise. You maintain the primary provider relationship.</w:t>
      </w:r>
    </w:p>
    <w:p>
      <w:r>
        <w:rPr>
          <w:rFonts w:ascii="Arial" w:cs="Arial" w:eastAsia="Arial" w:hAnsi="Arial"/>
          <w:sz w:val="22"/>
          <w:szCs w:val="22"/>
        </w:rPr>
        <w:t xml:space="preserve">TrustCare Support operates exclusively as a B2B subcontractor to registered NDIS providers in Perth, Western Australia. We never deal directly with participants on a commercial basis. Our work is billed to you, and you claim against the participant's NDIS plan using the relevant line items.</w:t>
      </w:r>
    </w:p>
    <w:p>
      <w:r>
        <w:t xml:space="preserve"/>
      </w:r>
    </w:p>
    <w:p>
      <w:pPr>
        <w:pStyle w:val="Heading2"/>
      </w:pPr>
      <w:r>
        <w:t xml:space="preserve">Why Do Registered Providers Subcontract Clinical Nursing?</w:t>
      </w:r>
    </w:p>
    <w:p>
      <w:r>
        <w:rPr>
          <w:rFonts w:ascii="Arial" w:cs="Arial" w:eastAsia="Arial" w:hAnsi="Arial"/>
          <w:sz w:val="22"/>
          <w:szCs w:val="22"/>
        </w:rPr>
        <w:t xml:space="preserve">The most common reasons registered providers work with a nursing subcontractor like TrustCare:</w:t>
      </w:r>
    </w:p>
    <w:p>
      <w:pPr>
        <w:pStyle w:val="ListParagraph"/>
        <w:numPr>
          <w:ilvl w:val="0"/>
          <w:numId w:val="2"/>
        </w:numPr>
      </w:pPr>
      <w:r>
        <w:rPr>
          <w:rFonts w:ascii="Arial" w:cs="Arial" w:eastAsia="Arial" w:hAnsi="Arial"/>
          <w:sz w:val="22"/>
          <w:szCs w:val="22"/>
        </w:rPr>
        <w:t xml:space="preserve">No need to employ and credential RNs directly — we bring AHPRA registration, indemnity insurance, and clinical governance with us</w:t>
      </w:r>
    </w:p>
    <w:p>
      <w:pPr>
        <w:pStyle w:val="ListParagraph"/>
        <w:numPr>
          <w:ilvl w:val="0"/>
          <w:numId w:val="2"/>
        </w:numPr>
      </w:pPr>
      <w:r>
        <w:rPr>
          <w:rFonts w:ascii="Arial" w:cs="Arial" w:eastAsia="Arial" w:hAnsi="Arial"/>
          <w:sz w:val="22"/>
          <w:szCs w:val="22"/>
        </w:rPr>
        <w:t xml:space="preserve">Access to HIDPA competency assessment — required by NDIS Practice Standards, must be done by an AHPRA-registered health professional</w:t>
      </w:r>
    </w:p>
    <w:p>
      <w:pPr>
        <w:pStyle w:val="ListParagraph"/>
        <w:numPr>
          <w:ilvl w:val="0"/>
          <w:numId w:val="2"/>
        </w:numPr>
      </w:pPr>
      <w:r>
        <w:rPr>
          <w:rFonts w:ascii="Arial" w:cs="Arial" w:eastAsia="Arial" w:hAnsi="Arial"/>
          <w:sz w:val="22"/>
          <w:szCs w:val="22"/>
        </w:rPr>
        <w:t xml:space="preserve">Clinical flexibility — use us for specific participants with high-intensity needs, rather than maintaining a permanent nursing workforce</w:t>
      </w:r>
    </w:p>
    <w:p>
      <w:pPr>
        <w:pStyle w:val="ListParagraph"/>
        <w:numPr>
          <w:ilvl w:val="0"/>
          <w:numId w:val="2"/>
        </w:numPr>
      </w:pPr>
      <w:r>
        <w:rPr>
          <w:rFonts w:ascii="Arial" w:cs="Arial" w:eastAsia="Arial" w:hAnsi="Arial"/>
          <w:sz w:val="22"/>
          <w:szCs w:val="22"/>
        </w:rPr>
        <w:t xml:space="preserve">Reduce clinical risk — our RNs manage the clinical decisions; you focus on coordination and support worker management</w:t>
      </w:r>
    </w:p>
    <w:p>
      <w:pPr>
        <w:pStyle w:val="ListParagraph"/>
        <w:numPr>
          <w:ilvl w:val="0"/>
          <w:numId w:val="2"/>
        </w:numPr>
      </w:pPr>
      <w:r>
        <w:rPr>
          <w:rFonts w:ascii="Arial" w:cs="Arial" w:eastAsia="Arial" w:hAnsi="Arial"/>
          <w:sz w:val="22"/>
          <w:szCs w:val="22"/>
        </w:rPr>
        <w:t xml:space="preserve">Documentation and care planning — we produce clinical records that support your NDIS claiming and audit compliance</w:t>
      </w:r>
    </w:p>
    <w:p>
      <w:r>
        <w:t xml:space="preserve"/>
      </w:r>
    </w:p>
    <w:p>
      <w:pPr>
        <w:pStyle w:val="Heading2"/>
      </w:pPr>
      <w:r>
        <w:t xml:space="preserve">Does NDIS Registration Apply to Subcontractors?</w:t>
      </w:r>
    </w:p>
    <w:p>
      <w:r>
        <w:rPr>
          <w:rFonts w:ascii="Arial" w:cs="Arial" w:eastAsia="Arial" w:hAnsi="Arial"/>
          <w:sz w:val="22"/>
          <w:szCs w:val="22"/>
        </w:rPr>
        <w:t xml:space="preserve">No — but this doesn't mean we're unregulated. The NDIS Code of Conduct applies to all NDIS workers and providers, including unregistered subcontractors. TrustCare Support is bound by all 7 Code of Conduct obligations in the delivery of every support. Our RNs are also independently regulated by AHPRA.</w:t>
      </w:r>
    </w:p>
    <w:p>
      <w:r>
        <w:rPr>
          <w:rFonts w:ascii="Arial" w:cs="Arial" w:eastAsia="Arial" w:hAnsi="Arial"/>
          <w:sz w:val="22"/>
          <w:szCs w:val="22"/>
        </w:rPr>
        <w:t xml:space="preserve">What changes is the reporting chain. If a reportable incident occurs, the primary registered provider (you) reports to the NDIS Commission. TrustCare provides you with all incident documentation to support your reporting obligations within our agreed timeframes.</w:t>
      </w:r>
    </w:p>
    <w:p>
      <w:r>
        <w:t xml:space="preserve"/>
      </w:r>
    </w:p>
    <w:p>
      <w:pPr>
        <w:pStyle w:val="Heading2"/>
      </w:pPr>
      <w:r>
        <w:t xml:space="preserve">What Does a Subcontracting Agreement Look Like?</w:t>
      </w:r>
    </w:p>
    <w:p>
      <w:r>
        <w:rPr>
          <w:rFonts w:ascii="Arial" w:cs="Arial" w:eastAsia="Arial" w:hAnsi="Arial"/>
          <w:sz w:val="22"/>
          <w:szCs w:val="22"/>
        </w:rPr>
        <w:t xml:space="preserve">Before services commence, TrustCare enters into a formal B2B Service Agreement with every provider partner. The agreement covers scope of services, clinical governance responsibilities, pricing, privacy, incident notification, and termination terms. Copies are available on request.</w:t>
      </w:r>
    </w:p>
    <w:p>
      <w:r>
        <w:t xml:space="preserve"/>
      </w:r>
    </w:p>
    <w:p>
      <w:pPr>
        <w:pStyle w:val="Heading2"/>
      </w:pPr>
      <w:r>
        <w:t xml:space="preserve">Is This Right for Your Organisation?</w:t>
      </w:r>
    </w:p>
    <w:p>
      <w:r>
        <w:rPr>
          <w:rFonts w:ascii="Arial" w:cs="Arial" w:eastAsia="Arial" w:hAnsi="Arial"/>
          <w:sz w:val="22"/>
          <w:szCs w:val="22"/>
        </w:rPr>
        <w:t xml:space="preserve">If you support participants with complex nursing needs — tracheostomies, PEG feeding, complex wound care, seizure management, ventilator management, or any of the 9 HIDPA skill areas — and you don't have an in-house RN, a nursing subcontractor arrangement is worth exploring.</w:t>
      </w:r>
    </w:p>
    <w:p>
      <w:r>
        <w:rPr>
          <w:rFonts w:ascii="Arial" w:cs="Arial" w:eastAsia="Arial" w:hAnsi="Arial"/>
          <w:sz w:val="22"/>
          <w:szCs w:val="22"/>
        </w:rPr>
        <w:t xml:space="preserve">TrustCare provides an obligation-free initial consultation to assess whether our services are the right fit for your organisation and your participants.</w:t>
      </w:r>
    </w:p>
    <w:p>
      <w:r>
        <w:t xml:space="preserve"/>
      </w:r>
    </w:p>
    <w:p>
      <w:r>
        <w:rPr>
          <w:rFonts w:ascii="Arial" w:cs="Arial" w:eastAsia="Arial" w:hAnsi="Arial"/>
          <w:b/>
          <w:bCs/>
          <w:color w:val="003588"/>
          <w:sz w:val="22"/>
          <w:szCs w:val="22"/>
        </w:rPr>
        <w:t xml:space="preserve">Book a free consultation: call 0432 014 162 or email admin@trustcaresupport.com.au</w:t>
      </w:r>
    </w:p>
    <w:p>
      <w:r>
        <w:br w:type="page"/>
      </w:r>
    </w:p>
    <w:p>
      <w:r>
        <w:t xml:space="preserve"/>
      </w:r>
    </w:p>
    <w:p>
      <w:pPr>
        <w:pStyle w:val="Heading1"/>
      </w:pPr>
      <w:r>
        <w:t xml:space="preserve">Article 2: HIDPA Training: What NDIS Workers Need to Know in 2025</w:t>
      </w:r>
    </w:p>
    <w:p>
      <w:r>
        <w:rPr>
          <w:rFonts w:ascii="Arial" w:cs="Arial" w:eastAsia="Arial" w:hAnsi="Arial"/>
          <w:i/>
          <w:iCs/>
          <w:sz w:val="22"/>
          <w:szCs w:val="22"/>
        </w:rPr>
        <w:t xml:space="preserve">Category: HIDPA &amp; Clinical Training | Reading time: approx. 4 min | Published: 2025</w:t>
      </w:r>
    </w:p>
    <w:p>
      <w:r>
        <w:t xml:space="preserve"/>
      </w:r>
    </w:p>
    <w:p>
      <w:r>
        <w:rPr>
          <w:rFonts w:ascii="Arial" w:cs="Arial" w:eastAsia="Arial" w:hAnsi="Arial"/>
          <w:sz w:val="22"/>
          <w:szCs w:val="22"/>
        </w:rPr>
        <w:t xml:space="preserve">If you work with NDIS participants who have High Intensity Daily Personal Activity (HIDPA) needs, 2025 brings important updates to the training and competency framework — and some common mistakes to avoid.</w:t>
      </w:r>
    </w:p>
    <w:p>
      <w:r>
        <w:t xml:space="preserve"/>
      </w:r>
    </w:p>
    <w:p>
      <w:pPr>
        <w:pStyle w:val="Heading2"/>
      </w:pPr>
      <w:r>
        <w:t xml:space="preserve">What Are HIDPA Supports?</w:t>
      </w:r>
    </w:p>
    <w:p>
      <w:r>
        <w:rPr>
          <w:rFonts w:ascii="Arial" w:cs="Arial" w:eastAsia="Arial" w:hAnsi="Arial"/>
          <w:sz w:val="22"/>
          <w:szCs w:val="22"/>
        </w:rPr>
        <w:t xml:space="preserve">High Intensity Daily Personal Activities are NDIS supports that carry significant clinical risk. They require workers with specialist knowledge and verified competency, assessed by a qualified health professional. The NDIS Quality and Safeguards Commission revised the High Intensity Support Skills Descriptors in February 2025, reducing the recognised skill areas from 10 to 9 and refining the competency requirements for each.</w:t>
      </w:r>
    </w:p>
    <w:p>
      <w:r>
        <w:t xml:space="preserve"/>
      </w:r>
    </w:p>
    <w:p>
      <w:pPr>
        <w:pStyle w:val="Heading2"/>
      </w:pPr>
      <w:r>
        <w:t xml:space="preserve">The 9 HIDPA Skill Areas (February 2025)</w:t>
      </w:r>
    </w:p>
    <w:p>
      <w:pPr>
        <w:pStyle w:val="ListParagraph"/>
        <w:numPr>
          <w:ilvl w:val="0"/>
          <w:numId w:val="2"/>
        </w:numPr>
      </w:pPr>
      <w:r>
        <w:rPr>
          <w:rFonts w:ascii="Arial" w:cs="Arial" w:eastAsia="Arial" w:hAnsi="Arial"/>
          <w:sz w:val="22"/>
          <w:szCs w:val="22"/>
        </w:rPr>
        <w:t xml:space="preserve">Tracheostomy management</w:t>
      </w:r>
    </w:p>
    <w:p>
      <w:pPr>
        <w:pStyle w:val="ListParagraph"/>
        <w:numPr>
          <w:ilvl w:val="0"/>
          <w:numId w:val="2"/>
        </w:numPr>
      </w:pPr>
      <w:r>
        <w:rPr>
          <w:rFonts w:ascii="Arial" w:cs="Arial" w:eastAsia="Arial" w:hAnsi="Arial"/>
          <w:sz w:val="22"/>
          <w:szCs w:val="22"/>
        </w:rPr>
        <w:t xml:space="preserve">Ventilator management</w:t>
      </w:r>
    </w:p>
    <w:p>
      <w:pPr>
        <w:pStyle w:val="ListParagraph"/>
        <w:numPr>
          <w:ilvl w:val="0"/>
          <w:numId w:val="2"/>
        </w:numPr>
      </w:pPr>
      <w:r>
        <w:rPr>
          <w:rFonts w:ascii="Arial" w:cs="Arial" w:eastAsia="Arial" w:hAnsi="Arial"/>
          <w:sz w:val="22"/>
          <w:szCs w:val="22"/>
        </w:rPr>
        <w:t xml:space="preserve">Seizure management</w:t>
      </w:r>
    </w:p>
    <w:p>
      <w:pPr>
        <w:pStyle w:val="ListParagraph"/>
        <w:numPr>
          <w:ilvl w:val="0"/>
          <w:numId w:val="2"/>
        </w:numPr>
      </w:pPr>
      <w:r>
        <w:rPr>
          <w:rFonts w:ascii="Arial" w:cs="Arial" w:eastAsia="Arial" w:hAnsi="Arial"/>
          <w:sz w:val="22"/>
          <w:szCs w:val="22"/>
        </w:rPr>
        <w:t xml:space="preserve">Subcutaneous injections</w:t>
      </w:r>
    </w:p>
    <w:p>
      <w:pPr>
        <w:pStyle w:val="ListParagraph"/>
        <w:numPr>
          <w:ilvl w:val="0"/>
          <w:numId w:val="2"/>
        </w:numPr>
      </w:pPr>
      <w:r>
        <w:rPr>
          <w:rFonts w:ascii="Arial" w:cs="Arial" w:eastAsia="Arial" w:hAnsi="Arial"/>
          <w:sz w:val="22"/>
          <w:szCs w:val="22"/>
        </w:rPr>
        <w:t xml:space="preserve">Enteral feeding (PEG/NGT)</w:t>
      </w:r>
    </w:p>
    <w:p>
      <w:pPr>
        <w:pStyle w:val="ListParagraph"/>
        <w:numPr>
          <w:ilvl w:val="0"/>
          <w:numId w:val="2"/>
        </w:numPr>
      </w:pPr>
      <w:r>
        <w:rPr>
          <w:rFonts w:ascii="Arial" w:cs="Arial" w:eastAsia="Arial" w:hAnsi="Arial"/>
          <w:sz w:val="22"/>
          <w:szCs w:val="22"/>
        </w:rPr>
        <w:t xml:space="preserve">Urinary catheter management</w:t>
      </w:r>
    </w:p>
    <w:p>
      <w:pPr>
        <w:pStyle w:val="ListParagraph"/>
        <w:numPr>
          <w:ilvl w:val="0"/>
          <w:numId w:val="2"/>
        </w:numPr>
      </w:pPr>
      <w:r>
        <w:rPr>
          <w:rFonts w:ascii="Arial" w:cs="Arial" w:eastAsia="Arial" w:hAnsi="Arial"/>
          <w:sz w:val="22"/>
          <w:szCs w:val="22"/>
        </w:rPr>
        <w:t xml:space="preserve">Bowel care</w:t>
      </w:r>
    </w:p>
    <w:p>
      <w:pPr>
        <w:pStyle w:val="ListParagraph"/>
        <w:numPr>
          <w:ilvl w:val="0"/>
          <w:numId w:val="2"/>
        </w:numPr>
      </w:pPr>
      <w:r>
        <w:rPr>
          <w:rFonts w:ascii="Arial" w:cs="Arial" w:eastAsia="Arial" w:hAnsi="Arial"/>
          <w:sz w:val="22"/>
          <w:szCs w:val="22"/>
        </w:rPr>
        <w:t xml:space="preserve">Dysphagia support</w:t>
      </w:r>
    </w:p>
    <w:p>
      <w:pPr>
        <w:pStyle w:val="ListParagraph"/>
        <w:numPr>
          <w:ilvl w:val="0"/>
          <w:numId w:val="2"/>
        </w:numPr>
      </w:pPr>
      <w:r>
        <w:rPr>
          <w:rFonts w:ascii="Arial" w:cs="Arial" w:eastAsia="Arial" w:hAnsi="Arial"/>
          <w:sz w:val="22"/>
          <w:szCs w:val="22"/>
        </w:rPr>
        <w:t xml:space="preserve">Complex wound and skin care management</w:t>
      </w:r>
    </w:p>
    <w:p>
      <w:r>
        <w:t xml:space="preserve"/>
      </w:r>
    </w:p>
    <w:p>
      <w:pPr>
        <w:pStyle w:val="Heading2"/>
      </w:pPr>
      <w:r>
        <w:t xml:space="preserve">Who Can Deliver HIDPA Training?</w:t>
      </w:r>
    </w:p>
    <w:p>
      <w:r>
        <w:rPr>
          <w:rFonts w:ascii="Arial" w:cs="Arial" w:eastAsia="Arial" w:hAnsi="Arial"/>
          <w:sz w:val="22"/>
          <w:szCs w:val="22"/>
        </w:rPr>
        <w:t xml:space="preserve">This is where many providers go wrong. The NDIS Practice Standards are clear: HIDPA competency assessments must be conducted by an AHPRA-registered health professional. A Certificate III trainer or a senior support worker cannot sign off on HIDPA competency — no matter how experienced they are.</w:t>
      </w:r>
    </w:p>
    <w:p>
      <w:r>
        <w:rPr>
          <w:rFonts w:ascii="Arial" w:cs="Arial" w:eastAsia="Arial" w:hAnsi="Arial"/>
          <w:sz w:val="22"/>
          <w:szCs w:val="22"/>
        </w:rPr>
        <w:t xml:space="preserve">This requirement exists because HIDPA supports carry the highest clinical risks for participants. An incorrectly managed tracheostomy, for example, can be fatal. The competency assessor must have the clinical background to evaluate not just technique, but clinical judgment and emergency response.</w:t>
      </w:r>
    </w:p>
    <w:p>
      <w:r>
        <w:t xml:space="preserve"/>
      </w:r>
    </w:p>
    <w:p>
      <w:pPr>
        <w:pStyle w:val="Heading2"/>
      </w:pPr>
      <w:r>
        <w:t xml:space="preserve">What Does HIDPA Competency Assessment Involve?</w:t>
      </w:r>
    </w:p>
    <w:p>
      <w:r>
        <w:rPr>
          <w:rFonts w:ascii="Arial" w:cs="Arial" w:eastAsia="Arial" w:hAnsi="Arial"/>
          <w:sz w:val="22"/>
          <w:szCs w:val="22"/>
        </w:rPr>
        <w:t xml:space="preserve">At TrustCare Support, our HIDPA competency assessments are conducted by AHPRA-registered RNs and follow the participant's specific care needs — not a generic checklist. A typical assessment includes:</w:t>
      </w:r>
    </w:p>
    <w:p>
      <w:pPr>
        <w:pStyle w:val="ListParagraph"/>
        <w:numPr>
          <w:ilvl w:val="0"/>
          <w:numId w:val="2"/>
        </w:numPr>
      </w:pPr>
      <w:r>
        <w:rPr>
          <w:rFonts w:ascii="Arial" w:cs="Arial" w:eastAsia="Arial" w:hAnsi="Arial"/>
          <w:sz w:val="22"/>
          <w:szCs w:val="22"/>
        </w:rPr>
        <w:t xml:space="preserve">Knowledge check: verbal or written questions about the skill area and the participant's specific condition</w:t>
      </w:r>
    </w:p>
    <w:p>
      <w:pPr>
        <w:pStyle w:val="ListParagraph"/>
        <w:numPr>
          <w:ilvl w:val="0"/>
          <w:numId w:val="2"/>
        </w:numPr>
      </w:pPr>
      <w:r>
        <w:rPr>
          <w:rFonts w:ascii="Arial" w:cs="Arial" w:eastAsia="Arial" w:hAnsi="Arial"/>
          <w:sz w:val="22"/>
          <w:szCs w:val="22"/>
        </w:rPr>
        <w:t xml:space="preserve">Observation: the assessor watches the worker perform the skill, either with the participant or in a simulation scenario</w:t>
      </w:r>
    </w:p>
    <w:p>
      <w:pPr>
        <w:pStyle w:val="ListParagraph"/>
        <w:numPr>
          <w:ilvl w:val="0"/>
          <w:numId w:val="2"/>
        </w:numPr>
      </w:pPr>
      <w:r>
        <w:rPr>
          <w:rFonts w:ascii="Arial" w:cs="Arial" w:eastAsia="Arial" w:hAnsi="Arial"/>
          <w:sz w:val="22"/>
          <w:szCs w:val="22"/>
        </w:rPr>
        <w:t xml:space="preserve">Emergency response: the worker demonstrates their understanding of what to do if something goes wrong</w:t>
      </w:r>
    </w:p>
    <w:p>
      <w:pPr>
        <w:pStyle w:val="ListParagraph"/>
        <w:numPr>
          <w:ilvl w:val="0"/>
          <w:numId w:val="2"/>
        </w:numPr>
      </w:pPr>
      <w:r>
        <w:rPr>
          <w:rFonts w:ascii="Arial" w:cs="Arial" w:eastAsia="Arial" w:hAnsi="Arial"/>
          <w:sz w:val="22"/>
          <w:szCs w:val="22"/>
        </w:rPr>
        <w:t xml:space="preserve">Documentation: the worker completes or discusses the relevant documentation requirements</w:t>
      </w:r>
    </w:p>
    <w:p>
      <w:pPr>
        <w:pStyle w:val="ListParagraph"/>
        <w:numPr>
          <w:ilvl w:val="0"/>
          <w:numId w:val="2"/>
        </w:numPr>
      </w:pPr>
      <w:r>
        <w:rPr>
          <w:rFonts w:ascii="Arial" w:cs="Arial" w:eastAsia="Arial" w:hAnsi="Arial"/>
          <w:sz w:val="22"/>
          <w:szCs w:val="22"/>
        </w:rPr>
        <w:t xml:space="preserve">Sign-off: if competent, the RN issues a written competency document for the provider's records</w:t>
      </w:r>
    </w:p>
    <w:p>
      <w:r>
        <w:t xml:space="preserve"/>
      </w:r>
    </w:p>
    <w:p>
      <w:pPr>
        <w:pStyle w:val="Heading2"/>
      </w:pPr>
      <w:r>
        <w:t xml:space="preserve">Common Mistakes Providers Make</w:t>
      </w:r>
    </w:p>
    <w:p>
      <w:pPr>
        <w:pStyle w:val="ListParagraph"/>
        <w:numPr>
          <w:ilvl w:val="0"/>
          <w:numId w:val="2"/>
        </w:numPr>
      </w:pPr>
      <w:r>
        <w:rPr>
          <w:rFonts w:ascii="Arial" w:cs="Arial" w:eastAsia="Arial" w:hAnsi="Arial"/>
          <w:sz w:val="22"/>
          <w:szCs w:val="22"/>
        </w:rPr>
        <w:t xml:space="preserve">Using online courses as the only competency assessment — eLearning builds knowledge but cannot replace direct observation</w:t>
      </w:r>
    </w:p>
    <w:p>
      <w:pPr>
        <w:pStyle w:val="ListParagraph"/>
        <w:numPr>
          <w:ilvl w:val="0"/>
          <w:numId w:val="2"/>
        </w:numPr>
      </w:pPr>
      <w:r>
        <w:rPr>
          <w:rFonts w:ascii="Arial" w:cs="Arial" w:eastAsia="Arial" w:hAnsi="Arial"/>
          <w:sz w:val="22"/>
          <w:szCs w:val="22"/>
        </w:rPr>
        <w:t xml:space="preserve">Using a senior support worker as the assessor — only AHPRA-registered health professionals can sign off</w:t>
      </w:r>
    </w:p>
    <w:p>
      <w:pPr>
        <w:pStyle w:val="ListParagraph"/>
        <w:numPr>
          <w:ilvl w:val="0"/>
          <w:numId w:val="2"/>
        </w:numPr>
      </w:pPr>
      <w:r>
        <w:rPr>
          <w:rFonts w:ascii="Arial" w:cs="Arial" w:eastAsia="Arial" w:hAnsi="Arial"/>
          <w:sz w:val="22"/>
          <w:szCs w:val="22"/>
        </w:rPr>
        <w:t xml:space="preserve">Providing generic training not tailored to the specific participant — competency must be demonstrated for the actual participant's needs</w:t>
      </w:r>
    </w:p>
    <w:p>
      <w:pPr>
        <w:pStyle w:val="ListParagraph"/>
        <w:numPr>
          <w:ilvl w:val="0"/>
          <w:numId w:val="2"/>
        </w:numPr>
      </w:pPr>
      <w:r>
        <w:rPr>
          <w:rFonts w:ascii="Arial" w:cs="Arial" w:eastAsia="Arial" w:hAnsi="Arial"/>
          <w:sz w:val="22"/>
          <w:szCs w:val="22"/>
        </w:rPr>
        <w:t xml:space="preserve">Not scheduling annual reviews — HIDPA competency should be reassessed at least annually, or sooner if the participant's condition changes</w:t>
      </w:r>
    </w:p>
    <w:p>
      <w:pPr>
        <w:pStyle w:val="ListParagraph"/>
        <w:numPr>
          <w:ilvl w:val="0"/>
          <w:numId w:val="2"/>
        </w:numPr>
      </w:pPr>
      <w:r>
        <w:rPr>
          <w:rFonts w:ascii="Arial" w:cs="Arial" w:eastAsia="Arial" w:hAnsi="Arial"/>
          <w:sz w:val="22"/>
          <w:szCs w:val="22"/>
        </w:rPr>
        <w:t xml:space="preserve">Assuming qualification = competency — a Certificate III does not equal HIDPA competency sign-off</w:t>
      </w:r>
    </w:p>
    <w:p>
      <w:r>
        <w:t xml:space="preserve"/>
      </w:r>
    </w:p>
    <w:p>
      <w:pPr>
        <w:pStyle w:val="Heading2"/>
      </w:pPr>
      <w:r>
        <w:t xml:space="preserve">How TrustCare Can Help</w:t>
      </w:r>
    </w:p>
    <w:p>
      <w:r>
        <w:rPr>
          <w:rFonts w:ascii="Arial" w:cs="Arial" w:eastAsia="Arial" w:hAnsi="Arial"/>
          <w:sz w:val="22"/>
          <w:szCs w:val="22"/>
        </w:rPr>
        <w:t xml:space="preserve">TrustCare Support delivers HIDPA training and competency assessment across all 9 skill areas for registered NDIS providers in Perth. We assess your workers at the participant's home or your premises, provide written competency documentation, and offer annual review scheduling.</w:t>
      </w:r>
    </w:p>
    <w:p>
      <w:r>
        <w:t xml:space="preserve"/>
      </w:r>
    </w:p>
    <w:p>
      <w:r>
        <w:rPr>
          <w:rFonts w:ascii="Arial" w:cs="Arial" w:eastAsia="Arial" w:hAnsi="Arial"/>
          <w:b/>
          <w:bCs/>
          <w:color w:val="003588"/>
          <w:sz w:val="22"/>
          <w:szCs w:val="22"/>
        </w:rPr>
        <w:t xml:space="preserve">Enquire about HIDPA training: call 0432 014 162 or visit trustcaresupport.com.au/training/</w:t>
      </w:r>
    </w:p>
    <w:p>
      <w:r>
        <w:br w:type="page"/>
      </w:r>
    </w:p>
    <w:p>
      <w:r>
        <w:t xml:space="preserve"/>
      </w:r>
    </w:p>
    <w:p>
      <w:pPr>
        <w:pStyle w:val="Heading1"/>
      </w:pPr>
      <w:r>
        <w:t xml:space="preserve">Article 3: Tracheostomy Care at Home: A Clinical Guide for NDIS Participants and Providers</w:t>
      </w:r>
    </w:p>
    <w:p>
      <w:r>
        <w:rPr>
          <w:rFonts w:ascii="Arial" w:cs="Arial" w:eastAsia="Arial" w:hAnsi="Arial"/>
          <w:i/>
          <w:iCs/>
          <w:sz w:val="22"/>
          <w:szCs w:val="22"/>
        </w:rPr>
        <w:t xml:space="preserve">Category: Clinical Guides | Reading time: approx. 5 min | Published: 2025</w:t>
      </w:r>
    </w:p>
    <w:p>
      <w:r>
        <w:t xml:space="preserve"/>
      </w:r>
    </w:p>
    <w:p>
      <w:r>
        <w:rPr>
          <w:rFonts w:ascii="Arial" w:cs="Arial" w:eastAsia="Arial" w:hAnsi="Arial"/>
          <w:sz w:val="22"/>
          <w:szCs w:val="22"/>
        </w:rPr>
        <w:t xml:space="preserve">A tracheostomy is a surgical opening in the front of the neck that allows a tube to be inserted directly into the trachea (windpipe). For some NDIS participants, a tracheostomy is a lifelong feature of their anatomy. For others, it may be temporary, created following illness, injury, or surgery. Either way, living with a tracheostomy at home is entirely possible — with the right clinical support.</w:t>
      </w:r>
    </w:p>
    <w:p>
      <w:r>
        <w:t xml:space="preserve"/>
      </w:r>
    </w:p>
    <w:p>
      <w:pPr>
        <w:pStyle w:val="Heading2"/>
      </w:pPr>
      <w:r>
        <w:t xml:space="preserve">Why Do Some NDIS Participants Have a Tracheostomy?</w:t>
      </w:r>
    </w:p>
    <w:p>
      <w:r>
        <w:rPr>
          <w:rFonts w:ascii="Arial" w:cs="Arial" w:eastAsia="Arial" w:hAnsi="Arial"/>
          <w:sz w:val="22"/>
          <w:szCs w:val="22"/>
        </w:rPr>
        <w:t xml:space="preserve">Common reasons include:</w:t>
      </w:r>
    </w:p>
    <w:p>
      <w:pPr>
        <w:pStyle w:val="ListParagraph"/>
        <w:numPr>
          <w:ilvl w:val="0"/>
          <w:numId w:val="2"/>
        </w:numPr>
      </w:pPr>
      <w:r>
        <w:rPr>
          <w:rFonts w:ascii="Arial" w:cs="Arial" w:eastAsia="Arial" w:hAnsi="Arial"/>
          <w:sz w:val="22"/>
          <w:szCs w:val="22"/>
        </w:rPr>
        <w:t xml:space="preserve">Spinal cord injury affecting the ability to breathe independently</w:t>
      </w:r>
    </w:p>
    <w:p>
      <w:pPr>
        <w:pStyle w:val="ListParagraph"/>
        <w:numPr>
          <w:ilvl w:val="0"/>
          <w:numId w:val="2"/>
        </w:numPr>
      </w:pPr>
      <w:r>
        <w:rPr>
          <w:rFonts w:ascii="Arial" w:cs="Arial" w:eastAsia="Arial" w:hAnsi="Arial"/>
          <w:sz w:val="22"/>
          <w:szCs w:val="22"/>
        </w:rPr>
        <w:t xml:space="preserve">Neurological conditions affecting swallow and airway protection (e.g., Motor Neurone Disease, Muscular Dystrophy)</w:t>
      </w:r>
    </w:p>
    <w:p>
      <w:pPr>
        <w:pStyle w:val="ListParagraph"/>
        <w:numPr>
          <w:ilvl w:val="0"/>
          <w:numId w:val="2"/>
        </w:numPr>
      </w:pPr>
      <w:r>
        <w:rPr>
          <w:rFonts w:ascii="Arial" w:cs="Arial" w:eastAsia="Arial" w:hAnsi="Arial"/>
          <w:sz w:val="22"/>
          <w:szCs w:val="22"/>
        </w:rPr>
        <w:t xml:space="preserve">Acquired brain injury with respiratory complications</w:t>
      </w:r>
    </w:p>
    <w:p>
      <w:pPr>
        <w:pStyle w:val="ListParagraph"/>
        <w:numPr>
          <w:ilvl w:val="0"/>
          <w:numId w:val="2"/>
        </w:numPr>
      </w:pPr>
      <w:r>
        <w:rPr>
          <w:rFonts w:ascii="Arial" w:cs="Arial" w:eastAsia="Arial" w:hAnsi="Arial"/>
          <w:sz w:val="22"/>
          <w:szCs w:val="22"/>
        </w:rPr>
        <w:t xml:space="preserve">Airway obstruction or narrowing (stenosis)</w:t>
      </w:r>
    </w:p>
    <w:p>
      <w:pPr>
        <w:pStyle w:val="ListParagraph"/>
        <w:numPr>
          <w:ilvl w:val="0"/>
          <w:numId w:val="2"/>
        </w:numPr>
      </w:pPr>
      <w:r>
        <w:rPr>
          <w:rFonts w:ascii="Arial" w:cs="Arial" w:eastAsia="Arial" w:hAnsi="Arial"/>
          <w:sz w:val="22"/>
          <w:szCs w:val="22"/>
        </w:rPr>
        <w:t xml:space="preserve">Following prolonged ventilation in an intensive care unit</w:t>
      </w:r>
    </w:p>
    <w:p>
      <w:r>
        <w:t xml:space="preserve"/>
      </w:r>
    </w:p>
    <w:p>
      <w:pPr>
        <w:pStyle w:val="Heading2"/>
      </w:pPr>
      <w:r>
        <w:t xml:space="preserve">What Does Tracheostomy Care Involve?</w:t>
      </w:r>
    </w:p>
    <w:p>
      <w:r>
        <w:rPr>
          <w:rFonts w:ascii="Arial" w:cs="Arial" w:eastAsia="Arial" w:hAnsi="Arial"/>
          <w:sz w:val="22"/>
          <w:szCs w:val="22"/>
        </w:rPr>
        <w:t xml:space="preserve">Routine tracheostomy care is typically required daily and may include:</w:t>
      </w:r>
    </w:p>
    <w:p>
      <w:pPr>
        <w:pStyle w:val="ListParagraph"/>
        <w:numPr>
          <w:ilvl w:val="0"/>
          <w:numId w:val="2"/>
        </w:numPr>
      </w:pPr>
      <w:r>
        <w:rPr>
          <w:rFonts w:ascii="Arial" w:cs="Arial" w:eastAsia="Arial" w:hAnsi="Arial"/>
          <w:sz w:val="22"/>
          <w:szCs w:val="22"/>
        </w:rPr>
        <w:t xml:space="preserve">Suctioning: removing secretions from the airway using a suction catheter. Technique, frequency, and depth of suctioning are participant-specific and must be specified in the care plan</w:t>
      </w:r>
    </w:p>
    <w:p>
      <w:pPr>
        <w:pStyle w:val="ListParagraph"/>
        <w:numPr>
          <w:ilvl w:val="0"/>
          <w:numId w:val="2"/>
        </w:numPr>
      </w:pPr>
      <w:r>
        <w:rPr>
          <w:rFonts w:ascii="Arial" w:cs="Arial" w:eastAsia="Arial" w:hAnsi="Arial"/>
          <w:sz w:val="22"/>
          <w:szCs w:val="22"/>
        </w:rPr>
        <w:t xml:space="preserve">Inner cannula care: cleaning or replacing the inner cannula (the removable tube inside the tracheostomy tube), usually daily</w:t>
      </w:r>
    </w:p>
    <w:p>
      <w:pPr>
        <w:pStyle w:val="ListParagraph"/>
        <w:numPr>
          <w:ilvl w:val="0"/>
          <w:numId w:val="2"/>
        </w:numPr>
      </w:pPr>
      <w:r>
        <w:rPr>
          <w:rFonts w:ascii="Arial" w:cs="Arial" w:eastAsia="Arial" w:hAnsi="Arial"/>
          <w:sz w:val="22"/>
          <w:szCs w:val="22"/>
        </w:rPr>
        <w:t xml:space="preserve">Stoma site care: cleaning the skin around the tracheostomy opening to prevent infection</w:t>
      </w:r>
    </w:p>
    <w:p>
      <w:pPr>
        <w:pStyle w:val="ListParagraph"/>
        <w:numPr>
          <w:ilvl w:val="0"/>
          <w:numId w:val="2"/>
        </w:numPr>
      </w:pPr>
      <w:r>
        <w:rPr>
          <w:rFonts w:ascii="Arial" w:cs="Arial" w:eastAsia="Arial" w:hAnsi="Arial"/>
          <w:sz w:val="22"/>
          <w:szCs w:val="22"/>
        </w:rPr>
        <w:t xml:space="preserve">Tracheostomy tube securing: ensuring the tube is properly secured to prevent dislodgement</w:t>
      </w:r>
    </w:p>
    <w:p>
      <w:pPr>
        <w:pStyle w:val="ListParagraph"/>
        <w:numPr>
          <w:ilvl w:val="0"/>
          <w:numId w:val="2"/>
        </w:numPr>
      </w:pPr>
      <w:r>
        <w:rPr>
          <w:rFonts w:ascii="Arial" w:cs="Arial" w:eastAsia="Arial" w:hAnsi="Arial"/>
          <w:sz w:val="22"/>
          <w:szCs w:val="22"/>
        </w:rPr>
        <w:t xml:space="preserve">Humidification: keeping the airway moist, as the nose and throat no longer warm and humidify air</w:t>
      </w:r>
    </w:p>
    <w:p>
      <w:r>
        <w:t xml:space="preserve"/>
      </w:r>
    </w:p>
    <w:p>
      <w:pPr>
        <w:pStyle w:val="Heading2"/>
      </w:pPr>
      <w:r>
        <w:t xml:space="preserve">The Role of the RN vs. the Support Worker</w:t>
      </w:r>
    </w:p>
    <w:p>
      <w:r>
        <w:rPr>
          <w:rFonts w:ascii="Arial" w:cs="Arial" w:eastAsia="Arial" w:hAnsi="Arial"/>
          <w:sz w:val="22"/>
          <w:szCs w:val="22"/>
        </w:rPr>
        <w:t xml:space="preserve">This distinction is critical in NDIS tracheostomy care:</w:t>
      </w:r>
    </w:p>
    <w:p>
      <w:r>
        <w:rPr>
          <w:rFonts w:ascii="Arial" w:cs="Arial" w:eastAsia="Arial" w:hAnsi="Arial"/>
          <w:sz w:val="22"/>
          <w:szCs w:val="22"/>
        </w:rPr>
        <w:t xml:space="preserve">The Registered Nurse develops the tracheostomy care plan, performs the initial clinical assessment, trains and assesses support workers, and manages any clinical changes or complications. The RN is the person you call when something is different.</w:t>
      </w:r>
    </w:p>
    <w:p>
      <w:r>
        <w:rPr>
          <w:rFonts w:ascii="Arial" w:cs="Arial" w:eastAsia="Arial" w:hAnsi="Arial"/>
          <w:sz w:val="22"/>
          <w:szCs w:val="22"/>
        </w:rPr>
        <w:t xml:space="preserve">Support workers can perform routine tracheostomy care tasks — suctioning, inner cannula cleaning, stoma care — after completing HIDPA competency training assessed by an AHPRA-registered health professional. They follow the care plan exactly. They do not make clinical decisions. They escalate to the RN or call 000 in an emergency.</w:t>
      </w:r>
    </w:p>
    <w:p>
      <w:r>
        <w:t xml:space="preserve"/>
      </w:r>
    </w:p>
    <w:p>
      <w:pPr>
        <w:pStyle w:val="Heading2"/>
      </w:pPr>
      <w:r>
        <w:t xml:space="preserve">How TrustCare Supports Tracheostomy Participants</w:t>
      </w:r>
    </w:p>
    <w:p>
      <w:r>
        <w:rPr>
          <w:rFonts w:ascii="Arial" w:cs="Arial" w:eastAsia="Arial" w:hAnsi="Arial"/>
          <w:sz w:val="22"/>
          <w:szCs w:val="22"/>
        </w:rPr>
        <w:t xml:space="preserve">TrustCare Support provides tracheostomy management services including:</w:t>
      </w:r>
    </w:p>
    <w:p>
      <w:pPr>
        <w:pStyle w:val="ListParagraph"/>
        <w:numPr>
          <w:ilvl w:val="0"/>
          <w:numId w:val="2"/>
        </w:numPr>
      </w:pPr>
      <w:r>
        <w:rPr>
          <w:rFonts w:ascii="Arial" w:cs="Arial" w:eastAsia="Arial" w:hAnsi="Arial"/>
          <w:sz w:val="22"/>
          <w:szCs w:val="22"/>
        </w:rPr>
        <w:t xml:space="preserve">Initial tracheostomy assessment and personalised care plan development</w:t>
      </w:r>
    </w:p>
    <w:p>
      <w:pPr>
        <w:pStyle w:val="ListParagraph"/>
        <w:numPr>
          <w:ilvl w:val="0"/>
          <w:numId w:val="2"/>
        </w:numPr>
      </w:pPr>
      <w:r>
        <w:rPr>
          <w:rFonts w:ascii="Arial" w:cs="Arial" w:eastAsia="Arial" w:hAnsi="Arial"/>
          <w:sz w:val="22"/>
          <w:szCs w:val="22"/>
        </w:rPr>
        <w:t xml:space="preserve">Ongoing tracheostomy nursing visits</w:t>
      </w:r>
    </w:p>
    <w:p>
      <w:pPr>
        <w:pStyle w:val="ListParagraph"/>
        <w:numPr>
          <w:ilvl w:val="0"/>
          <w:numId w:val="2"/>
        </w:numPr>
      </w:pPr>
      <w:r>
        <w:rPr>
          <w:rFonts w:ascii="Arial" w:cs="Arial" w:eastAsia="Arial" w:hAnsi="Arial"/>
          <w:sz w:val="22"/>
          <w:szCs w:val="22"/>
        </w:rPr>
        <w:t xml:space="preserve">Support worker HIDPA training and competency assessment (tracheostomy)</w:t>
      </w:r>
    </w:p>
    <w:p>
      <w:pPr>
        <w:pStyle w:val="ListParagraph"/>
        <w:numPr>
          <w:ilvl w:val="0"/>
          <w:numId w:val="2"/>
        </w:numPr>
      </w:pPr>
      <w:r>
        <w:rPr>
          <w:rFonts w:ascii="Arial" w:cs="Arial" w:eastAsia="Arial" w:hAnsi="Arial"/>
          <w:sz w:val="22"/>
          <w:szCs w:val="22"/>
        </w:rPr>
        <w:t xml:space="preserve">Emergency planning and protocol development</w:t>
      </w:r>
    </w:p>
    <w:p>
      <w:pPr>
        <w:pStyle w:val="ListParagraph"/>
        <w:numPr>
          <w:ilvl w:val="0"/>
          <w:numId w:val="2"/>
        </w:numPr>
      </w:pPr>
      <w:r>
        <w:rPr>
          <w:rFonts w:ascii="Arial" w:cs="Arial" w:eastAsia="Arial" w:hAnsi="Arial"/>
          <w:sz w:val="22"/>
          <w:szCs w:val="22"/>
        </w:rPr>
        <w:t xml:space="preserve">Coordination with the participant's respiratory physician or hospital team</w:t>
      </w:r>
    </w:p>
    <w:p>
      <w:r>
        <w:t xml:space="preserve"/>
      </w:r>
    </w:p>
    <w:p>
      <w:pPr>
        <w:pStyle w:val="Heading2"/>
      </w:pPr>
      <w:r>
        <w:t xml:space="preserve">Safety Red Flags — When to Call 000</w:t>
      </w:r>
    </w:p>
    <w:p>
      <w:r>
        <w:rPr>
          <w:rFonts w:ascii="Arial" w:cs="Arial" w:eastAsia="Arial" w:hAnsi="Arial"/>
          <w:sz w:val="22"/>
          <w:szCs w:val="22"/>
        </w:rPr>
        <w:t xml:space="preserve">Support workers and families should call 000 immediately if:</w:t>
      </w:r>
    </w:p>
    <w:p>
      <w:pPr>
        <w:pStyle w:val="ListParagraph"/>
        <w:numPr>
          <w:ilvl w:val="0"/>
          <w:numId w:val="2"/>
        </w:numPr>
      </w:pPr>
      <w:r>
        <w:rPr>
          <w:rFonts w:ascii="Arial" w:cs="Arial" w:eastAsia="Arial" w:hAnsi="Arial"/>
          <w:sz w:val="22"/>
          <w:szCs w:val="22"/>
        </w:rPr>
        <w:t xml:space="preserve">The tracheostomy tube becomes dislodged or falls out</w:t>
      </w:r>
    </w:p>
    <w:p>
      <w:pPr>
        <w:pStyle w:val="ListParagraph"/>
        <w:numPr>
          <w:ilvl w:val="0"/>
          <w:numId w:val="2"/>
        </w:numPr>
      </w:pPr>
      <w:r>
        <w:rPr>
          <w:rFonts w:ascii="Arial" w:cs="Arial" w:eastAsia="Arial" w:hAnsi="Arial"/>
          <w:sz w:val="22"/>
          <w:szCs w:val="22"/>
        </w:rPr>
        <w:t xml:space="preserve">The participant is unable to breathe, is making unusual sounds, or is showing signs of respiratory distress</w:t>
      </w:r>
    </w:p>
    <w:p>
      <w:pPr>
        <w:pStyle w:val="ListParagraph"/>
        <w:numPr>
          <w:ilvl w:val="0"/>
          <w:numId w:val="2"/>
        </w:numPr>
      </w:pPr>
      <w:r>
        <w:rPr>
          <w:rFonts w:ascii="Arial" w:cs="Arial" w:eastAsia="Arial" w:hAnsi="Arial"/>
          <w:sz w:val="22"/>
          <w:szCs w:val="22"/>
        </w:rPr>
        <w:t xml:space="preserve">The participant becomes unconscious or unresponsive</w:t>
      </w:r>
    </w:p>
    <w:p>
      <w:pPr>
        <w:pStyle w:val="ListParagraph"/>
        <w:numPr>
          <w:ilvl w:val="0"/>
          <w:numId w:val="2"/>
        </w:numPr>
      </w:pPr>
      <w:r>
        <w:rPr>
          <w:rFonts w:ascii="Arial" w:cs="Arial" w:eastAsia="Arial" w:hAnsi="Arial"/>
          <w:sz w:val="22"/>
          <w:szCs w:val="22"/>
        </w:rPr>
        <w:t xml:space="preserve">There is excessive bleeding from the tracheostomy site</w:t>
      </w:r>
    </w:p>
    <w:p>
      <w:pPr>
        <w:pStyle w:val="ListParagraph"/>
        <w:numPr>
          <w:ilvl w:val="0"/>
          <w:numId w:val="2"/>
        </w:numPr>
      </w:pPr>
      <w:r>
        <w:rPr>
          <w:rFonts w:ascii="Arial" w:cs="Arial" w:eastAsia="Arial" w:hAnsi="Arial"/>
          <w:sz w:val="22"/>
          <w:szCs w:val="22"/>
        </w:rPr>
        <w:t xml:space="preserve">Suctioning is not clearing secretions and breathing remains laboured</w:t>
      </w:r>
    </w:p>
    <w:p>
      <w:r>
        <w:rPr>
          <w:rFonts w:ascii="Arial" w:cs="Arial" w:eastAsia="Arial" w:hAnsi="Arial"/>
          <w:sz w:val="22"/>
          <w:szCs w:val="22"/>
        </w:rPr>
        <w:t xml:space="preserve">Every tracheostomy participant at TrustCare has an emergency protocol in their care plan. Support workers are trained on this protocol during HIDPA competency assessment.</w:t>
      </w:r>
    </w:p>
    <w:p>
      <w:r>
        <w:t xml:space="preserve"/>
      </w:r>
    </w:p>
    <w:p>
      <w:r>
        <w:rPr>
          <w:rFonts w:ascii="Arial" w:cs="Arial" w:eastAsia="Arial" w:hAnsi="Arial"/>
          <w:b/>
          <w:bCs/>
          <w:color w:val="003588"/>
          <w:sz w:val="22"/>
          <w:szCs w:val="22"/>
        </w:rPr>
        <w:t xml:space="preserve">Speak to our nursing team: 0432 014 162 or admin@trustcaresupport.com.au</w:t>
      </w:r>
    </w:p>
    <w:p>
      <w:r>
        <w:br w:type="page"/>
      </w:r>
    </w:p>
    <w:p>
      <w:r>
        <w:t xml:space="preserve"/>
      </w:r>
    </w:p>
    <w:p>
      <w:pPr>
        <w:pStyle w:val="Heading1"/>
      </w:pPr>
      <w:r>
        <w:t xml:space="preserve">Article 4: PEG Feeding and NDIS: Understanding Enteral Nutrition Support</w:t>
      </w:r>
    </w:p>
    <w:p>
      <w:r>
        <w:rPr>
          <w:rFonts w:ascii="Arial" w:cs="Arial" w:eastAsia="Arial" w:hAnsi="Arial"/>
          <w:i/>
          <w:iCs/>
          <w:sz w:val="22"/>
          <w:szCs w:val="22"/>
        </w:rPr>
        <w:t xml:space="preserve">Category: Clinical Guides | Reading time: approx. 4 min | Published: 2025</w:t>
      </w:r>
    </w:p>
    <w:p>
      <w:r>
        <w:t xml:space="preserve"/>
      </w:r>
    </w:p>
    <w:p>
      <w:r>
        <w:rPr>
          <w:rFonts w:ascii="Arial" w:cs="Arial" w:eastAsia="Arial" w:hAnsi="Arial"/>
          <w:sz w:val="22"/>
          <w:szCs w:val="22"/>
        </w:rPr>
        <w:t xml:space="preserve">Enteral feeding — delivering nutrition directly into the stomach or small intestine via a tube — is a common support need for NDIS participants with conditions that affect swallowing or digestion. If you're a provider or participant navigating enteral nutrition support for the first time, this guide covers the essentials.</w:t>
      </w:r>
    </w:p>
    <w:p>
      <w:r>
        <w:t xml:space="preserve"/>
      </w:r>
    </w:p>
    <w:p>
      <w:pPr>
        <w:pStyle w:val="Heading2"/>
      </w:pPr>
      <w:r>
        <w:t xml:space="preserve">What Is a PEG?</w:t>
      </w:r>
    </w:p>
    <w:p>
      <w:r>
        <w:rPr>
          <w:rFonts w:ascii="Arial" w:cs="Arial" w:eastAsia="Arial" w:hAnsi="Arial"/>
          <w:sz w:val="22"/>
          <w:szCs w:val="22"/>
        </w:rPr>
        <w:t xml:space="preserve">A PEG (percutaneous endoscopic gastrostomy) is a feeding tube inserted through the abdominal wall directly into the stomach. It's placed by a gastroenterologist or surgeon under sedation and allows nutrition, hydration, and medications to be delivered without swallowing.</w:t>
      </w:r>
    </w:p>
    <w:p>
      <w:r>
        <w:t xml:space="preserve"/>
      </w:r>
    </w:p>
    <w:p>
      <w:pPr>
        <w:pStyle w:val="Heading2"/>
      </w:pPr>
      <w:r>
        <w:t xml:space="preserve">Types of Enteral Feeding</w:t>
      </w:r>
    </w:p>
    <w:p>
      <w:pPr>
        <w:pStyle w:val="ListParagraph"/>
        <w:numPr>
          <w:ilvl w:val="0"/>
          <w:numId w:val="2"/>
        </w:numPr>
      </w:pPr>
      <w:r>
        <w:rPr>
          <w:rFonts w:ascii="Arial" w:cs="Arial" w:eastAsia="Arial" w:hAnsi="Arial"/>
          <w:sz w:val="22"/>
          <w:szCs w:val="22"/>
        </w:rPr>
        <w:t xml:space="preserve">PEG (Percutaneous Endoscopic Gastrostomy) — most common long-term tube, inserted into the stomach</w:t>
      </w:r>
    </w:p>
    <w:p>
      <w:pPr>
        <w:pStyle w:val="ListParagraph"/>
        <w:numPr>
          <w:ilvl w:val="0"/>
          <w:numId w:val="2"/>
        </w:numPr>
      </w:pPr>
      <w:r>
        <w:rPr>
          <w:rFonts w:ascii="Arial" w:cs="Arial" w:eastAsia="Arial" w:hAnsi="Arial"/>
          <w:sz w:val="22"/>
          <w:szCs w:val="22"/>
        </w:rPr>
        <w:t xml:space="preserve">RIG (Radiologically Inserted Gastrostomy) — similar to PEG but placed using imaging guidance rather than endoscopy; used when PEG isn't possible</w:t>
      </w:r>
    </w:p>
    <w:p>
      <w:pPr>
        <w:pStyle w:val="ListParagraph"/>
        <w:numPr>
          <w:ilvl w:val="0"/>
          <w:numId w:val="2"/>
        </w:numPr>
      </w:pPr>
      <w:r>
        <w:rPr>
          <w:rFonts w:ascii="Arial" w:cs="Arial" w:eastAsia="Arial" w:hAnsi="Arial"/>
          <w:sz w:val="22"/>
          <w:szCs w:val="22"/>
        </w:rPr>
        <w:t xml:space="preserve">NGT (Nasogastric Tube) — a tube passed through the nose into the stomach; usually short-term (e.g., hospital or post-surgical), not typically used for long-term home feeding</w:t>
      </w:r>
    </w:p>
    <w:p>
      <w:pPr>
        <w:pStyle w:val="ListParagraph"/>
        <w:numPr>
          <w:ilvl w:val="0"/>
          <w:numId w:val="2"/>
        </w:numPr>
      </w:pPr>
      <w:r>
        <w:rPr>
          <w:rFonts w:ascii="Arial" w:cs="Arial" w:eastAsia="Arial" w:hAnsi="Arial"/>
          <w:sz w:val="22"/>
          <w:szCs w:val="22"/>
        </w:rPr>
        <w:t xml:space="preserve">PEG-J (Jejunal extension) — for participants who cannot tolerate gastric feeding; the tube extends to the jejunum</w:t>
      </w:r>
    </w:p>
    <w:p>
      <w:r>
        <w:t xml:space="preserve"/>
      </w:r>
    </w:p>
    <w:p>
      <w:pPr>
        <w:pStyle w:val="Heading2"/>
      </w:pPr>
      <w:r>
        <w:t xml:space="preserve">The Role of the Registered Nurse</w:t>
      </w:r>
    </w:p>
    <w:p>
      <w:r>
        <w:rPr>
          <w:rFonts w:ascii="Arial" w:cs="Arial" w:eastAsia="Arial" w:hAnsi="Arial"/>
          <w:sz w:val="22"/>
          <w:szCs w:val="22"/>
        </w:rPr>
        <w:t xml:space="preserve">The RN's role in enteral feeding management includes:</w:t>
      </w:r>
    </w:p>
    <w:p>
      <w:pPr>
        <w:pStyle w:val="ListParagraph"/>
        <w:numPr>
          <w:ilvl w:val="0"/>
          <w:numId w:val="2"/>
        </w:numPr>
      </w:pPr>
      <w:r>
        <w:rPr>
          <w:rFonts w:ascii="Arial" w:cs="Arial" w:eastAsia="Arial" w:hAnsi="Arial"/>
          <w:sz w:val="22"/>
          <w:szCs w:val="22"/>
        </w:rPr>
        <w:t xml:space="preserve">Initial assessment: reviewing the participant's nutritional status, tube type, feed formula, and rate</w:t>
      </w:r>
    </w:p>
    <w:p>
      <w:pPr>
        <w:pStyle w:val="ListParagraph"/>
        <w:numPr>
          <w:ilvl w:val="0"/>
          <w:numId w:val="2"/>
        </w:numPr>
      </w:pPr>
      <w:r>
        <w:rPr>
          <w:rFonts w:ascii="Arial" w:cs="Arial" w:eastAsia="Arial" w:hAnsi="Arial"/>
          <w:sz w:val="22"/>
          <w:szCs w:val="22"/>
        </w:rPr>
        <w:t xml:space="preserve">Care plan development: specifying feeding schedule, flush volumes, positioning requirements, and complication management</w:t>
      </w:r>
    </w:p>
    <w:p>
      <w:pPr>
        <w:pStyle w:val="ListParagraph"/>
        <w:numPr>
          <w:ilvl w:val="0"/>
          <w:numId w:val="2"/>
        </w:numPr>
      </w:pPr>
      <w:r>
        <w:rPr>
          <w:rFonts w:ascii="Arial" w:cs="Arial" w:eastAsia="Arial" w:hAnsi="Arial"/>
          <w:sz w:val="22"/>
          <w:szCs w:val="22"/>
        </w:rPr>
        <w:t xml:space="preserve">Tube management: checking tube patency, position, and site integrity at each nursing visit</w:t>
      </w:r>
    </w:p>
    <w:p>
      <w:pPr>
        <w:pStyle w:val="ListParagraph"/>
        <w:numPr>
          <w:ilvl w:val="0"/>
          <w:numId w:val="2"/>
        </w:numPr>
      </w:pPr>
      <w:r>
        <w:rPr>
          <w:rFonts w:ascii="Arial" w:cs="Arial" w:eastAsia="Arial" w:hAnsi="Arial"/>
          <w:sz w:val="22"/>
          <w:szCs w:val="22"/>
        </w:rPr>
        <w:t xml:space="preserve">NGT insertion: only an appropriately trained RN can insert a nasogastric tube — this is not a support worker task</w:t>
      </w:r>
    </w:p>
    <w:p>
      <w:pPr>
        <w:pStyle w:val="ListParagraph"/>
        <w:numPr>
          <w:ilvl w:val="0"/>
          <w:numId w:val="2"/>
        </w:numPr>
      </w:pPr>
      <w:r>
        <w:rPr>
          <w:rFonts w:ascii="Arial" w:cs="Arial" w:eastAsia="Arial" w:hAnsi="Arial"/>
          <w:sz w:val="22"/>
          <w:szCs w:val="22"/>
        </w:rPr>
        <w:t xml:space="preserve">Medication administration via tube: RN or EN (under supervision) only</w:t>
      </w:r>
    </w:p>
    <w:p>
      <w:pPr>
        <w:pStyle w:val="ListParagraph"/>
        <w:numPr>
          <w:ilvl w:val="0"/>
          <w:numId w:val="2"/>
        </w:numPr>
      </w:pPr>
      <w:r>
        <w:rPr>
          <w:rFonts w:ascii="Arial" w:cs="Arial" w:eastAsia="Arial" w:hAnsi="Arial"/>
          <w:sz w:val="22"/>
          <w:szCs w:val="22"/>
        </w:rPr>
        <w:t xml:space="preserve">Monitoring for complications: aspiration, tube displacement, site infection, feeding intolerance</w:t>
      </w:r>
    </w:p>
    <w:p>
      <w:r>
        <w:t xml:space="preserve"/>
      </w:r>
    </w:p>
    <w:p>
      <w:pPr>
        <w:pStyle w:val="Heading2"/>
      </w:pPr>
      <w:r>
        <w:t xml:space="preserve">What Can Support Workers Do After Competency Training?</w:t>
      </w:r>
    </w:p>
    <w:p>
      <w:r>
        <w:rPr>
          <w:rFonts w:ascii="Arial" w:cs="Arial" w:eastAsia="Arial" w:hAnsi="Arial"/>
          <w:sz w:val="22"/>
          <w:szCs w:val="22"/>
        </w:rPr>
        <w:t xml:space="preserve">After completing TrustCare's HIDPA competency assessment for enteral feeding, support workers can:</w:t>
      </w:r>
    </w:p>
    <w:p>
      <w:pPr>
        <w:pStyle w:val="ListParagraph"/>
        <w:numPr>
          <w:ilvl w:val="0"/>
          <w:numId w:val="2"/>
        </w:numPr>
      </w:pPr>
      <w:r>
        <w:rPr>
          <w:rFonts w:ascii="Arial" w:cs="Arial" w:eastAsia="Arial" w:hAnsi="Arial"/>
          <w:sz w:val="22"/>
          <w:szCs w:val="22"/>
        </w:rPr>
        <w:t xml:space="preserve">Administer bolus or continuous feeds per the care plan (using the specified formula and rate)</w:t>
      </w:r>
    </w:p>
    <w:p>
      <w:pPr>
        <w:pStyle w:val="ListParagraph"/>
        <w:numPr>
          <w:ilvl w:val="0"/>
          <w:numId w:val="2"/>
        </w:numPr>
      </w:pPr>
      <w:r>
        <w:rPr>
          <w:rFonts w:ascii="Arial" w:cs="Arial" w:eastAsia="Arial" w:hAnsi="Arial"/>
          <w:sz w:val="22"/>
          <w:szCs w:val="22"/>
        </w:rPr>
        <w:t xml:space="preserve">Perform pre- and post-feed water flushes as documented</w:t>
      </w:r>
    </w:p>
    <w:p>
      <w:pPr>
        <w:pStyle w:val="ListParagraph"/>
        <w:numPr>
          <w:ilvl w:val="0"/>
          <w:numId w:val="2"/>
        </w:numPr>
      </w:pPr>
      <w:r>
        <w:rPr>
          <w:rFonts w:ascii="Arial" w:cs="Arial" w:eastAsia="Arial" w:hAnsi="Arial"/>
          <w:sz w:val="22"/>
          <w:szCs w:val="22"/>
        </w:rPr>
        <w:t xml:space="preserve">Provide routine PEG site care (cleaning and dressing as specified)</w:t>
      </w:r>
    </w:p>
    <w:p>
      <w:pPr>
        <w:pStyle w:val="ListParagraph"/>
        <w:numPr>
          <w:ilvl w:val="0"/>
          <w:numId w:val="2"/>
        </w:numPr>
      </w:pPr>
      <w:r>
        <w:rPr>
          <w:rFonts w:ascii="Arial" w:cs="Arial" w:eastAsia="Arial" w:hAnsi="Arial"/>
          <w:sz w:val="22"/>
          <w:szCs w:val="22"/>
        </w:rPr>
        <w:t xml:space="preserve">Monitor for and report signs of feeding intolerance (nausea, vomiting, abdominal distension) to the RN</w:t>
      </w:r>
    </w:p>
    <w:p>
      <w:pPr>
        <w:pStyle w:val="ListParagraph"/>
        <w:numPr>
          <w:ilvl w:val="0"/>
          <w:numId w:val="2"/>
        </w:numPr>
      </w:pPr>
      <w:r>
        <w:rPr>
          <w:rFonts w:ascii="Arial" w:cs="Arial" w:eastAsia="Arial" w:hAnsi="Arial"/>
          <w:sz w:val="22"/>
          <w:szCs w:val="22"/>
        </w:rPr>
        <w:t xml:space="preserve">Document feeds accurately</w:t>
      </w:r>
    </w:p>
    <w:p>
      <w:r>
        <w:t xml:space="preserve"/>
      </w:r>
    </w:p>
    <w:p>
      <w:pPr>
        <w:pStyle w:val="Heading2"/>
      </w:pPr>
      <w:r>
        <w:t xml:space="preserve">Safe Feeding Practice Tips</w:t>
      </w:r>
    </w:p>
    <w:p>
      <w:pPr>
        <w:pStyle w:val="ListParagraph"/>
        <w:numPr>
          <w:ilvl w:val="0"/>
          <w:numId w:val="2"/>
        </w:numPr>
      </w:pPr>
      <w:r>
        <w:rPr>
          <w:rFonts w:ascii="Arial" w:cs="Arial" w:eastAsia="Arial" w:hAnsi="Arial"/>
          <w:sz w:val="22"/>
          <w:szCs w:val="22"/>
        </w:rPr>
        <w:t xml:space="preserve">Always check tube position before feeding — follow the care plan protocol (aspiration test, external length check)</w:t>
      </w:r>
    </w:p>
    <w:p>
      <w:pPr>
        <w:pStyle w:val="ListParagraph"/>
        <w:numPr>
          <w:ilvl w:val="0"/>
          <w:numId w:val="2"/>
        </w:numPr>
      </w:pPr>
      <w:r>
        <w:rPr>
          <w:rFonts w:ascii="Arial" w:cs="Arial" w:eastAsia="Arial" w:hAnsi="Arial"/>
          <w:sz w:val="22"/>
          <w:szCs w:val="22"/>
        </w:rPr>
        <w:t xml:space="preserve">Participant positioning: head of bed elevated at 30-45 degrees during and for 30 minutes after feeding</w:t>
      </w:r>
    </w:p>
    <w:p>
      <w:pPr>
        <w:pStyle w:val="ListParagraph"/>
        <w:numPr>
          <w:ilvl w:val="0"/>
          <w:numId w:val="2"/>
        </w:numPr>
      </w:pPr>
      <w:r>
        <w:rPr>
          <w:rFonts w:ascii="Arial" w:cs="Arial" w:eastAsia="Arial" w:hAnsi="Arial"/>
          <w:sz w:val="22"/>
          <w:szCs w:val="22"/>
        </w:rPr>
        <w:t xml:space="preserve">Never increase the feed rate without the RN's instruction — overfeeding can cause aspiration</w:t>
      </w:r>
    </w:p>
    <w:p>
      <w:pPr>
        <w:pStyle w:val="ListParagraph"/>
        <w:numPr>
          <w:ilvl w:val="0"/>
          <w:numId w:val="2"/>
        </w:numPr>
      </w:pPr>
      <w:r>
        <w:rPr>
          <w:rFonts w:ascii="Arial" w:cs="Arial" w:eastAsia="Arial" w:hAnsi="Arial"/>
          <w:sz w:val="22"/>
          <w:szCs w:val="22"/>
        </w:rPr>
        <w:t xml:space="preserve">Report a blocked tube immediately — do not try to clear it without RN guidance</w:t>
      </w:r>
    </w:p>
    <w:p>
      <w:pPr>
        <w:pStyle w:val="ListParagraph"/>
        <w:numPr>
          <w:ilvl w:val="0"/>
          <w:numId w:val="2"/>
        </w:numPr>
      </w:pPr>
      <w:r>
        <w:rPr>
          <w:rFonts w:ascii="Arial" w:cs="Arial" w:eastAsia="Arial" w:hAnsi="Arial"/>
          <w:sz w:val="22"/>
          <w:szCs w:val="22"/>
        </w:rPr>
        <w:t xml:space="preserve">Label all feeds with the participant's name, date, and time prepared</w:t>
      </w:r>
    </w:p>
    <w:p>
      <w:r>
        <w:t xml:space="preserve"/>
      </w:r>
    </w:p>
    <w:p>
      <w:r>
        <w:rPr>
          <w:rFonts w:ascii="Arial" w:cs="Arial" w:eastAsia="Arial" w:hAnsi="Arial"/>
          <w:b/>
          <w:bCs/>
          <w:color w:val="003588"/>
          <w:sz w:val="22"/>
          <w:szCs w:val="22"/>
        </w:rPr>
        <w:t xml:space="preserve">Book a care planning consultation: call 0432 014 162 or visit trustcaresupport.com.au/referral/</w:t>
      </w:r>
    </w:p>
    <w:p>
      <w:r>
        <w:br w:type="page"/>
      </w:r>
    </w:p>
    <w:p>
      <w:r>
        <w:t xml:space="preserve"/>
      </w:r>
    </w:p>
    <w:p>
      <w:pPr>
        <w:pStyle w:val="Heading1"/>
      </w:pPr>
      <w:r>
        <w:t xml:space="preserve">Article 5: Wound Care Under NDIS: When Do You Need a Registered Nurse?</w:t>
      </w:r>
    </w:p>
    <w:p>
      <w:r>
        <w:rPr>
          <w:rFonts w:ascii="Arial" w:cs="Arial" w:eastAsia="Arial" w:hAnsi="Arial"/>
          <w:i/>
          <w:iCs/>
          <w:sz w:val="22"/>
          <w:szCs w:val="22"/>
        </w:rPr>
        <w:t xml:space="preserve">Category: Clinical Guides | Reading time: approx. 4 min | Published: 2025</w:t>
      </w:r>
    </w:p>
    <w:p>
      <w:r>
        <w:t xml:space="preserve"/>
      </w:r>
    </w:p>
    <w:p>
      <w:r>
        <w:rPr>
          <w:rFonts w:ascii="Arial" w:cs="Arial" w:eastAsia="Arial" w:hAnsi="Arial"/>
          <w:sz w:val="22"/>
          <w:szCs w:val="22"/>
        </w:rPr>
        <w:t xml:space="preserve">Wound care is one of the most common nursing needs for NDIS participants, and one of the most frequently mismanaged. Understanding when a wound requires a Registered Nurse — rather than a trained support worker — can mean the difference between a wound that heals and one that becomes a serious clinical problem.</w:t>
      </w:r>
    </w:p>
    <w:p>
      <w:r>
        <w:t xml:space="preserve"/>
      </w:r>
    </w:p>
    <w:p>
      <w:pPr>
        <w:pStyle w:val="Heading2"/>
      </w:pPr>
      <w:r>
        <w:t xml:space="preserve">Simple vs. Complex Wounds</w:t>
      </w:r>
    </w:p>
    <w:p>
      <w:r>
        <w:rPr>
          <w:rFonts w:ascii="Arial" w:cs="Arial" w:eastAsia="Arial" w:hAnsi="Arial"/>
          <w:sz w:val="22"/>
          <w:szCs w:val="22"/>
        </w:rPr>
        <w:t xml:space="preserve">Not all wounds are equal. Simple wounds — minor grazes, small superficial cuts, or routine post-surgical dressings with no complications — can often be managed by a trained support worker following a straightforward care plan.</w:t>
      </w:r>
    </w:p>
    <w:p>
      <w:r>
        <w:rPr>
          <w:rFonts w:ascii="Arial" w:cs="Arial" w:eastAsia="Arial" w:hAnsi="Arial"/>
          <w:sz w:val="22"/>
          <w:szCs w:val="22"/>
        </w:rPr>
        <w:t xml:space="preserve">Complex wounds require a Registered Nurse for assessment, management, and ongoing care planning. Complex wounds include:</w:t>
      </w:r>
    </w:p>
    <w:p>
      <w:pPr>
        <w:pStyle w:val="ListParagraph"/>
        <w:numPr>
          <w:ilvl w:val="0"/>
          <w:numId w:val="2"/>
        </w:numPr>
      </w:pPr>
      <w:r>
        <w:rPr>
          <w:rFonts w:ascii="Arial" w:cs="Arial" w:eastAsia="Arial" w:hAnsi="Arial"/>
          <w:sz w:val="22"/>
          <w:szCs w:val="22"/>
        </w:rPr>
        <w:t xml:space="preserve">Chronic wounds that have been present for more than 4 weeks without adequate healing</w:t>
      </w:r>
    </w:p>
    <w:p>
      <w:pPr>
        <w:pStyle w:val="ListParagraph"/>
        <w:numPr>
          <w:ilvl w:val="0"/>
          <w:numId w:val="2"/>
        </w:numPr>
      </w:pPr>
      <w:r>
        <w:rPr>
          <w:rFonts w:ascii="Arial" w:cs="Arial" w:eastAsia="Arial" w:hAnsi="Arial"/>
          <w:sz w:val="22"/>
          <w:szCs w:val="22"/>
        </w:rPr>
        <w:t xml:space="preserve">Pressure injuries (Stage 2 and above)</w:t>
      </w:r>
    </w:p>
    <w:p>
      <w:pPr>
        <w:pStyle w:val="ListParagraph"/>
        <w:numPr>
          <w:ilvl w:val="0"/>
          <w:numId w:val="2"/>
        </w:numPr>
      </w:pPr>
      <w:r>
        <w:rPr>
          <w:rFonts w:ascii="Arial" w:cs="Arial" w:eastAsia="Arial" w:hAnsi="Arial"/>
          <w:sz w:val="22"/>
          <w:szCs w:val="22"/>
        </w:rPr>
        <w:t xml:space="preserve">Diabetic foot ulcers</w:t>
      </w:r>
    </w:p>
    <w:p>
      <w:pPr>
        <w:pStyle w:val="ListParagraph"/>
        <w:numPr>
          <w:ilvl w:val="0"/>
          <w:numId w:val="2"/>
        </w:numPr>
      </w:pPr>
      <w:r>
        <w:rPr>
          <w:rFonts w:ascii="Arial" w:cs="Arial" w:eastAsia="Arial" w:hAnsi="Arial"/>
          <w:sz w:val="22"/>
          <w:szCs w:val="22"/>
        </w:rPr>
        <w:t xml:space="preserve">Venous and arterial leg ulcers</w:t>
      </w:r>
    </w:p>
    <w:p>
      <w:pPr>
        <w:pStyle w:val="ListParagraph"/>
        <w:numPr>
          <w:ilvl w:val="0"/>
          <w:numId w:val="2"/>
        </w:numPr>
      </w:pPr>
      <w:r>
        <w:rPr>
          <w:rFonts w:ascii="Arial" w:cs="Arial" w:eastAsia="Arial" w:hAnsi="Arial"/>
          <w:sz w:val="22"/>
          <w:szCs w:val="22"/>
        </w:rPr>
        <w:t xml:space="preserve">Wounds with signs of infection (increased redness, warmth, swelling, odour, purulent discharge)</w:t>
      </w:r>
    </w:p>
    <w:p>
      <w:pPr>
        <w:pStyle w:val="ListParagraph"/>
        <w:numPr>
          <w:ilvl w:val="0"/>
          <w:numId w:val="2"/>
        </w:numPr>
      </w:pPr>
      <w:r>
        <w:rPr>
          <w:rFonts w:ascii="Arial" w:cs="Arial" w:eastAsia="Arial" w:hAnsi="Arial"/>
          <w:sz w:val="22"/>
          <w:szCs w:val="22"/>
        </w:rPr>
        <w:t xml:space="preserve">Wounds requiring debridement (removal of dead tissue)</w:t>
      </w:r>
    </w:p>
    <w:p>
      <w:pPr>
        <w:pStyle w:val="ListParagraph"/>
        <w:numPr>
          <w:ilvl w:val="0"/>
          <w:numId w:val="2"/>
        </w:numPr>
      </w:pPr>
      <w:r>
        <w:rPr>
          <w:rFonts w:ascii="Arial" w:cs="Arial" w:eastAsia="Arial" w:hAnsi="Arial"/>
          <w:sz w:val="22"/>
          <w:szCs w:val="22"/>
        </w:rPr>
        <w:t xml:space="preserve">Post-surgical wounds with complications</w:t>
      </w:r>
    </w:p>
    <w:p>
      <w:pPr>
        <w:pStyle w:val="ListParagraph"/>
        <w:numPr>
          <w:ilvl w:val="0"/>
          <w:numId w:val="2"/>
        </w:numPr>
      </w:pPr>
      <w:r>
        <w:rPr>
          <w:rFonts w:ascii="Arial" w:cs="Arial" w:eastAsia="Arial" w:hAnsi="Arial"/>
          <w:sz w:val="22"/>
          <w:szCs w:val="22"/>
        </w:rPr>
        <w:t xml:space="preserve">Wounds in participants with complex comorbidities (diabetes, immunosuppression, peripheral vascular disease)</w:t>
      </w:r>
    </w:p>
    <w:p>
      <w:r>
        <w:t xml:space="preserve"/>
      </w:r>
    </w:p>
    <w:p>
      <w:pPr>
        <w:pStyle w:val="Heading2"/>
      </w:pPr>
      <w:r>
        <w:t xml:space="preserve">NDIS Classification of Wound Care</w:t>
      </w:r>
    </w:p>
    <w:p>
      <w:r>
        <w:rPr>
          <w:rFonts w:ascii="Arial" w:cs="Arial" w:eastAsia="Arial" w:hAnsi="Arial"/>
          <w:sz w:val="22"/>
          <w:szCs w:val="22"/>
        </w:rPr>
        <w:t xml:space="preserve">Under the NDIS Practice Standards: High Intensity Support Skills Descriptors (February 2025), complex wound and skin care management is classified as a HIDPA skill area. This means that support workers delivering complex wound care must have completed HIDPA competency training assessed by an AHPRA-registered health professional.</w:t>
      </w:r>
    </w:p>
    <w:p>
      <w:r>
        <w:rPr>
          <w:rFonts w:ascii="Arial" w:cs="Arial" w:eastAsia="Arial" w:hAnsi="Arial"/>
          <w:sz w:val="22"/>
          <w:szCs w:val="22"/>
        </w:rPr>
        <w:t xml:space="preserve">Routine dressing changes to a simple wound — following a clear, RN-developed care plan — may be delivered by a support worker with appropriate training. Complex wound assessment, debridement, and care plan development are RN-only activities.</w:t>
      </w:r>
    </w:p>
    <w:p>
      <w:r>
        <w:t xml:space="preserve"/>
      </w:r>
    </w:p>
    <w:p>
      <w:pPr>
        <w:pStyle w:val="Heading2"/>
      </w:pPr>
      <w:r>
        <w:t xml:space="preserve">How a Registered Nurse Assesses a Wound</w:t>
      </w:r>
    </w:p>
    <w:p>
      <w:r>
        <w:rPr>
          <w:rFonts w:ascii="Arial" w:cs="Arial" w:eastAsia="Arial" w:hAnsi="Arial"/>
          <w:sz w:val="22"/>
          <w:szCs w:val="22"/>
        </w:rPr>
        <w:t xml:space="preserve">A TrustCare RN will assess a wound using a structured approach:</w:t>
      </w:r>
    </w:p>
    <w:p>
      <w:pPr>
        <w:pStyle w:val="ListParagraph"/>
        <w:numPr>
          <w:ilvl w:val="0"/>
          <w:numId w:val="2"/>
        </w:numPr>
      </w:pPr>
      <w:r>
        <w:rPr>
          <w:rFonts w:ascii="Arial" w:cs="Arial" w:eastAsia="Arial" w:hAnsi="Arial"/>
          <w:sz w:val="22"/>
          <w:szCs w:val="22"/>
        </w:rPr>
        <w:t xml:space="preserve">Wound location, dimensions (length x width x depth), and wound bed tissue type (slough, granulation, necrotic, epithelialising)</w:t>
      </w:r>
    </w:p>
    <w:p>
      <w:pPr>
        <w:pStyle w:val="ListParagraph"/>
        <w:numPr>
          <w:ilvl w:val="0"/>
          <w:numId w:val="2"/>
        </w:numPr>
      </w:pPr>
      <w:r>
        <w:rPr>
          <w:rFonts w:ascii="Arial" w:cs="Arial" w:eastAsia="Arial" w:hAnsi="Arial"/>
          <w:sz w:val="22"/>
          <w:szCs w:val="22"/>
        </w:rPr>
        <w:t xml:space="preserve">Wound edges and surrounding skin condition</w:t>
      </w:r>
    </w:p>
    <w:p>
      <w:pPr>
        <w:pStyle w:val="ListParagraph"/>
        <w:numPr>
          <w:ilvl w:val="0"/>
          <w:numId w:val="2"/>
        </w:numPr>
      </w:pPr>
      <w:r>
        <w:rPr>
          <w:rFonts w:ascii="Arial" w:cs="Arial" w:eastAsia="Arial" w:hAnsi="Arial"/>
          <w:sz w:val="22"/>
          <w:szCs w:val="22"/>
        </w:rPr>
        <w:t xml:space="preserve">Exudate type, amount, and odour</w:t>
      </w:r>
    </w:p>
    <w:p>
      <w:pPr>
        <w:pStyle w:val="ListParagraph"/>
        <w:numPr>
          <w:ilvl w:val="0"/>
          <w:numId w:val="2"/>
        </w:numPr>
      </w:pPr>
      <w:r>
        <w:rPr>
          <w:rFonts w:ascii="Arial" w:cs="Arial" w:eastAsia="Arial" w:hAnsi="Arial"/>
          <w:sz w:val="22"/>
          <w:szCs w:val="22"/>
        </w:rPr>
        <w:t xml:space="preserve">Signs of infection (local and systemic)</w:t>
      </w:r>
    </w:p>
    <w:p>
      <w:pPr>
        <w:pStyle w:val="ListParagraph"/>
        <w:numPr>
          <w:ilvl w:val="0"/>
          <w:numId w:val="2"/>
        </w:numPr>
      </w:pPr>
      <w:r>
        <w:rPr>
          <w:rFonts w:ascii="Arial" w:cs="Arial" w:eastAsia="Arial" w:hAnsi="Arial"/>
          <w:sz w:val="22"/>
          <w:szCs w:val="22"/>
        </w:rPr>
        <w:t xml:space="preserve">Pain assessment</w:t>
      </w:r>
    </w:p>
    <w:p>
      <w:pPr>
        <w:pStyle w:val="ListParagraph"/>
        <w:numPr>
          <w:ilvl w:val="0"/>
          <w:numId w:val="2"/>
        </w:numPr>
      </w:pPr>
      <w:r>
        <w:rPr>
          <w:rFonts w:ascii="Arial" w:cs="Arial" w:eastAsia="Arial" w:hAnsi="Arial"/>
          <w:sz w:val="22"/>
          <w:szCs w:val="22"/>
        </w:rPr>
        <w:t xml:space="preserve">Participant factors affecting healing: nutrition, mobility, circulation, blood glucose, medication</w:t>
      </w:r>
    </w:p>
    <w:p>
      <w:r>
        <w:rPr>
          <w:rFonts w:ascii="Arial" w:cs="Arial" w:eastAsia="Arial" w:hAnsi="Arial"/>
          <w:sz w:val="22"/>
          <w:szCs w:val="22"/>
        </w:rPr>
        <w:t xml:space="preserve">Following assessment, the RN develops a wound care plan specifying: dressing product, frequency, application technique, monitoring parameters, and escalation triggers.</w:t>
      </w:r>
    </w:p>
    <w:p>
      <w:r>
        <w:t xml:space="preserve"/>
      </w:r>
    </w:p>
    <w:p>
      <w:pPr>
        <w:pStyle w:val="Heading2"/>
      </w:pPr>
      <w:r>
        <w:t xml:space="preserve">What Support Workers Can Do</w:t>
      </w:r>
    </w:p>
    <w:p>
      <w:r>
        <w:rPr>
          <w:rFonts w:ascii="Arial" w:cs="Arial" w:eastAsia="Arial" w:hAnsi="Arial"/>
          <w:sz w:val="22"/>
          <w:szCs w:val="22"/>
        </w:rPr>
        <w:t xml:space="preserve">Following HIDPA competency training and RN sign-off, support workers can perform dressing changes in accordance with the wound care plan. The care plan will specify exactly what to do — the type of dressing, the technique, and what to monitor. Support workers do not make clinical decisions about wound care. If the wound looks different, they contact the RN.</w:t>
      </w:r>
    </w:p>
    <w:p>
      <w:r>
        <w:t xml:space="preserve"/>
      </w:r>
    </w:p>
    <w:p>
      <w:pPr>
        <w:pStyle w:val="Heading2"/>
      </w:pPr>
      <w:r>
        <w:t xml:space="preserve">Signs of Wound Infection — Escalate to the RN</w:t>
      </w:r>
    </w:p>
    <w:p>
      <w:pPr>
        <w:pStyle w:val="ListParagraph"/>
        <w:numPr>
          <w:ilvl w:val="0"/>
          <w:numId w:val="2"/>
        </w:numPr>
      </w:pPr>
      <w:r>
        <w:rPr>
          <w:rFonts w:ascii="Arial" w:cs="Arial" w:eastAsia="Arial" w:hAnsi="Arial"/>
          <w:sz w:val="22"/>
          <w:szCs w:val="22"/>
        </w:rPr>
        <w:t xml:space="preserve">Increased redness, warmth, or swelling around the wound</w:t>
      </w:r>
    </w:p>
    <w:p>
      <w:pPr>
        <w:pStyle w:val="ListParagraph"/>
        <w:numPr>
          <w:ilvl w:val="0"/>
          <w:numId w:val="2"/>
        </w:numPr>
      </w:pPr>
      <w:r>
        <w:rPr>
          <w:rFonts w:ascii="Arial" w:cs="Arial" w:eastAsia="Arial" w:hAnsi="Arial"/>
          <w:sz w:val="22"/>
          <w:szCs w:val="22"/>
        </w:rPr>
        <w:t xml:space="preserve">New or worsening pain at the wound site</w:t>
      </w:r>
    </w:p>
    <w:p>
      <w:pPr>
        <w:pStyle w:val="ListParagraph"/>
        <w:numPr>
          <w:ilvl w:val="0"/>
          <w:numId w:val="2"/>
        </w:numPr>
      </w:pPr>
      <w:r>
        <w:rPr>
          <w:rFonts w:ascii="Arial" w:cs="Arial" w:eastAsia="Arial" w:hAnsi="Arial"/>
          <w:sz w:val="22"/>
          <w:szCs w:val="22"/>
        </w:rPr>
        <w:t xml:space="preserve">Purulent (pus-containing) or significantly increased discharge</w:t>
      </w:r>
    </w:p>
    <w:p>
      <w:pPr>
        <w:pStyle w:val="ListParagraph"/>
        <w:numPr>
          <w:ilvl w:val="0"/>
          <w:numId w:val="2"/>
        </w:numPr>
      </w:pPr>
      <w:r>
        <w:rPr>
          <w:rFonts w:ascii="Arial" w:cs="Arial" w:eastAsia="Arial" w:hAnsi="Arial"/>
          <w:sz w:val="22"/>
          <w:szCs w:val="22"/>
        </w:rPr>
        <w:t xml:space="preserve">Unpleasant odour</w:t>
      </w:r>
    </w:p>
    <w:p>
      <w:pPr>
        <w:pStyle w:val="ListParagraph"/>
        <w:numPr>
          <w:ilvl w:val="0"/>
          <w:numId w:val="2"/>
        </w:numPr>
      </w:pPr>
      <w:r>
        <w:rPr>
          <w:rFonts w:ascii="Arial" w:cs="Arial" w:eastAsia="Arial" w:hAnsi="Arial"/>
          <w:sz w:val="22"/>
          <w:szCs w:val="22"/>
        </w:rPr>
        <w:t xml:space="preserve">Wound edges appear to be breaking down or separating</w:t>
      </w:r>
    </w:p>
    <w:p>
      <w:pPr>
        <w:pStyle w:val="ListParagraph"/>
        <w:numPr>
          <w:ilvl w:val="0"/>
          <w:numId w:val="2"/>
        </w:numPr>
      </w:pPr>
      <w:r>
        <w:rPr>
          <w:rFonts w:ascii="Arial" w:cs="Arial" w:eastAsia="Arial" w:hAnsi="Arial"/>
          <w:sz w:val="22"/>
          <w:szCs w:val="22"/>
        </w:rPr>
        <w:t xml:space="preserve">Participant has a fever or feels unwell</w:t>
      </w:r>
    </w:p>
    <w:p>
      <w:r>
        <w:rPr>
          <w:rFonts w:ascii="Arial" w:cs="Arial" w:eastAsia="Arial" w:hAnsi="Arial"/>
          <w:sz w:val="22"/>
          <w:szCs w:val="22"/>
        </w:rPr>
        <w:t xml:space="preserve">If a participant with a wound shows signs of systemic infection (fever, confusion, rapid heart rate, low blood pressure), call 000 — this may indicate sepsis.</w:t>
      </w:r>
    </w:p>
    <w:p>
      <w:r>
        <w:t xml:space="preserve"/>
      </w:r>
    </w:p>
    <w:p>
      <w:r>
        <w:rPr>
          <w:rFonts w:ascii="Arial" w:cs="Arial" w:eastAsia="Arial" w:hAnsi="Arial"/>
          <w:b/>
          <w:bCs/>
          <w:color w:val="003588"/>
          <w:sz w:val="22"/>
          <w:szCs w:val="22"/>
        </w:rPr>
        <w:t xml:space="preserve">Refer a participant for wound care: trustcaresupport.com.au/referral/ or call 0432 014 162</w:t>
      </w:r>
    </w:p>
    <w:p>
      <w:r>
        <w:br w:type="page"/>
      </w:r>
    </w:p>
    <w:p>
      <w:r>
        <w:t xml:space="preserve"/>
      </w:r>
    </w:p>
    <w:p>
      <w:pPr>
        <w:pStyle w:val="Heading1"/>
      </w:pPr>
      <w:r>
        <w:t xml:space="preserve">Article 6: NDIS Pricing 2025-26: What Registered Providers Should Know About Nursing Rates</w:t>
      </w:r>
    </w:p>
    <w:p>
      <w:r>
        <w:rPr>
          <w:rFonts w:ascii="Arial" w:cs="Arial" w:eastAsia="Arial" w:hAnsi="Arial"/>
          <w:i/>
          <w:iCs/>
          <w:sz w:val="22"/>
          <w:szCs w:val="22"/>
        </w:rPr>
        <w:t xml:space="preserve">Category: NDIS Provider Resources | Reading time: approx. 4 min | Published: 2025</w:t>
      </w:r>
    </w:p>
    <w:p>
      <w:r>
        <w:t xml:space="preserve"/>
      </w:r>
    </w:p>
    <w:p>
      <w:r>
        <w:rPr>
          <w:rFonts w:ascii="Arial" w:cs="Arial" w:eastAsia="Arial" w:hAnsi="Arial"/>
          <w:sz w:val="22"/>
          <w:szCs w:val="22"/>
        </w:rPr>
        <w:t xml:space="preserve">The NDIS Pricing Arrangements and Price Limits for 2025-26 include updates relevant to providers who engage clinical nursing subcontractors. If you're billing TrustCare Support's nursing services against participant plans, here's what you need to know.</w:t>
      </w:r>
    </w:p>
    <w:p>
      <w:r>
        <w:t xml:space="preserve"/>
      </w:r>
    </w:p>
    <w:p>
      <w:pPr>
        <w:pStyle w:val="Heading2"/>
      </w:pPr>
      <w:r>
        <w:t xml:space="preserve">Support Category 0114: Nursing Support</w:t>
      </w:r>
    </w:p>
    <w:p>
      <w:r>
        <w:rPr>
          <w:rFonts w:ascii="Arial" w:cs="Arial" w:eastAsia="Arial" w:hAnsi="Arial"/>
          <w:sz w:val="22"/>
          <w:szCs w:val="22"/>
        </w:rPr>
        <w:t xml:space="preserve">The primary support category for community nursing services is Support Category 0114 — Daily Activities (Nursing Support). The current weekday rate for a Registered Nurse under 2025-26 arrangements is $123.65 per hour (national rate). This is the rate used by TrustCare Support for direct nursing visits and care planning.</w:t>
      </w:r>
    </w:p>
    <w:p>
      <w:r>
        <w:rPr>
          <w:rFonts w:ascii="Arial" w:cs="Arial" w:eastAsia="Arial" w:hAnsi="Arial"/>
          <w:sz w:val="22"/>
          <w:szCs w:val="22"/>
        </w:rPr>
        <w:t xml:space="preserve">Key 2025-26 rates under Category 0114 (national, weekday):</w:t>
      </w:r>
    </w:p>
    <w:p>
      <w:pPr>
        <w:pStyle w:val="ListParagraph"/>
        <w:numPr>
          <w:ilvl w:val="0"/>
          <w:numId w:val="2"/>
        </w:numPr>
      </w:pPr>
      <w:r>
        <w:rPr>
          <w:rFonts w:ascii="Arial" w:cs="Arial" w:eastAsia="Arial" w:hAnsi="Arial"/>
          <w:sz w:val="22"/>
          <w:szCs w:val="22"/>
        </w:rPr>
        <w:t xml:space="preserve">Registered Nurse: $123.65/hour</w:t>
      </w:r>
    </w:p>
    <w:p>
      <w:pPr>
        <w:pStyle w:val="ListParagraph"/>
        <w:numPr>
          <w:ilvl w:val="0"/>
          <w:numId w:val="2"/>
        </w:numPr>
      </w:pPr>
      <w:r>
        <w:rPr>
          <w:rFonts w:ascii="Arial" w:cs="Arial" w:eastAsia="Arial" w:hAnsi="Arial"/>
          <w:sz w:val="22"/>
          <w:szCs w:val="22"/>
        </w:rPr>
        <w:t xml:space="preserve">Enrolled Nurse: lower rate (see current NDIS Pricing Arrangements for exact figure)</w:t>
      </w:r>
    </w:p>
    <w:p>
      <w:pPr>
        <w:pStyle w:val="ListParagraph"/>
        <w:numPr>
          <w:ilvl w:val="0"/>
          <w:numId w:val="2"/>
        </w:numPr>
      </w:pPr>
      <w:r>
        <w:rPr>
          <w:rFonts w:ascii="Arial" w:cs="Arial" w:eastAsia="Arial" w:hAnsi="Arial"/>
          <w:sz w:val="22"/>
          <w:szCs w:val="22"/>
        </w:rPr>
        <w:t xml:space="preserve">Saturday, Sunday, public holiday, and evening rates apply separate loading percentages per the current Pricing Arrangements</w:t>
      </w:r>
    </w:p>
    <w:p>
      <w:r>
        <w:t xml:space="preserve"/>
      </w:r>
    </w:p>
    <w:p>
      <w:pPr>
        <w:pStyle w:val="Heading2"/>
      </w:pPr>
      <w:r>
        <w:t xml:space="preserve">Support Category 0107: High Intensity Daily Personal Activities</w:t>
      </w:r>
    </w:p>
    <w:p>
      <w:r>
        <w:rPr>
          <w:rFonts w:ascii="Arial" w:cs="Arial" w:eastAsia="Arial" w:hAnsi="Arial"/>
          <w:sz w:val="22"/>
          <w:szCs w:val="22"/>
        </w:rPr>
        <w:t xml:space="preserve">HIDPA supports are billed under Support Category 0107. Rates for HIDPA supports vary based on the complexity of the skill area and the qualification of the worker delivering the support. When TrustCare's RN delivers HIDPA direct care, Category 0107 rates apply.</w:t>
      </w:r>
    </w:p>
    <w:p>
      <w:r>
        <w:rPr>
          <w:rFonts w:ascii="Arial" w:cs="Arial" w:eastAsia="Arial" w:hAnsi="Arial"/>
          <w:sz w:val="22"/>
          <w:szCs w:val="22"/>
        </w:rPr>
        <w:t xml:space="preserve">For support workers delivering HIDPA tasks after TrustCare competency sign-off, you would typically bill under Category 0107 at the support worker rate. For the RN's competency assessment and training session, consult the current pricing arrangements and your NDIS pricing delegate.</w:t>
      </w:r>
    </w:p>
    <w:p>
      <w:r>
        <w:t xml:space="preserve"/>
      </w:r>
    </w:p>
    <w:p>
      <w:pPr>
        <w:pStyle w:val="Heading2"/>
      </w:pPr>
      <w:r>
        <w:t xml:space="preserve">How to Fund Nursing Subcontractors in Participant Plans</w:t>
      </w:r>
    </w:p>
    <w:p>
      <w:r>
        <w:rPr>
          <w:rFonts w:ascii="Arial" w:cs="Arial" w:eastAsia="Arial" w:hAnsi="Arial"/>
          <w:sz w:val="22"/>
          <w:szCs w:val="22"/>
        </w:rPr>
        <w:t xml:space="preserve">Nursing subcontracting costs are funded from the participant's NDIS plan under the relevant support category. As the registered provider, you:</w:t>
      </w:r>
    </w:p>
    <w:p>
      <w:pPr>
        <w:pStyle w:val="ListParagraph"/>
        <w:numPr>
          <w:ilvl w:val="0"/>
          <w:numId w:val="3"/>
        </w:numPr>
      </w:pPr>
      <w:r>
        <w:rPr>
          <w:rFonts w:ascii="Arial" w:cs="Arial" w:eastAsia="Arial" w:hAnsi="Arial"/>
          <w:sz w:val="22"/>
          <w:szCs w:val="22"/>
        </w:rPr>
        <w:t xml:space="preserve">Include nursing subcontracting costs in the participant's Service Agreement (if relevant and agreed with the participant/plan manager)</w:t>
      </w:r>
    </w:p>
    <w:p>
      <w:pPr>
        <w:pStyle w:val="ListParagraph"/>
        <w:numPr>
          <w:ilvl w:val="0"/>
          <w:numId w:val="3"/>
        </w:numPr>
      </w:pPr>
      <w:r>
        <w:rPr>
          <w:rFonts w:ascii="Arial" w:cs="Arial" w:eastAsia="Arial" w:hAnsi="Arial"/>
          <w:sz w:val="22"/>
          <w:szCs w:val="22"/>
        </w:rPr>
        <w:t xml:space="preserve">Claim against the plan using the appropriate line item codes after receiving TrustCare's invoice</w:t>
      </w:r>
    </w:p>
    <w:p>
      <w:pPr>
        <w:pStyle w:val="ListParagraph"/>
        <w:numPr>
          <w:ilvl w:val="0"/>
          <w:numId w:val="3"/>
        </w:numPr>
      </w:pPr>
      <w:r>
        <w:rPr>
          <w:rFonts w:ascii="Arial" w:cs="Arial" w:eastAsia="Arial" w:hAnsi="Arial"/>
          <w:sz w:val="22"/>
          <w:szCs w:val="22"/>
        </w:rPr>
        <w:t xml:space="preserve">TrustCare's invoice will include all line item information required for your claim: participant NDIS number, service dates, line item codes, hours, rate, and delivering RN name</w:t>
      </w:r>
    </w:p>
    <w:p>
      <w:r>
        <w:t xml:space="preserve"/>
      </w:r>
    </w:p>
    <w:p>
      <w:pPr>
        <w:pStyle w:val="Heading2"/>
      </w:pPr>
      <w:r>
        <w:t xml:space="preserve">Line Item Coding for TrustCare Services</w:t>
      </w:r>
    </w:p>
    <w:p>
      <w:r>
        <w:rPr>
          <w:rFonts w:ascii="Arial" w:cs="Arial" w:eastAsia="Arial" w:hAnsi="Arial"/>
          <w:sz w:val="22"/>
          <w:szCs w:val="22"/>
        </w:rPr>
        <w:t xml:space="preserve">TrustCare Support uses the following line item categories (confirm specific codes against the current NDIS Pricing Arrangements):</w:t>
      </w:r>
    </w:p>
    <w:p>
      <w:pPr>
        <w:pStyle w:val="ListParagraph"/>
        <w:numPr>
          <w:ilvl w:val="0"/>
          <w:numId w:val="2"/>
        </w:numPr>
      </w:pPr>
      <w:r>
        <w:rPr>
          <w:rFonts w:ascii="Arial" w:cs="Arial" w:eastAsia="Arial" w:hAnsi="Arial"/>
          <w:sz w:val="22"/>
          <w:szCs w:val="22"/>
        </w:rPr>
        <w:t xml:space="preserve">Direct nursing visits and care planning: Category 0114 (Nursing Support)</w:t>
      </w:r>
    </w:p>
    <w:p>
      <w:pPr>
        <w:pStyle w:val="ListParagraph"/>
        <w:numPr>
          <w:ilvl w:val="0"/>
          <w:numId w:val="2"/>
        </w:numPr>
      </w:pPr>
      <w:r>
        <w:rPr>
          <w:rFonts w:ascii="Arial" w:cs="Arial" w:eastAsia="Arial" w:hAnsi="Arial"/>
          <w:sz w:val="22"/>
          <w:szCs w:val="22"/>
        </w:rPr>
        <w:t xml:space="preserve">HIDPA direct clinical delivery by RN: Category 0107 (High Intensity Daily Personal Activities)</w:t>
      </w:r>
    </w:p>
    <w:p>
      <w:pPr>
        <w:pStyle w:val="ListParagraph"/>
        <w:numPr>
          <w:ilvl w:val="0"/>
          <w:numId w:val="2"/>
        </w:numPr>
      </w:pPr>
      <w:r>
        <w:rPr>
          <w:rFonts w:ascii="Arial" w:cs="Arial" w:eastAsia="Arial" w:hAnsi="Arial"/>
          <w:sz w:val="22"/>
          <w:szCs w:val="22"/>
        </w:rPr>
        <w:t xml:space="preserve">HIDPA training and competency assessment: discuss with your NDIS pricing delegate — may be 0107 or 0114 depending on how it's structured</w:t>
      </w:r>
    </w:p>
    <w:p>
      <w:pPr>
        <w:pStyle w:val="ListParagraph"/>
        <w:numPr>
          <w:ilvl w:val="0"/>
          <w:numId w:val="2"/>
        </w:numPr>
      </w:pPr>
      <w:r>
        <w:rPr>
          <w:rFonts w:ascii="Arial" w:cs="Arial" w:eastAsia="Arial" w:hAnsi="Arial"/>
          <w:sz w:val="22"/>
          <w:szCs w:val="22"/>
        </w:rPr>
        <w:t xml:space="preserve">Travel: NDIS Provider Travel rules — per km at the applicable NDIS travel rate</w:t>
      </w:r>
    </w:p>
    <w:p>
      <w:r>
        <w:t xml:space="preserve"/>
      </w:r>
    </w:p>
    <w:p>
      <w:pPr>
        <w:pStyle w:val="Heading2"/>
      </w:pPr>
      <w:r>
        <w:t xml:space="preserve">Invoicing</w:t>
      </w:r>
    </w:p>
    <w:p>
      <w:r>
        <w:rPr>
          <w:rFonts w:ascii="Arial" w:cs="Arial" w:eastAsia="Arial" w:hAnsi="Arial"/>
          <w:sz w:val="22"/>
          <w:szCs w:val="22"/>
        </w:rPr>
        <w:t xml:space="preserve">TrustCare Support issues fortnightly invoices with 14-day payment terms. Each invoice includes all information needed for your NDIS claim. Payment within terms ensures continuity of service for your participants.</w:t>
      </w:r>
    </w:p>
    <w:p>
      <w:r>
        <w:t xml:space="preserve"/>
      </w:r>
    </w:p>
    <w:p>
      <w:r>
        <w:rPr>
          <w:rFonts w:ascii="Arial" w:cs="Arial" w:eastAsia="Arial" w:hAnsi="Arial"/>
          <w:b/>
          <w:bCs/>
          <w:color w:val="003588"/>
          <w:sz w:val="22"/>
          <w:szCs w:val="22"/>
        </w:rPr>
        <w:t xml:space="preserve">For a pricing guide specific to your participants, contact: admin@trustcaresupport.com.au or 0432 014 162</w:t>
      </w:r>
    </w:p>
    <w:p>
      <w:r>
        <w:br w:type="page"/>
      </w:r>
    </w:p>
    <w:p>
      <w:r>
        <w:t xml:space="preserve"/>
      </w:r>
    </w:p>
    <w:p>
      <w:pPr>
        <w:pStyle w:val="Heading1"/>
      </w:pPr>
      <w:r>
        <w:t xml:space="preserve">Article 7: Privacy in NDIS Services: What the 2024 Privacy Act Reforms Mean for Providers</w:t>
      </w:r>
    </w:p>
    <w:p>
      <w:r>
        <w:rPr>
          <w:rFonts w:ascii="Arial" w:cs="Arial" w:eastAsia="Arial" w:hAnsi="Arial"/>
          <w:i/>
          <w:iCs/>
          <w:sz w:val="22"/>
          <w:szCs w:val="22"/>
        </w:rPr>
        <w:t xml:space="preserve">Category: Compliance &amp; Governance | Reading time: approx. 4 min | Published: 2025</w:t>
      </w:r>
    </w:p>
    <w:p>
      <w:r>
        <w:t xml:space="preserve"/>
      </w:r>
    </w:p>
    <w:p>
      <w:r>
        <w:rPr>
          <w:rFonts w:ascii="Arial" w:cs="Arial" w:eastAsia="Arial" w:hAnsi="Arial"/>
          <w:sz w:val="22"/>
          <w:szCs w:val="22"/>
        </w:rPr>
        <w:t xml:space="preserve">The Privacy and Other Legislation Amendment Act 2024 introduced the most significant changes to Australian privacy law in over a decade. For NDIS providers and subcontractors handling sensitive health information, the implications are substantial — and the timeline for compliance is now.</w:t>
      </w:r>
    </w:p>
    <w:p>
      <w:r>
        <w:t xml:space="preserve"/>
      </w:r>
    </w:p>
    <w:p>
      <w:pPr>
        <w:pStyle w:val="Heading2"/>
      </w:pPr>
      <w:r>
        <w:t xml:space="preserve">What Changed Under the 2024 Amendments?</w:t>
      </w:r>
    </w:p>
    <w:p>
      <w:pPr>
        <w:pStyle w:val="Heading3"/>
      </w:pPr>
      <w:r>
        <w:t xml:space="preserve">1. Privacy Tort (Effective June 2025)</w:t>
      </w:r>
    </w:p>
    <w:p>
      <w:r>
        <w:rPr>
          <w:rFonts w:ascii="Arial" w:cs="Arial" w:eastAsia="Arial" w:hAnsi="Arial"/>
          <w:sz w:val="22"/>
          <w:szCs w:val="22"/>
        </w:rPr>
        <w:t xml:space="preserve">A statutory cause of action for serious invasions of privacy is now in effect from June 2025. This means individuals can sue organisations (and individuals) for damages where their privacy has been seriously invaded — either through intrusion on seclusion (unauthorised access to private information or spaces) or misuse of private information.</w:t>
      </w:r>
    </w:p>
    <w:p>
      <w:r>
        <w:rPr>
          <w:rFonts w:ascii="Arial" w:cs="Arial" w:eastAsia="Arial" w:hAnsi="Arial"/>
          <w:sz w:val="22"/>
          <w:szCs w:val="22"/>
        </w:rPr>
        <w:t xml:space="preserve">For NDIS providers: if you or your subcontractors improperly access or share participant health information, the affected participant may now have a right to sue — not just complain to the OAIC.</w:t>
      </w:r>
    </w:p>
    <w:p>
      <w:r>
        <w:t xml:space="preserve"/>
      </w:r>
    </w:p>
    <w:p>
      <w:pPr>
        <w:pStyle w:val="Heading3"/>
      </w:pPr>
      <w:r>
        <w:t xml:space="preserve">2. Increased Civil Penalties (Already in Force)</w:t>
      </w:r>
    </w:p>
    <w:p>
      <w:r>
        <w:rPr>
          <w:rFonts w:ascii="Arial" w:cs="Arial" w:eastAsia="Arial" w:hAnsi="Arial"/>
          <w:sz w:val="22"/>
          <w:szCs w:val="22"/>
        </w:rPr>
        <w:t xml:space="preserve">The maximum civil penalty for serious or repeated privacy breaches has increased to $50 million (or 3 times the benefit obtained, or 30% of adjusted turnover in the relevant period — whichever is greater). This applies to organisations already covered by the Privacy Act.</w:t>
      </w:r>
    </w:p>
    <w:p>
      <w:r>
        <w:rPr>
          <w:rFonts w:ascii="Arial" w:cs="Arial" w:eastAsia="Arial" w:hAnsi="Arial"/>
          <w:sz w:val="22"/>
          <w:szCs w:val="22"/>
        </w:rPr>
        <w:t xml:space="preserve">Most NDIS registered providers are covered by the Privacy Act. Unregistered subcontractors handling participant health information (including TrustCare Support) handle sensitive health information that carries significant privacy obligations even without formal APP entity status — and the 2025 tort reform adds direct legal exposure.</w:t>
      </w:r>
    </w:p>
    <w:p>
      <w:r>
        <w:t xml:space="preserve"/>
      </w:r>
    </w:p>
    <w:p>
      <w:pPr>
        <w:pStyle w:val="Heading3"/>
      </w:pPr>
      <w:r>
        <w:t xml:space="preserve">3. Enhanced Security Obligations (Effective December 2024)</w:t>
      </w:r>
    </w:p>
    <w:p>
      <w:r>
        <w:rPr>
          <w:rFonts w:ascii="Arial" w:cs="Arial" w:eastAsia="Arial" w:hAnsi="Arial"/>
          <w:sz w:val="22"/>
          <w:szCs w:val="22"/>
        </w:rPr>
        <w:t xml:space="preserve">The 2024 reforms strengthened APP 11 security obligations, requiring organisations to take 'reasonable steps' that align with current cybersecurity standards. For healthcare providers, this includes:</w:t>
      </w:r>
    </w:p>
    <w:p>
      <w:pPr>
        <w:pStyle w:val="ListParagraph"/>
        <w:numPr>
          <w:ilvl w:val="0"/>
          <w:numId w:val="2"/>
        </w:numPr>
      </w:pPr>
      <w:r>
        <w:rPr>
          <w:rFonts w:ascii="Arial" w:cs="Arial" w:eastAsia="Arial" w:hAnsi="Arial"/>
          <w:sz w:val="22"/>
          <w:szCs w:val="22"/>
        </w:rPr>
        <w:t xml:space="preserve">Encryption at rest and in transit for health information</w:t>
      </w:r>
    </w:p>
    <w:p>
      <w:pPr>
        <w:pStyle w:val="ListParagraph"/>
        <w:numPr>
          <w:ilvl w:val="0"/>
          <w:numId w:val="2"/>
        </w:numPr>
      </w:pPr>
      <w:r>
        <w:rPr>
          <w:rFonts w:ascii="Arial" w:cs="Arial" w:eastAsia="Arial" w:hAnsi="Arial"/>
          <w:sz w:val="22"/>
          <w:szCs w:val="22"/>
        </w:rPr>
        <w:t xml:space="preserve">Role-based access controls — only staff who need the information get access</w:t>
      </w:r>
    </w:p>
    <w:p>
      <w:pPr>
        <w:pStyle w:val="ListParagraph"/>
        <w:numPr>
          <w:ilvl w:val="0"/>
          <w:numId w:val="2"/>
        </w:numPr>
      </w:pPr>
      <w:r>
        <w:rPr>
          <w:rFonts w:ascii="Arial" w:cs="Arial" w:eastAsia="Arial" w:hAnsi="Arial"/>
          <w:sz w:val="22"/>
          <w:szCs w:val="22"/>
        </w:rPr>
        <w:t xml:space="preserve">Regular security reviews and staff training</w:t>
      </w:r>
    </w:p>
    <w:p>
      <w:pPr>
        <w:pStyle w:val="ListParagraph"/>
        <w:numPr>
          <w:ilvl w:val="0"/>
          <w:numId w:val="2"/>
        </w:numPr>
      </w:pPr>
      <w:r>
        <w:rPr>
          <w:rFonts w:ascii="Arial" w:cs="Arial" w:eastAsia="Arial" w:hAnsi="Arial"/>
          <w:sz w:val="22"/>
          <w:szCs w:val="22"/>
        </w:rPr>
        <w:t xml:space="preserve">Clear data breach response procedures</w:t>
      </w:r>
    </w:p>
    <w:p>
      <w:r>
        <w:t xml:space="preserve"/>
      </w:r>
    </w:p>
    <w:p>
      <w:pPr>
        <w:pStyle w:val="Heading2"/>
      </w:pPr>
      <w:r>
        <w:t xml:space="preserve">What NDIS Providers Should Do</w:t>
      </w:r>
    </w:p>
    <w:p>
      <w:pPr>
        <w:pStyle w:val="ListParagraph"/>
        <w:numPr>
          <w:ilvl w:val="0"/>
          <w:numId w:val="2"/>
        </w:numPr>
      </w:pPr>
      <w:r>
        <w:rPr>
          <w:rFonts w:ascii="Arial" w:cs="Arial" w:eastAsia="Arial" w:hAnsi="Arial"/>
          <w:sz w:val="22"/>
          <w:szCs w:val="22"/>
        </w:rPr>
        <w:t xml:space="preserve">Review and update your Privacy Policy to reference the June 2025 privacy tort and $50M penalty ceiling</w:t>
      </w:r>
    </w:p>
    <w:p>
      <w:pPr>
        <w:pStyle w:val="ListParagraph"/>
        <w:numPr>
          <w:ilvl w:val="0"/>
          <w:numId w:val="2"/>
        </w:numPr>
      </w:pPr>
      <w:r>
        <w:rPr>
          <w:rFonts w:ascii="Arial" w:cs="Arial" w:eastAsia="Arial" w:hAnsi="Arial"/>
          <w:sz w:val="22"/>
          <w:szCs w:val="22"/>
        </w:rPr>
        <w:t xml:space="preserve">Audit your data security practices against the December 2024 enhanced obligations</w:t>
      </w:r>
    </w:p>
    <w:p>
      <w:pPr>
        <w:pStyle w:val="ListParagraph"/>
        <w:numPr>
          <w:ilvl w:val="0"/>
          <w:numId w:val="2"/>
        </w:numPr>
      </w:pPr>
      <w:r>
        <w:rPr>
          <w:rFonts w:ascii="Arial" w:cs="Arial" w:eastAsia="Arial" w:hAnsi="Arial"/>
          <w:sz w:val="22"/>
          <w:szCs w:val="22"/>
        </w:rPr>
        <w:t xml:space="preserve">Ensure all staff complete annual privacy training</w:t>
      </w:r>
    </w:p>
    <w:p>
      <w:pPr>
        <w:pStyle w:val="ListParagraph"/>
        <w:numPr>
          <w:ilvl w:val="0"/>
          <w:numId w:val="2"/>
        </w:numPr>
      </w:pPr>
      <w:r>
        <w:rPr>
          <w:rFonts w:ascii="Arial" w:cs="Arial" w:eastAsia="Arial" w:hAnsi="Arial"/>
          <w:sz w:val="22"/>
          <w:szCs w:val="22"/>
        </w:rPr>
        <w:t xml:space="preserve">Review your contracts with subcontractors and data processors — ensure they have APP-compliant privacy provisions</w:t>
      </w:r>
    </w:p>
    <w:p>
      <w:pPr>
        <w:pStyle w:val="ListParagraph"/>
        <w:numPr>
          <w:ilvl w:val="0"/>
          <w:numId w:val="2"/>
        </w:numPr>
      </w:pPr>
      <w:r>
        <w:rPr>
          <w:rFonts w:ascii="Arial" w:cs="Arial" w:eastAsia="Arial" w:hAnsi="Arial"/>
          <w:sz w:val="22"/>
          <w:szCs w:val="22"/>
        </w:rPr>
        <w:t xml:space="preserve">Document your data breach response procedure and test it</w:t>
      </w:r>
    </w:p>
    <w:p>
      <w:pPr>
        <w:pStyle w:val="ListParagraph"/>
        <w:numPr>
          <w:ilvl w:val="0"/>
          <w:numId w:val="2"/>
        </w:numPr>
      </w:pPr>
      <w:r>
        <w:rPr>
          <w:rFonts w:ascii="Arial" w:cs="Arial" w:eastAsia="Arial" w:hAnsi="Arial"/>
          <w:sz w:val="22"/>
          <w:szCs w:val="22"/>
        </w:rPr>
        <w:t xml:space="preserve">Review your third-party processors (cloud storage, CRM, form tools) for APP 8 cross-border disclosure compliance</w:t>
      </w:r>
    </w:p>
    <w:p>
      <w:r>
        <w:t xml:space="preserve"/>
      </w:r>
    </w:p>
    <w:p>
      <w:pPr>
        <w:pStyle w:val="Heading2"/>
      </w:pPr>
      <w:r>
        <w:t xml:space="preserve">The Notifiable Data Breach Scheme</w:t>
      </w:r>
    </w:p>
    <w:p>
      <w:r>
        <w:rPr>
          <w:rFonts w:ascii="Arial" w:cs="Arial" w:eastAsia="Arial" w:hAnsi="Arial"/>
          <w:sz w:val="22"/>
          <w:szCs w:val="22"/>
        </w:rPr>
        <w:t xml:space="preserve">If you experience a data breach that is likely to result in serious harm to affected individuals, you must notify both the Office of the Australian Information Commissioner (OAIC) and affected individuals as soon as practicable. Preparation is key — have an incident response plan before you need it.</w:t>
      </w:r>
    </w:p>
    <w:p>
      <w:r>
        <w:t xml:space="preserve"/>
      </w:r>
    </w:p>
    <w:p>
      <w:pPr>
        <w:pStyle w:val="Heading2"/>
      </w:pPr>
      <w:r>
        <w:t xml:space="preserve">TrustCare's Approach</w:t>
      </w:r>
    </w:p>
    <w:p>
      <w:r>
        <w:rPr>
          <w:rFonts w:ascii="Arial" w:cs="Arial" w:eastAsia="Arial" w:hAnsi="Arial"/>
          <w:sz w:val="22"/>
          <w:szCs w:val="22"/>
        </w:rPr>
        <w:t xml:space="preserve">TrustCare Support has updated its Privacy Policy (v2.1, effective 1 July 2025) to reflect all 2024 reforms, including the privacy tort, enhanced security obligations, and the NDB scheme. We handle participant information with AES-256 encryption, role-based access controls, and annual staff privacy training. Our data breach response procedure is documented and tested.</w:t>
      </w:r>
    </w:p>
    <w:p>
      <w:r>
        <w:t xml:space="preserve"/>
      </w:r>
    </w:p>
    <w:p>
      <w:r>
        <w:rPr>
          <w:rFonts w:ascii="Arial" w:cs="Arial" w:eastAsia="Arial" w:hAnsi="Arial"/>
          <w:b/>
          <w:bCs/>
          <w:color w:val="003588"/>
          <w:sz w:val="22"/>
          <w:szCs w:val="22"/>
        </w:rPr>
        <w:t xml:space="preserve">Read our Privacy Policy at trustcaresupport.com.au/privacy/ or contact admin@trustcaresupport.com.au with privacy queries.</w:t>
      </w:r>
    </w:p>
    <w:p>
      <w:r>
        <w:br w:type="page"/>
      </w:r>
    </w:p>
    <w:p>
      <w:r>
        <w:t xml:space="preserve"/>
      </w:r>
    </w:p>
    <w:p>
      <w:pPr>
        <w:pStyle w:val="Heading1"/>
      </w:pPr>
      <w:r>
        <w:t xml:space="preserve">Article 8: Supporting NDIS Participants with Complex Needs: A Registered Nurse's Perspective</w:t>
      </w:r>
    </w:p>
    <w:p>
      <w:r>
        <w:rPr>
          <w:rFonts w:ascii="Arial" w:cs="Arial" w:eastAsia="Arial" w:hAnsi="Arial"/>
          <w:i/>
          <w:iCs/>
          <w:sz w:val="22"/>
          <w:szCs w:val="22"/>
        </w:rPr>
        <w:t xml:space="preserve">Category: Clinical Perspective | Reading time: approx. 5 min | Published: 2025</w:t>
      </w:r>
    </w:p>
    <w:p>
      <w:r>
        <w:t xml:space="preserve"/>
      </w:r>
    </w:p>
    <w:p>
      <w:r>
        <w:rPr>
          <w:rFonts w:ascii="Arial" w:cs="Arial" w:eastAsia="Arial" w:hAnsi="Arial"/>
          <w:sz w:val="22"/>
          <w:szCs w:val="22"/>
        </w:rPr>
        <w:t xml:space="preserve">I have worked as a Registered Nurse for many years, in hospitals, aged care, and now community nursing under the NDIS. If I had to describe the difference between hospital nursing and community nursing in a single word, it would be this: relationship.</w:t>
      </w:r>
    </w:p>
    <w:p>
      <w:r>
        <w:rPr>
          <w:rFonts w:ascii="Arial" w:cs="Arial" w:eastAsia="Arial" w:hAnsi="Arial"/>
          <w:sz w:val="22"/>
          <w:szCs w:val="22"/>
        </w:rPr>
        <w:t xml:space="preserve">In a hospital, you might care for a patient for a few days — maybe a week. In community nursing, particularly with NDIS participants who have complex needs, you often see the same people week after week, sometimes for years. You become a trusted presence in their home. You know their preferences, their anxieties, their good days and their difficult ones. That continuity is one of the most powerful therapeutic tools a community nurse has — and it's largely invisible in the clinical literature.</w:t>
      </w:r>
    </w:p>
    <w:p>
      <w:r>
        <w:t xml:space="preserve"/>
      </w:r>
    </w:p>
    <w:p>
      <w:pPr>
        <w:pStyle w:val="Heading2"/>
      </w:pPr>
      <w:r>
        <w:t xml:space="preserve">What Does 'Complex Needs' Mean in NDIS?</w:t>
      </w:r>
    </w:p>
    <w:p>
      <w:r>
        <w:rPr>
          <w:rFonts w:ascii="Arial" w:cs="Arial" w:eastAsia="Arial" w:hAnsi="Arial"/>
          <w:sz w:val="22"/>
          <w:szCs w:val="22"/>
        </w:rPr>
        <w:t xml:space="preserve">The NDIS uses the term 'high intensity' for supports that carry significant clinical risk — tracheostomy management, ventilator care, PEG feeding, complex wound management, seizure protocols. These are the supports that require a Registered Nurse to be involved, either in direct delivery or in competency oversight of the team.</w:t>
      </w:r>
    </w:p>
    <w:p>
      <w:r>
        <w:rPr>
          <w:rFonts w:ascii="Arial" w:cs="Arial" w:eastAsia="Arial" w:hAnsi="Arial"/>
          <w:sz w:val="22"/>
          <w:szCs w:val="22"/>
        </w:rPr>
        <w:t xml:space="preserve">But 'complex needs' in my experience goes deeper than a list of clinical tasks. The participants I work with often have multiple co-morbidities — for example, a spinal cord injury participant who also has diabetes, pressure injury risk, and a complex medication regimen. Each condition interacts with the others. Clinical decision-making in this context requires a level of assessment, synthesis, and judgment that takes years of practice to develop.</w:t>
      </w:r>
    </w:p>
    <w:p>
      <w:r>
        <w:t xml:space="preserve"/>
      </w:r>
    </w:p>
    <w:p>
      <w:pPr>
        <w:pStyle w:val="Heading2"/>
      </w:pPr>
      <w:r>
        <w:t xml:space="preserve">Clinical Challenges in Complex Community Nursing</w:t>
      </w:r>
    </w:p>
    <w:p>
      <w:r>
        <w:rPr>
          <w:rFonts w:ascii="Arial" w:cs="Arial" w:eastAsia="Arial" w:hAnsi="Arial"/>
          <w:sz w:val="22"/>
          <w:szCs w:val="22"/>
        </w:rPr>
        <w:t xml:space="preserve">The clinical challenges are real and varied:</w:t>
      </w:r>
    </w:p>
    <w:p>
      <w:pPr>
        <w:pStyle w:val="ListParagraph"/>
        <w:numPr>
          <w:ilvl w:val="0"/>
          <w:numId w:val="2"/>
        </w:numPr>
      </w:pPr>
      <w:r>
        <w:rPr>
          <w:rFonts w:ascii="Arial" w:cs="Arial" w:eastAsia="Arial" w:hAnsi="Arial"/>
          <w:sz w:val="22"/>
          <w:szCs w:val="22"/>
        </w:rPr>
        <w:t xml:space="preserve">Multiple co-morbidities: understanding how conditions interact and prioritising care appropriately</w:t>
      </w:r>
    </w:p>
    <w:p>
      <w:pPr>
        <w:pStyle w:val="ListParagraph"/>
        <w:numPr>
          <w:ilvl w:val="0"/>
          <w:numId w:val="2"/>
        </w:numPr>
      </w:pPr>
      <w:r>
        <w:rPr>
          <w:rFonts w:ascii="Arial" w:cs="Arial" w:eastAsia="Arial" w:hAnsi="Arial"/>
          <w:sz w:val="22"/>
          <w:szCs w:val="22"/>
        </w:rPr>
        <w:t xml:space="preserve">Polypharmacy: participants on 10, 15, even 20 medications — monitoring for interactions and side effects</w:t>
      </w:r>
    </w:p>
    <w:p>
      <w:pPr>
        <w:pStyle w:val="ListParagraph"/>
        <w:numPr>
          <w:ilvl w:val="0"/>
          <w:numId w:val="2"/>
        </w:numPr>
      </w:pPr>
      <w:r>
        <w:rPr>
          <w:rFonts w:ascii="Arial" w:cs="Arial" w:eastAsia="Arial" w:hAnsi="Arial"/>
          <w:sz w:val="22"/>
          <w:szCs w:val="22"/>
        </w:rPr>
        <w:t xml:space="preserve">Behavioural support needs: some participants have cognitive impairment, acquired brain injury, or co-occurring mental health conditions that affect how care is received and delivered</w:t>
      </w:r>
    </w:p>
    <w:p>
      <w:pPr>
        <w:pStyle w:val="ListParagraph"/>
        <w:numPr>
          <w:ilvl w:val="0"/>
          <w:numId w:val="2"/>
        </w:numPr>
      </w:pPr>
      <w:r>
        <w:rPr>
          <w:rFonts w:ascii="Arial" w:cs="Arial" w:eastAsia="Arial" w:hAnsi="Arial"/>
          <w:sz w:val="22"/>
          <w:szCs w:val="22"/>
        </w:rPr>
        <w:t xml:space="preserve">Environmental factors: the home environment is unpredictable — you adapt your practice to limited space, variable equipment, and the presence of family members who are exhausted and may have their own needs</w:t>
      </w:r>
    </w:p>
    <w:p>
      <w:pPr>
        <w:pStyle w:val="ListParagraph"/>
        <w:numPr>
          <w:ilvl w:val="0"/>
          <w:numId w:val="2"/>
        </w:numPr>
      </w:pPr>
      <w:r>
        <w:rPr>
          <w:rFonts w:ascii="Arial" w:cs="Arial" w:eastAsia="Arial" w:hAnsi="Arial"/>
          <w:sz w:val="22"/>
          <w:szCs w:val="22"/>
        </w:rPr>
        <w:t xml:space="preserve">System navigation: coordinating with GPs, specialists, allied health, NDIS planners, and support coordinators requires persistence and clear communication</w:t>
      </w:r>
    </w:p>
    <w:p>
      <w:r>
        <w:t xml:space="preserve"/>
      </w:r>
    </w:p>
    <w:p>
      <w:pPr>
        <w:pStyle w:val="Heading2"/>
      </w:pPr>
      <w:r>
        <w:t xml:space="preserve">The Nurse-Participant Relationship: Trust, Dignity, Choice</w:t>
      </w:r>
    </w:p>
    <w:p>
      <w:r>
        <w:rPr>
          <w:rFonts w:ascii="Arial" w:cs="Arial" w:eastAsia="Arial" w:hAnsi="Arial"/>
          <w:sz w:val="22"/>
          <w:szCs w:val="22"/>
        </w:rPr>
        <w:t xml:space="preserve">Person-centred care is not just an NDIS buzzword. It is a clinical imperative. Participants have the right to make decisions about their own care — including decisions that a clinician might not agree with. The nurse's role is to provide information, assess capacity, respect autonomy, and document clearly.</w:t>
      </w:r>
    </w:p>
    <w:p>
      <w:r>
        <w:rPr>
          <w:rFonts w:ascii="Arial" w:cs="Arial" w:eastAsia="Arial" w:hAnsi="Arial"/>
          <w:sz w:val="22"/>
          <w:szCs w:val="22"/>
        </w:rPr>
        <w:t xml:space="preserve">Dignity is non-negotiable. Personal care, catheter management, bowel care — these are intimate and sometimes confronting supports. The way you approach a person during these moments matters enormously. I have seen participants become distressed, withdrawn, and non-compliant with care because previous workers did not treat them with respect. Rebuilding that trust takes time and consistency.</w:t>
      </w:r>
    </w:p>
    <w:p>
      <w:r>
        <w:t xml:space="preserve"/>
      </w:r>
    </w:p>
    <w:p>
      <w:pPr>
        <w:pStyle w:val="Heading2"/>
      </w:pPr>
      <w:r>
        <w:t xml:space="preserve">Working with Families and Informal Supports</w:t>
      </w:r>
    </w:p>
    <w:p>
      <w:r>
        <w:rPr>
          <w:rFonts w:ascii="Arial" w:cs="Arial" w:eastAsia="Arial" w:hAnsi="Arial"/>
          <w:sz w:val="22"/>
          <w:szCs w:val="22"/>
        </w:rPr>
        <w:t xml:space="preserve">Many NDIS participants with complex needs have family members who provide significant informal support — and who are frequently at or near their limits. The community nurse often becomes a point of stability for the whole family, not just the participant.</w:t>
      </w:r>
    </w:p>
    <w:p>
      <w:r>
        <w:rPr>
          <w:rFonts w:ascii="Arial" w:cs="Arial" w:eastAsia="Arial" w:hAnsi="Arial"/>
          <w:sz w:val="22"/>
          <w:szCs w:val="22"/>
        </w:rPr>
        <w:t xml:space="preserve">Part of our role is to build the family's confidence in the care plan, explain what to watch for, and be accessible when they have concerns. A family that trusts the clinical team is a safety net. A family that doesn't trust the team — or feels excluded from care decisions — can inadvertently introduce risk.</w:t>
      </w:r>
    </w:p>
    <w:p>
      <w:r>
        <w:t xml:space="preserve"/>
      </w:r>
    </w:p>
    <w:p>
      <w:pPr>
        <w:pStyle w:val="Heading2"/>
      </w:pPr>
      <w:r>
        <w:t xml:space="preserve">Community Nursing vs. Hospital Nursing</w:t>
      </w:r>
    </w:p>
    <w:p>
      <w:r>
        <w:rPr>
          <w:rFonts w:ascii="Arial" w:cs="Arial" w:eastAsia="Arial" w:hAnsi="Arial"/>
          <w:sz w:val="22"/>
          <w:szCs w:val="22"/>
        </w:rPr>
        <w:t xml:space="preserve">I came from a hospital background, and the adjustment to community nursing took longer than I expected. In hospital, the environment is controlled, resources are immediately available, and help is seconds away. In the community, you are often working alone, in someone's home, with whatever equipment is on hand, making independent clinical decisions.</w:t>
      </w:r>
    </w:p>
    <w:p>
      <w:r>
        <w:rPr>
          <w:rFonts w:ascii="Arial" w:cs="Arial" w:eastAsia="Arial" w:hAnsi="Arial"/>
          <w:sz w:val="22"/>
          <w:szCs w:val="22"/>
        </w:rPr>
        <w:t xml:space="preserve">This requires a different kind of confidence. You have to trust your assessment skills. You have to know when to call for help — the GP, the specialist, or 000. And you have to document in a way that creates a clear picture for the next person who reads the notes.</w:t>
      </w:r>
    </w:p>
    <w:p>
      <w:r>
        <w:t xml:space="preserve"/>
      </w:r>
    </w:p>
    <w:p>
      <w:pPr>
        <w:pStyle w:val="Heading2"/>
      </w:pPr>
      <w:r>
        <w:t xml:space="preserve">TrustCare's Clinical Team Values</w:t>
      </w:r>
    </w:p>
    <w:p>
      <w:r>
        <w:rPr>
          <w:rFonts w:ascii="Arial" w:cs="Arial" w:eastAsia="Arial" w:hAnsi="Arial"/>
          <w:sz w:val="22"/>
          <w:szCs w:val="22"/>
        </w:rPr>
        <w:t xml:space="preserve">At TrustCare Support, we are committed to clinical excellence, respect for every participant's autonomy and dignity, and transparent communication with the providers and families we work with. We choose community nursing because the work matters — not just clinically, but humanly.</w:t>
      </w:r>
    </w:p>
    <w:p>
      <w:r>
        <w:rPr>
          <w:rFonts w:ascii="Arial" w:cs="Arial" w:eastAsia="Arial" w:hAnsi="Arial"/>
          <w:sz w:val="22"/>
          <w:szCs w:val="22"/>
        </w:rPr>
        <w:t xml:space="preserve">If you're looking for a clinical nursing partner who treats complex needs with the attention and care they deserve, we'd welcome the conversation.</w:t>
      </w:r>
    </w:p>
    <w:p>
      <w:r>
        <w:t xml:space="preserve"/>
      </w:r>
    </w:p>
    <w:p>
      <w:r>
        <w:rPr>
          <w:rFonts w:ascii="Arial" w:cs="Arial" w:eastAsia="Arial" w:hAnsi="Arial"/>
          <w:b/>
          <w:bCs/>
          <w:color w:val="003588"/>
          <w:sz w:val="22"/>
          <w:szCs w:val="22"/>
        </w:rPr>
        <w:t xml:space="preserve">Meet the team or book a consultation: trustcaresupport.com.au/about/ | 0432 014 162 | admin@trustcaresupport.com.au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w:t>
    </w:r>
    <w:r>
      <w:rPr>
        <w:rFonts w:ascii="Arial" w:cs="Arial" w:eastAsia="Arial" w:hAnsi="Arial"/>
        <w:color w:val="666666"/>
        <w:sz w:val="18"/>
        <w:szCs w:val="18"/>
      </w:rPr>
      <w:t xml:space="preserve">	Blog Articles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2026-03-31T16:04:19.374Z</dcterms:created>
  <dcterms:modified xsi:type="dcterms:W3CDTF">2026-03-31T16:04:19.377Z</dcterms:modified>
</cp:coreProperties>
</file>

<file path=docProps/custom.xml><?xml version="1.0" encoding="utf-8"?>
<Properties xmlns="http://schemas.openxmlformats.org/officeDocument/2006/custom-properties" xmlns:vt="http://schemas.openxmlformats.org/officeDocument/2006/docPropsVTypes"/>
</file>