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D64F6" w14:textId="77777777" w:rsidR="00AA716C" w:rsidRDefault="00AA716C" w:rsidP="00AA716C">
      <w:pPr>
        <w:jc w:val="center"/>
        <w:outlineLvl w:val="0"/>
      </w:pPr>
      <w:bookmarkStart w:id="0" w:name="_Toc504647552"/>
      <w:bookmarkStart w:id="1" w:name="_GoBack"/>
      <w:bookmarkEnd w:id="1"/>
      <w:r>
        <w:t>Measure 5:  Use of Quantitative Criteria for Oncologic FDG PET Imaging</w:t>
      </w:r>
      <w:bookmarkEnd w:id="0"/>
      <w:r>
        <w:t xml:space="preserve"> </w:t>
      </w:r>
    </w:p>
    <w:p w14:paraId="018731B9" w14:textId="77777777" w:rsidR="00AA716C" w:rsidRPr="00A8078D" w:rsidRDefault="00AA716C" w:rsidP="00AA716C"/>
    <w:tbl>
      <w:tblPr>
        <w:tblW w:w="99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8" w:type="dxa"/>
          <w:left w:w="86" w:type="dxa"/>
          <w:bottom w:w="58" w:type="dxa"/>
          <w:right w:w="86" w:type="dxa"/>
        </w:tblCellMar>
        <w:tblLook w:val="01E0" w:firstRow="1" w:lastRow="1" w:firstColumn="1" w:lastColumn="1" w:noHBand="0" w:noVBand="0"/>
      </w:tblPr>
      <w:tblGrid>
        <w:gridCol w:w="1846"/>
        <w:gridCol w:w="8140"/>
      </w:tblGrid>
      <w:tr w:rsidR="00AA716C" w:rsidRPr="006B405A" w14:paraId="24C05937"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3A8B3F87" w14:textId="77777777" w:rsidR="00AA716C" w:rsidRPr="006143EF" w:rsidRDefault="00AA716C" w:rsidP="00C97F81">
            <w:pPr>
              <w:rPr>
                <w:rStyle w:val="NormalBold"/>
                <w:rFonts w:ascii="Calibri" w:hAnsi="Calibri" w:cs="Calibri"/>
              </w:rPr>
            </w:pPr>
            <w:r>
              <w:rPr>
                <w:rStyle w:val="NormalBold"/>
                <w:rFonts w:ascii="Calibri" w:hAnsi="Calibri" w:cs="Calibri"/>
              </w:rPr>
              <w:t>Measure Purpose</w:t>
            </w:r>
          </w:p>
        </w:tc>
        <w:tc>
          <w:tcPr>
            <w:tcW w:w="8140" w:type="dxa"/>
            <w:tcBorders>
              <w:top w:val="single" w:sz="12" w:space="0" w:color="auto"/>
              <w:left w:val="single" w:sz="12" w:space="0" w:color="auto"/>
              <w:bottom w:val="single" w:sz="12" w:space="0" w:color="auto"/>
              <w:right w:val="single" w:sz="12" w:space="0" w:color="auto"/>
            </w:tcBorders>
          </w:tcPr>
          <w:p w14:paraId="0B10F62A" w14:textId="77777777" w:rsidR="00AA716C" w:rsidRDefault="00AA716C" w:rsidP="00C97F81">
            <w:pPr>
              <w:rPr>
                <w:rFonts w:ascii="Calibri" w:hAnsi="Calibri" w:cs="Calibri"/>
                <w:sz w:val="20"/>
                <w:szCs w:val="20"/>
              </w:rPr>
            </w:pPr>
            <w:r>
              <w:rPr>
                <w:rFonts w:ascii="Calibri" w:hAnsi="Calibri" w:cs="Calibri"/>
                <w:sz w:val="20"/>
                <w:szCs w:val="20"/>
              </w:rPr>
              <w:t>This measure aims to improve the quality and comparability of final reports for FDG PET scans for patients with non-CNS cancer by ensuring important core elements are included.</w:t>
            </w:r>
          </w:p>
        </w:tc>
      </w:tr>
      <w:tr w:rsidR="00AA716C" w:rsidRPr="006B405A" w14:paraId="4F3FA595"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022B500D"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Measure Description</w:t>
            </w:r>
          </w:p>
        </w:tc>
        <w:tc>
          <w:tcPr>
            <w:tcW w:w="8140" w:type="dxa"/>
            <w:tcBorders>
              <w:top w:val="single" w:sz="12" w:space="0" w:color="auto"/>
              <w:left w:val="single" w:sz="12" w:space="0" w:color="auto"/>
              <w:bottom w:val="single" w:sz="12" w:space="0" w:color="auto"/>
              <w:right w:val="single" w:sz="12" w:space="0" w:color="auto"/>
            </w:tcBorders>
          </w:tcPr>
          <w:p w14:paraId="52AAB79F" w14:textId="77777777" w:rsidR="00AA716C" w:rsidRPr="006B405A" w:rsidRDefault="00AA716C" w:rsidP="00C97F81">
            <w:pPr>
              <w:rPr>
                <w:rFonts w:ascii="Calibri" w:hAnsi="Calibri" w:cs="Calibri"/>
                <w:sz w:val="20"/>
                <w:szCs w:val="20"/>
              </w:rPr>
            </w:pPr>
            <w:r>
              <w:rPr>
                <w:rFonts w:ascii="Calibri" w:hAnsi="Calibri" w:cs="Calibri"/>
                <w:sz w:val="20"/>
                <w:szCs w:val="20"/>
              </w:rPr>
              <w:t>Percentage of</w:t>
            </w:r>
            <w:r w:rsidRPr="006B405A">
              <w:rPr>
                <w:rFonts w:ascii="Calibri" w:hAnsi="Calibri" w:cs="Calibri"/>
                <w:sz w:val="20"/>
                <w:szCs w:val="20"/>
              </w:rPr>
              <w:t xml:space="preserve"> final reports for all patients, regardless of age, undergoing </w:t>
            </w:r>
            <w:r>
              <w:rPr>
                <w:rFonts w:ascii="Calibri" w:hAnsi="Calibri" w:cs="Calibri"/>
                <w:sz w:val="20"/>
                <w:szCs w:val="20"/>
              </w:rPr>
              <w:t>non-CNS oncologic FDG</w:t>
            </w:r>
            <w:r w:rsidRPr="006B405A">
              <w:rPr>
                <w:rFonts w:ascii="Calibri" w:hAnsi="Calibri" w:cs="Calibri"/>
                <w:sz w:val="20"/>
                <w:szCs w:val="20"/>
              </w:rPr>
              <w:t xml:space="preserve"> PET studies</w:t>
            </w:r>
            <w:r>
              <w:rPr>
                <w:rFonts w:ascii="Calibri" w:hAnsi="Calibri" w:cs="Calibri"/>
                <w:sz w:val="20"/>
                <w:szCs w:val="20"/>
              </w:rPr>
              <w:t xml:space="preserve"> </w:t>
            </w:r>
            <w:r w:rsidRPr="006B405A">
              <w:rPr>
                <w:rFonts w:ascii="Calibri" w:hAnsi="Calibri" w:cs="Calibri"/>
                <w:sz w:val="20"/>
                <w:szCs w:val="20"/>
              </w:rPr>
              <w:t>that include at a minimum:</w:t>
            </w:r>
          </w:p>
          <w:p w14:paraId="7A5331BE" w14:textId="4AB4AE2F" w:rsidR="00AA716C" w:rsidRPr="006B405A" w:rsidRDefault="00AA716C" w:rsidP="00AA716C">
            <w:pPr>
              <w:numPr>
                <w:ilvl w:val="0"/>
                <w:numId w:val="1"/>
              </w:numPr>
              <w:rPr>
                <w:rFonts w:ascii="Calibri" w:hAnsi="Calibri" w:cs="Calibri"/>
                <w:sz w:val="20"/>
                <w:szCs w:val="20"/>
              </w:rPr>
            </w:pPr>
            <w:r w:rsidRPr="006B405A">
              <w:rPr>
                <w:rFonts w:ascii="Calibri" w:hAnsi="Calibri" w:cs="Calibri"/>
                <w:sz w:val="20"/>
                <w:szCs w:val="20"/>
              </w:rPr>
              <w:t>Serum glucose (e</w:t>
            </w:r>
            <w:r>
              <w:rPr>
                <w:rFonts w:ascii="Calibri" w:hAnsi="Calibri" w:cs="Calibri"/>
                <w:sz w:val="20"/>
                <w:szCs w:val="20"/>
              </w:rPr>
              <w:t>.</w:t>
            </w:r>
            <w:r>
              <w:rPr>
                <w:rFonts w:ascii="Calibri" w:hAnsi="Calibri" w:cs="Calibri"/>
                <w:sz w:val="20"/>
                <w:szCs w:val="20"/>
              </w:rPr>
              <w:t>g</w:t>
            </w:r>
            <w:r>
              <w:rPr>
                <w:rFonts w:ascii="Calibri" w:hAnsi="Calibri" w:cs="Calibri"/>
                <w:sz w:val="20"/>
                <w:szCs w:val="20"/>
              </w:rPr>
              <w:t>.</w:t>
            </w:r>
            <w:r>
              <w:rPr>
                <w:rFonts w:ascii="Calibri" w:hAnsi="Calibri" w:cs="Calibri"/>
                <w:sz w:val="20"/>
                <w:szCs w:val="20"/>
              </w:rPr>
              <w:t>,</w:t>
            </w:r>
            <w:r w:rsidRPr="006B405A">
              <w:rPr>
                <w:rFonts w:ascii="Calibri" w:hAnsi="Calibri" w:cs="Calibri"/>
                <w:sz w:val="20"/>
                <w:szCs w:val="20"/>
              </w:rPr>
              <w:t xml:space="preserve"> finger stick at time of injection)</w:t>
            </w:r>
          </w:p>
          <w:p w14:paraId="64A834D7" w14:textId="77777777" w:rsidR="00AA716C" w:rsidRPr="006B405A" w:rsidRDefault="00AA716C" w:rsidP="00AA716C">
            <w:pPr>
              <w:numPr>
                <w:ilvl w:val="0"/>
                <w:numId w:val="1"/>
              </w:numPr>
              <w:rPr>
                <w:rFonts w:ascii="Calibri" w:hAnsi="Calibri" w:cs="Calibri"/>
                <w:sz w:val="20"/>
                <w:szCs w:val="20"/>
              </w:rPr>
            </w:pPr>
            <w:r w:rsidRPr="006B405A">
              <w:rPr>
                <w:rFonts w:ascii="Calibri" w:hAnsi="Calibri" w:cs="Calibri"/>
                <w:sz w:val="20"/>
                <w:szCs w:val="20"/>
              </w:rPr>
              <w:t>Uptake time (interval from injection to initiation of imaging)</w:t>
            </w:r>
          </w:p>
          <w:p w14:paraId="24000ED3" w14:textId="51E97F89" w:rsidR="00AA716C" w:rsidRDefault="00AA716C" w:rsidP="00AA716C">
            <w:pPr>
              <w:numPr>
                <w:ilvl w:val="0"/>
                <w:numId w:val="1"/>
              </w:numPr>
              <w:rPr>
                <w:rFonts w:ascii="Calibri" w:hAnsi="Calibri" w:cs="Calibri"/>
                <w:sz w:val="20"/>
                <w:szCs w:val="20"/>
              </w:rPr>
            </w:pPr>
            <w:r>
              <w:rPr>
                <w:rFonts w:ascii="Calibri" w:hAnsi="Calibri" w:cs="Calibri"/>
                <w:sz w:val="20"/>
                <w:szCs w:val="20"/>
              </w:rPr>
              <w:t>One reference background (e</w:t>
            </w:r>
            <w:r>
              <w:rPr>
                <w:rFonts w:ascii="Calibri" w:hAnsi="Calibri" w:cs="Calibri"/>
                <w:sz w:val="20"/>
                <w:szCs w:val="20"/>
              </w:rPr>
              <w:t>.</w:t>
            </w:r>
            <w:r>
              <w:rPr>
                <w:rFonts w:ascii="Calibri" w:hAnsi="Calibri" w:cs="Calibri"/>
                <w:sz w:val="20"/>
                <w:szCs w:val="20"/>
              </w:rPr>
              <w:t>g</w:t>
            </w:r>
            <w:r>
              <w:rPr>
                <w:rFonts w:ascii="Calibri" w:hAnsi="Calibri" w:cs="Calibri"/>
                <w:sz w:val="20"/>
                <w:szCs w:val="20"/>
              </w:rPr>
              <w:t>.</w:t>
            </w:r>
            <w:r>
              <w:rPr>
                <w:rFonts w:ascii="Calibri" w:hAnsi="Calibri" w:cs="Calibri"/>
                <w:sz w:val="20"/>
                <w:szCs w:val="20"/>
              </w:rPr>
              <w:t>, volumetric normal liver or mediastinal blood pool) SUV measurement, along with description of the SUV measurement type (</w:t>
            </w:r>
            <w:proofErr w:type="spellStart"/>
            <w:r>
              <w:rPr>
                <w:rFonts w:ascii="Calibri" w:hAnsi="Calibri" w:cs="Calibri"/>
                <w:sz w:val="20"/>
                <w:szCs w:val="20"/>
              </w:rPr>
              <w:t>eg</w:t>
            </w:r>
            <w:proofErr w:type="spellEnd"/>
            <w:r>
              <w:rPr>
                <w:rFonts w:ascii="Calibri" w:hAnsi="Calibri" w:cs="Calibri"/>
                <w:sz w:val="20"/>
                <w:szCs w:val="20"/>
              </w:rPr>
              <w:t xml:space="preserve">, </w:t>
            </w:r>
            <w:proofErr w:type="spellStart"/>
            <w:r>
              <w:rPr>
                <w:rFonts w:ascii="Calibri" w:hAnsi="Calibri" w:cs="Calibri"/>
                <w:sz w:val="20"/>
                <w:szCs w:val="20"/>
              </w:rPr>
              <w:t>SUVmax</w:t>
            </w:r>
            <w:proofErr w:type="spellEnd"/>
            <w:r>
              <w:rPr>
                <w:rFonts w:ascii="Calibri" w:hAnsi="Calibri" w:cs="Calibri"/>
                <w:sz w:val="20"/>
                <w:szCs w:val="20"/>
              </w:rPr>
              <w:t>) and normalization method (e</w:t>
            </w:r>
            <w:r>
              <w:rPr>
                <w:rFonts w:ascii="Calibri" w:hAnsi="Calibri" w:cs="Calibri"/>
                <w:sz w:val="20"/>
                <w:szCs w:val="20"/>
              </w:rPr>
              <w:t>.</w:t>
            </w:r>
            <w:r>
              <w:rPr>
                <w:rFonts w:ascii="Calibri" w:hAnsi="Calibri" w:cs="Calibri"/>
                <w:sz w:val="20"/>
                <w:szCs w:val="20"/>
              </w:rPr>
              <w:t>g</w:t>
            </w:r>
            <w:r>
              <w:rPr>
                <w:rFonts w:ascii="Calibri" w:hAnsi="Calibri" w:cs="Calibri"/>
                <w:sz w:val="20"/>
                <w:szCs w:val="20"/>
              </w:rPr>
              <w:t>.</w:t>
            </w:r>
            <w:r>
              <w:rPr>
                <w:rFonts w:ascii="Calibri" w:hAnsi="Calibri" w:cs="Calibri"/>
                <w:sz w:val="20"/>
                <w:szCs w:val="20"/>
              </w:rPr>
              <w:t>, BMI)</w:t>
            </w:r>
          </w:p>
          <w:p w14:paraId="31456BA7" w14:textId="77777777" w:rsidR="00AA716C" w:rsidRPr="00532ABD" w:rsidRDefault="00AA716C" w:rsidP="00AA716C">
            <w:pPr>
              <w:numPr>
                <w:ilvl w:val="0"/>
                <w:numId w:val="1"/>
              </w:numPr>
              <w:rPr>
                <w:rFonts w:ascii="Calibri" w:hAnsi="Calibri" w:cs="Calibri"/>
                <w:sz w:val="20"/>
                <w:szCs w:val="20"/>
              </w:rPr>
            </w:pPr>
            <w:r w:rsidRPr="008D710A">
              <w:rPr>
                <w:rFonts w:ascii="Calibri" w:hAnsi="Calibri" w:cs="Calibri"/>
                <w:sz w:val="20"/>
                <w:szCs w:val="20"/>
              </w:rPr>
              <w:t xml:space="preserve">At least one </w:t>
            </w:r>
            <w:proofErr w:type="spellStart"/>
            <w:r>
              <w:rPr>
                <w:rFonts w:ascii="Calibri" w:hAnsi="Calibri" w:cs="Calibri"/>
                <w:sz w:val="20"/>
                <w:szCs w:val="20"/>
              </w:rPr>
              <w:t>lesional</w:t>
            </w:r>
            <w:proofErr w:type="spellEnd"/>
            <w:r>
              <w:rPr>
                <w:rFonts w:ascii="Calibri" w:hAnsi="Calibri" w:cs="Calibri"/>
                <w:sz w:val="20"/>
                <w:szCs w:val="20"/>
              </w:rPr>
              <w:t xml:space="preserve"> </w:t>
            </w:r>
            <w:r w:rsidRPr="008D710A">
              <w:rPr>
                <w:rFonts w:ascii="Calibri" w:hAnsi="Calibri" w:cs="Calibri"/>
                <w:sz w:val="20"/>
                <w:szCs w:val="20"/>
              </w:rPr>
              <w:t xml:space="preserve">SUV measurement </w:t>
            </w:r>
            <w:r w:rsidRPr="005B3C89">
              <w:rPr>
                <w:rFonts w:ascii="Calibri" w:hAnsi="Calibri" w:cs="Calibri"/>
                <w:b/>
                <w:sz w:val="20"/>
                <w:szCs w:val="20"/>
              </w:rPr>
              <w:t>OR</w:t>
            </w:r>
            <w:r w:rsidRPr="008D710A">
              <w:rPr>
                <w:rFonts w:ascii="Calibri" w:hAnsi="Calibri" w:cs="Calibri"/>
                <w:sz w:val="20"/>
                <w:szCs w:val="20"/>
              </w:rPr>
              <w:t xml:space="preserve"> diagnosis of "</w:t>
            </w:r>
            <w:r>
              <w:rPr>
                <w:rFonts w:ascii="Calibri" w:hAnsi="Calibri" w:cs="Calibri"/>
                <w:sz w:val="20"/>
                <w:szCs w:val="20"/>
              </w:rPr>
              <w:t>no disease-specific abnormal uptake</w:t>
            </w:r>
            <w:r w:rsidRPr="008D710A">
              <w:rPr>
                <w:rFonts w:ascii="Calibri" w:hAnsi="Calibri" w:cs="Calibri"/>
                <w:sz w:val="20"/>
                <w:szCs w:val="20"/>
              </w:rPr>
              <w:t xml:space="preserve">" </w:t>
            </w:r>
          </w:p>
        </w:tc>
      </w:tr>
      <w:tr w:rsidR="00AA716C" w:rsidRPr="006B405A" w14:paraId="0C2391C8"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hideMark/>
          </w:tcPr>
          <w:p w14:paraId="57C01CA5"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Numerator Statement</w:t>
            </w:r>
          </w:p>
        </w:tc>
        <w:tc>
          <w:tcPr>
            <w:tcW w:w="8140" w:type="dxa"/>
            <w:tcBorders>
              <w:top w:val="single" w:sz="12" w:space="0" w:color="auto"/>
              <w:left w:val="single" w:sz="12" w:space="0" w:color="auto"/>
              <w:bottom w:val="single" w:sz="12" w:space="0" w:color="auto"/>
              <w:right w:val="single" w:sz="12" w:space="0" w:color="auto"/>
            </w:tcBorders>
            <w:hideMark/>
          </w:tcPr>
          <w:p w14:paraId="0017C5C7" w14:textId="77777777" w:rsidR="00AA716C" w:rsidRPr="006B405A" w:rsidRDefault="00AA716C" w:rsidP="00C97F81">
            <w:pPr>
              <w:rPr>
                <w:rFonts w:ascii="Calibri" w:hAnsi="Calibri" w:cs="Calibri"/>
                <w:sz w:val="20"/>
                <w:szCs w:val="20"/>
              </w:rPr>
            </w:pPr>
            <w:r w:rsidRPr="006B405A">
              <w:rPr>
                <w:rFonts w:ascii="Calibri" w:hAnsi="Calibri" w:cs="Calibri"/>
                <w:sz w:val="20"/>
                <w:szCs w:val="20"/>
              </w:rPr>
              <w:t xml:space="preserve">Final reports for </w:t>
            </w:r>
            <w:r>
              <w:rPr>
                <w:rFonts w:ascii="Calibri" w:hAnsi="Calibri" w:cs="Calibri"/>
                <w:sz w:val="20"/>
                <w:szCs w:val="20"/>
              </w:rPr>
              <w:t xml:space="preserve">FDG </w:t>
            </w:r>
            <w:r w:rsidRPr="006B405A">
              <w:rPr>
                <w:rFonts w:ascii="Calibri" w:hAnsi="Calibri" w:cs="Calibri"/>
                <w:sz w:val="20"/>
                <w:szCs w:val="20"/>
              </w:rPr>
              <w:t>PET scans that include at a minimum:</w:t>
            </w:r>
          </w:p>
          <w:p w14:paraId="2B0B22FC" w14:textId="77777777" w:rsidR="00AA716C" w:rsidRPr="006B405A" w:rsidRDefault="00AA716C" w:rsidP="00AA716C">
            <w:pPr>
              <w:numPr>
                <w:ilvl w:val="0"/>
                <w:numId w:val="2"/>
              </w:numPr>
              <w:rPr>
                <w:rFonts w:ascii="Calibri" w:hAnsi="Calibri" w:cs="Calibri"/>
                <w:sz w:val="20"/>
                <w:szCs w:val="20"/>
              </w:rPr>
            </w:pPr>
            <w:r w:rsidRPr="006B405A">
              <w:rPr>
                <w:rFonts w:ascii="Calibri" w:hAnsi="Calibri" w:cs="Calibri"/>
                <w:sz w:val="20"/>
                <w:szCs w:val="20"/>
              </w:rPr>
              <w:t>Serum glucose (</w:t>
            </w:r>
            <w:proofErr w:type="spellStart"/>
            <w:r w:rsidRPr="006B405A">
              <w:rPr>
                <w:rFonts w:ascii="Calibri" w:hAnsi="Calibri" w:cs="Calibri"/>
                <w:sz w:val="20"/>
                <w:szCs w:val="20"/>
              </w:rPr>
              <w:t>e</w:t>
            </w:r>
            <w:r>
              <w:rPr>
                <w:rFonts w:ascii="Calibri" w:hAnsi="Calibri" w:cs="Calibri"/>
                <w:sz w:val="20"/>
                <w:szCs w:val="20"/>
              </w:rPr>
              <w:t>g</w:t>
            </w:r>
            <w:proofErr w:type="spellEnd"/>
            <w:r>
              <w:rPr>
                <w:rFonts w:ascii="Calibri" w:hAnsi="Calibri" w:cs="Calibri"/>
                <w:sz w:val="20"/>
                <w:szCs w:val="20"/>
              </w:rPr>
              <w:t>,</w:t>
            </w:r>
            <w:r w:rsidRPr="006B405A">
              <w:rPr>
                <w:rFonts w:ascii="Calibri" w:hAnsi="Calibri" w:cs="Calibri"/>
                <w:sz w:val="20"/>
                <w:szCs w:val="20"/>
              </w:rPr>
              <w:t xml:space="preserve"> finger stick at time of injection)</w:t>
            </w:r>
          </w:p>
          <w:p w14:paraId="6549E028" w14:textId="77777777" w:rsidR="00AA716C" w:rsidRPr="006B405A" w:rsidRDefault="00AA716C" w:rsidP="00AA716C">
            <w:pPr>
              <w:numPr>
                <w:ilvl w:val="0"/>
                <w:numId w:val="2"/>
              </w:numPr>
              <w:rPr>
                <w:rFonts w:ascii="Calibri" w:hAnsi="Calibri" w:cs="Calibri"/>
                <w:sz w:val="20"/>
                <w:szCs w:val="20"/>
              </w:rPr>
            </w:pPr>
            <w:r w:rsidRPr="006B405A">
              <w:rPr>
                <w:rFonts w:ascii="Calibri" w:hAnsi="Calibri" w:cs="Calibri"/>
                <w:sz w:val="20"/>
                <w:szCs w:val="20"/>
              </w:rPr>
              <w:t>Uptake time (interval from injection to initiation of imaging)</w:t>
            </w:r>
          </w:p>
          <w:p w14:paraId="5E29585D" w14:textId="77777777" w:rsidR="00AA716C" w:rsidRDefault="00AA716C" w:rsidP="00AA716C">
            <w:pPr>
              <w:numPr>
                <w:ilvl w:val="0"/>
                <w:numId w:val="2"/>
              </w:numPr>
              <w:rPr>
                <w:rFonts w:ascii="Calibri" w:hAnsi="Calibri" w:cs="Calibri"/>
                <w:sz w:val="20"/>
                <w:szCs w:val="20"/>
              </w:rPr>
            </w:pPr>
            <w:r>
              <w:rPr>
                <w:rFonts w:ascii="Calibri" w:hAnsi="Calibri" w:cs="Calibri"/>
                <w:sz w:val="20"/>
                <w:szCs w:val="20"/>
              </w:rPr>
              <w:t>One reference background (</w:t>
            </w:r>
            <w:proofErr w:type="spellStart"/>
            <w:r>
              <w:rPr>
                <w:rFonts w:ascii="Calibri" w:hAnsi="Calibri" w:cs="Calibri"/>
                <w:sz w:val="20"/>
                <w:szCs w:val="20"/>
              </w:rPr>
              <w:t>eg</w:t>
            </w:r>
            <w:proofErr w:type="spellEnd"/>
            <w:r>
              <w:rPr>
                <w:rFonts w:ascii="Calibri" w:hAnsi="Calibri" w:cs="Calibri"/>
                <w:sz w:val="20"/>
                <w:szCs w:val="20"/>
              </w:rPr>
              <w:t>, volumetric normal liver or mediastinal blood pool) SUV measurement, along with description of the SUV measurement type (</w:t>
            </w:r>
            <w:proofErr w:type="spellStart"/>
            <w:r>
              <w:rPr>
                <w:rFonts w:ascii="Calibri" w:hAnsi="Calibri" w:cs="Calibri"/>
                <w:sz w:val="20"/>
                <w:szCs w:val="20"/>
              </w:rPr>
              <w:t>eg</w:t>
            </w:r>
            <w:proofErr w:type="spellEnd"/>
            <w:r>
              <w:rPr>
                <w:rFonts w:ascii="Calibri" w:hAnsi="Calibri" w:cs="Calibri"/>
                <w:sz w:val="20"/>
                <w:szCs w:val="20"/>
              </w:rPr>
              <w:t xml:space="preserve">, </w:t>
            </w:r>
            <w:proofErr w:type="spellStart"/>
            <w:r>
              <w:rPr>
                <w:rFonts w:ascii="Calibri" w:hAnsi="Calibri" w:cs="Calibri"/>
                <w:sz w:val="20"/>
                <w:szCs w:val="20"/>
              </w:rPr>
              <w:t>SUVmax</w:t>
            </w:r>
            <w:proofErr w:type="spellEnd"/>
            <w:r>
              <w:rPr>
                <w:rFonts w:ascii="Calibri" w:hAnsi="Calibri" w:cs="Calibri"/>
                <w:sz w:val="20"/>
                <w:szCs w:val="20"/>
              </w:rPr>
              <w:t>) and normalization method (</w:t>
            </w:r>
            <w:proofErr w:type="spellStart"/>
            <w:r>
              <w:rPr>
                <w:rFonts w:ascii="Calibri" w:hAnsi="Calibri" w:cs="Calibri"/>
                <w:sz w:val="20"/>
                <w:szCs w:val="20"/>
              </w:rPr>
              <w:t>eg</w:t>
            </w:r>
            <w:proofErr w:type="spellEnd"/>
            <w:r>
              <w:rPr>
                <w:rFonts w:ascii="Calibri" w:hAnsi="Calibri" w:cs="Calibri"/>
                <w:sz w:val="20"/>
                <w:szCs w:val="20"/>
              </w:rPr>
              <w:t>, BMI)</w:t>
            </w:r>
          </w:p>
          <w:p w14:paraId="732FCEF5" w14:textId="77777777" w:rsidR="00AA716C" w:rsidRPr="00B95D8A" w:rsidRDefault="00AA716C" w:rsidP="00AA716C">
            <w:pPr>
              <w:numPr>
                <w:ilvl w:val="0"/>
                <w:numId w:val="2"/>
              </w:numPr>
              <w:rPr>
                <w:rFonts w:ascii="Calibri" w:hAnsi="Calibri" w:cs="Calibri"/>
                <w:sz w:val="20"/>
                <w:szCs w:val="20"/>
              </w:rPr>
            </w:pPr>
            <w:r w:rsidRPr="008D710A">
              <w:rPr>
                <w:rFonts w:ascii="Calibri" w:hAnsi="Calibri" w:cs="Calibri"/>
                <w:sz w:val="20"/>
                <w:szCs w:val="20"/>
              </w:rPr>
              <w:t xml:space="preserve">At least one </w:t>
            </w:r>
            <w:proofErr w:type="spellStart"/>
            <w:r>
              <w:rPr>
                <w:rFonts w:ascii="Calibri" w:hAnsi="Calibri" w:cs="Calibri"/>
                <w:sz w:val="20"/>
                <w:szCs w:val="20"/>
              </w:rPr>
              <w:t>lesional</w:t>
            </w:r>
            <w:proofErr w:type="spellEnd"/>
            <w:r>
              <w:rPr>
                <w:rFonts w:ascii="Calibri" w:hAnsi="Calibri" w:cs="Calibri"/>
                <w:sz w:val="20"/>
                <w:szCs w:val="20"/>
              </w:rPr>
              <w:t xml:space="preserve"> </w:t>
            </w:r>
            <w:r w:rsidRPr="008D710A">
              <w:rPr>
                <w:rFonts w:ascii="Calibri" w:hAnsi="Calibri" w:cs="Calibri"/>
                <w:sz w:val="20"/>
                <w:szCs w:val="20"/>
              </w:rPr>
              <w:t xml:space="preserve">SUV measurement </w:t>
            </w:r>
            <w:r w:rsidRPr="005B3C89">
              <w:rPr>
                <w:rFonts w:ascii="Calibri" w:hAnsi="Calibri" w:cs="Calibri"/>
                <w:b/>
                <w:sz w:val="20"/>
                <w:szCs w:val="20"/>
              </w:rPr>
              <w:t>OR</w:t>
            </w:r>
            <w:r w:rsidRPr="008D710A">
              <w:rPr>
                <w:rFonts w:ascii="Calibri" w:hAnsi="Calibri" w:cs="Calibri"/>
                <w:sz w:val="20"/>
                <w:szCs w:val="20"/>
              </w:rPr>
              <w:t xml:space="preserve"> diagnosis of "</w:t>
            </w:r>
            <w:r>
              <w:rPr>
                <w:rFonts w:ascii="Calibri" w:hAnsi="Calibri" w:cs="Calibri"/>
                <w:sz w:val="20"/>
                <w:szCs w:val="20"/>
              </w:rPr>
              <w:t>no disease-specific abnormal uptake</w:t>
            </w:r>
            <w:r w:rsidRPr="008D710A">
              <w:rPr>
                <w:rFonts w:ascii="Calibri" w:hAnsi="Calibri" w:cs="Calibri"/>
                <w:sz w:val="20"/>
                <w:szCs w:val="20"/>
              </w:rPr>
              <w:t>"</w:t>
            </w:r>
          </w:p>
        </w:tc>
      </w:tr>
      <w:tr w:rsidR="00AA716C" w:rsidRPr="006B405A" w14:paraId="249E3B7A" w14:textId="77777777" w:rsidTr="00C97F81">
        <w:trPr>
          <w:trHeight w:val="578"/>
        </w:trPr>
        <w:tc>
          <w:tcPr>
            <w:tcW w:w="1846" w:type="dxa"/>
            <w:tcBorders>
              <w:top w:val="single" w:sz="12" w:space="0" w:color="auto"/>
              <w:left w:val="single" w:sz="12" w:space="0" w:color="auto"/>
              <w:bottom w:val="single" w:sz="12" w:space="0" w:color="auto"/>
              <w:right w:val="single" w:sz="12" w:space="0" w:color="auto"/>
            </w:tcBorders>
            <w:shd w:val="clear" w:color="auto" w:fill="D9E2F3"/>
            <w:hideMark/>
          </w:tcPr>
          <w:p w14:paraId="4B9C5409"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Denominator Statement</w:t>
            </w:r>
          </w:p>
        </w:tc>
        <w:tc>
          <w:tcPr>
            <w:tcW w:w="8140" w:type="dxa"/>
            <w:tcBorders>
              <w:top w:val="single" w:sz="12" w:space="0" w:color="auto"/>
              <w:left w:val="single" w:sz="12" w:space="0" w:color="auto"/>
              <w:bottom w:val="single" w:sz="12" w:space="0" w:color="auto"/>
              <w:right w:val="single" w:sz="12" w:space="0" w:color="auto"/>
            </w:tcBorders>
            <w:hideMark/>
          </w:tcPr>
          <w:p w14:paraId="4750C7D1" w14:textId="77777777" w:rsidR="00AA716C" w:rsidRDefault="00AA716C" w:rsidP="00C97F81">
            <w:pPr>
              <w:pStyle w:val="Default"/>
              <w:rPr>
                <w:rFonts w:ascii="Calibri" w:hAnsi="Calibri" w:cs="Calibri"/>
                <w:sz w:val="20"/>
                <w:szCs w:val="20"/>
              </w:rPr>
            </w:pPr>
            <w:r w:rsidRPr="006B405A">
              <w:rPr>
                <w:rFonts w:ascii="Calibri" w:hAnsi="Calibri" w:cs="Calibri"/>
                <w:sz w:val="20"/>
                <w:szCs w:val="20"/>
              </w:rPr>
              <w:t xml:space="preserve">All final reports for all patients, regardless of age, </w:t>
            </w:r>
            <w:proofErr w:type="gramStart"/>
            <w:r w:rsidRPr="006B405A">
              <w:rPr>
                <w:rFonts w:ascii="Calibri" w:hAnsi="Calibri" w:cs="Calibri"/>
                <w:sz w:val="20"/>
                <w:szCs w:val="20"/>
              </w:rPr>
              <w:t xml:space="preserve">undergoing </w:t>
            </w:r>
            <w:r>
              <w:rPr>
                <w:rFonts w:ascii="Calibri" w:hAnsi="Calibri" w:cs="Calibri"/>
                <w:sz w:val="20"/>
                <w:szCs w:val="20"/>
              </w:rPr>
              <w:t xml:space="preserve"> non</w:t>
            </w:r>
            <w:proofErr w:type="gramEnd"/>
            <w:r>
              <w:rPr>
                <w:rFonts w:ascii="Calibri" w:hAnsi="Calibri" w:cs="Calibri"/>
                <w:sz w:val="20"/>
                <w:szCs w:val="20"/>
              </w:rPr>
              <w:t>-CNS oncologic FDG</w:t>
            </w:r>
            <w:r w:rsidRPr="006B405A">
              <w:rPr>
                <w:rFonts w:ascii="Calibri" w:hAnsi="Calibri" w:cs="Calibri"/>
                <w:sz w:val="20"/>
                <w:szCs w:val="20"/>
              </w:rPr>
              <w:t xml:space="preserve"> PET studies</w:t>
            </w:r>
            <w:r>
              <w:rPr>
                <w:rFonts w:ascii="Calibri" w:hAnsi="Calibri" w:cs="Calibri"/>
                <w:sz w:val="20"/>
                <w:szCs w:val="20"/>
              </w:rPr>
              <w:t xml:space="preserve"> </w:t>
            </w:r>
          </w:p>
          <w:p w14:paraId="010E8202" w14:textId="77777777" w:rsidR="00AA716C" w:rsidRPr="006143EF" w:rsidRDefault="00AA716C" w:rsidP="00C97F81">
            <w:pPr>
              <w:pStyle w:val="Default"/>
              <w:rPr>
                <w:rFonts w:ascii="Calibri" w:hAnsi="Calibri" w:cs="Calibri"/>
                <w:sz w:val="20"/>
                <w:szCs w:val="20"/>
              </w:rPr>
            </w:pPr>
          </w:p>
        </w:tc>
      </w:tr>
      <w:tr w:rsidR="00AA716C" w:rsidRPr="006B405A" w14:paraId="4D638E2C" w14:textId="77777777" w:rsidTr="00C97F81">
        <w:trPr>
          <w:trHeight w:val="578"/>
        </w:trPr>
        <w:tc>
          <w:tcPr>
            <w:tcW w:w="1846" w:type="dxa"/>
            <w:tcBorders>
              <w:top w:val="single" w:sz="12" w:space="0" w:color="auto"/>
              <w:left w:val="single" w:sz="12" w:space="0" w:color="auto"/>
              <w:bottom w:val="single" w:sz="12" w:space="0" w:color="auto"/>
              <w:right w:val="single" w:sz="12" w:space="0" w:color="auto"/>
            </w:tcBorders>
            <w:shd w:val="clear" w:color="auto" w:fill="D9E2F3"/>
            <w:hideMark/>
          </w:tcPr>
          <w:p w14:paraId="655C8C5D"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Denominator Exclusions</w:t>
            </w:r>
          </w:p>
        </w:tc>
        <w:tc>
          <w:tcPr>
            <w:tcW w:w="8140" w:type="dxa"/>
            <w:tcBorders>
              <w:top w:val="single" w:sz="12" w:space="0" w:color="auto"/>
              <w:left w:val="single" w:sz="12" w:space="0" w:color="auto"/>
              <w:bottom w:val="single" w:sz="12" w:space="0" w:color="auto"/>
              <w:right w:val="single" w:sz="12" w:space="0" w:color="auto"/>
            </w:tcBorders>
          </w:tcPr>
          <w:p w14:paraId="2A81B759" w14:textId="77777777" w:rsidR="00AA716C" w:rsidRPr="006B405A" w:rsidRDefault="00AA716C" w:rsidP="00C97F81">
            <w:pPr>
              <w:pStyle w:val="Default"/>
              <w:rPr>
                <w:rFonts w:ascii="Calibri" w:hAnsi="Calibri" w:cs="Calibri"/>
                <w:sz w:val="20"/>
                <w:szCs w:val="20"/>
              </w:rPr>
            </w:pPr>
            <w:r>
              <w:rPr>
                <w:rFonts w:ascii="Calibri" w:hAnsi="Calibri" w:cs="Calibri"/>
                <w:sz w:val="20"/>
                <w:szCs w:val="20"/>
              </w:rPr>
              <w:t>None</w:t>
            </w:r>
          </w:p>
        </w:tc>
      </w:tr>
      <w:tr w:rsidR="00AA716C" w:rsidRPr="006B405A" w14:paraId="5FC0B523" w14:textId="77777777" w:rsidTr="00C97F81">
        <w:trPr>
          <w:trHeight w:val="578"/>
        </w:trPr>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7F521AB4"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Denominator Exceptions</w:t>
            </w:r>
          </w:p>
        </w:tc>
        <w:tc>
          <w:tcPr>
            <w:tcW w:w="8140" w:type="dxa"/>
            <w:tcBorders>
              <w:top w:val="single" w:sz="12" w:space="0" w:color="auto"/>
              <w:left w:val="single" w:sz="12" w:space="0" w:color="auto"/>
              <w:bottom w:val="single" w:sz="12" w:space="0" w:color="auto"/>
              <w:right w:val="single" w:sz="12" w:space="0" w:color="auto"/>
            </w:tcBorders>
          </w:tcPr>
          <w:p w14:paraId="0BD75ABD" w14:textId="77777777" w:rsidR="00AA716C" w:rsidRDefault="00AA716C" w:rsidP="00C97F81">
            <w:pPr>
              <w:pStyle w:val="Default"/>
              <w:rPr>
                <w:rFonts w:ascii="Calibri" w:hAnsi="Calibri" w:cs="Calibri"/>
                <w:sz w:val="20"/>
                <w:szCs w:val="20"/>
              </w:rPr>
            </w:pPr>
            <w:r>
              <w:rPr>
                <w:rFonts w:ascii="Calibri" w:hAnsi="Calibri" w:cs="Calibri"/>
                <w:sz w:val="20"/>
                <w:szCs w:val="20"/>
              </w:rPr>
              <w:t>None</w:t>
            </w:r>
          </w:p>
        </w:tc>
      </w:tr>
      <w:tr w:rsidR="00AA716C" w:rsidRPr="006B405A" w14:paraId="049038C4" w14:textId="77777777" w:rsidTr="00C97F81">
        <w:trPr>
          <w:trHeight w:val="578"/>
        </w:trPr>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7EF1ED8E"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Supporting Guidelines and Other References</w:t>
            </w:r>
          </w:p>
        </w:tc>
        <w:tc>
          <w:tcPr>
            <w:tcW w:w="8140" w:type="dxa"/>
            <w:tcBorders>
              <w:top w:val="single" w:sz="12" w:space="0" w:color="auto"/>
              <w:left w:val="single" w:sz="12" w:space="0" w:color="auto"/>
              <w:bottom w:val="single" w:sz="12" w:space="0" w:color="auto"/>
              <w:right w:val="single" w:sz="12" w:space="0" w:color="auto"/>
            </w:tcBorders>
          </w:tcPr>
          <w:p w14:paraId="22336BBB" w14:textId="77777777" w:rsidR="00AA716C" w:rsidRPr="006B405A" w:rsidRDefault="00AA716C" w:rsidP="00C97F81">
            <w:pPr>
              <w:pStyle w:val="Default"/>
              <w:rPr>
                <w:rFonts w:ascii="Calibri" w:hAnsi="Calibri" w:cs="Calibri"/>
                <w:sz w:val="20"/>
                <w:szCs w:val="20"/>
              </w:rPr>
            </w:pPr>
            <w:r w:rsidRPr="006B405A">
              <w:rPr>
                <w:rFonts w:ascii="Calibri" w:hAnsi="Calibri" w:cs="Calibri"/>
                <w:sz w:val="20"/>
                <w:szCs w:val="20"/>
              </w:rPr>
              <w:t xml:space="preserve">The following evidence statements are quoted </w:t>
            </w:r>
            <w:r w:rsidRPr="006B405A">
              <w:rPr>
                <w:rFonts w:ascii="Calibri" w:hAnsi="Calibri" w:cs="Calibri"/>
                <w:sz w:val="20"/>
                <w:szCs w:val="20"/>
                <w:u w:val="single"/>
              </w:rPr>
              <w:t>verbatim</w:t>
            </w:r>
            <w:r w:rsidRPr="006B405A">
              <w:rPr>
                <w:rFonts w:ascii="Calibri" w:hAnsi="Calibri" w:cs="Calibri"/>
                <w:sz w:val="20"/>
                <w:szCs w:val="20"/>
              </w:rPr>
              <w:t xml:space="preserve"> from the referenced clinical guidelines and other sources, where applicable:</w:t>
            </w:r>
          </w:p>
          <w:p w14:paraId="29B8A440" w14:textId="77777777" w:rsidR="00AA716C" w:rsidRDefault="00AA716C" w:rsidP="00C97F81">
            <w:pPr>
              <w:pStyle w:val="Default"/>
              <w:rPr>
                <w:rFonts w:ascii="Calibri" w:hAnsi="Calibri" w:cs="Calibri"/>
                <w:sz w:val="20"/>
                <w:szCs w:val="20"/>
              </w:rPr>
            </w:pPr>
          </w:p>
          <w:p w14:paraId="2B81F162" w14:textId="77777777" w:rsidR="00AA716C" w:rsidRDefault="00AA716C" w:rsidP="00C97F81">
            <w:pPr>
              <w:pStyle w:val="Default"/>
              <w:rPr>
                <w:rFonts w:ascii="Calibri" w:hAnsi="Calibri" w:cs="Calibri"/>
                <w:sz w:val="20"/>
                <w:szCs w:val="20"/>
                <w:vertAlign w:val="superscript"/>
              </w:rPr>
            </w:pPr>
            <w:r>
              <w:rPr>
                <w:rFonts w:ascii="Calibri" w:hAnsi="Calibri" w:cs="Calibri"/>
                <w:sz w:val="20"/>
                <w:szCs w:val="20"/>
              </w:rPr>
              <w:t>The technique section of the report should contain the radiopharmaceutical (</w:t>
            </w:r>
            <w:proofErr w:type="spellStart"/>
            <w:r>
              <w:rPr>
                <w:rFonts w:ascii="Calibri" w:hAnsi="Calibri" w:cs="Calibri"/>
                <w:sz w:val="20"/>
                <w:szCs w:val="20"/>
              </w:rPr>
              <w:t>eg</w:t>
            </w:r>
            <w:proofErr w:type="spellEnd"/>
            <w:r>
              <w:rPr>
                <w:rFonts w:ascii="Calibri" w:hAnsi="Calibri" w:cs="Calibri"/>
                <w:sz w:val="20"/>
                <w:szCs w:val="20"/>
              </w:rPr>
              <w:t>, 18F-FDG), the administered activity, route and site of administration, as well as any pharmaceuticals administered (</w:t>
            </w:r>
            <w:proofErr w:type="spellStart"/>
            <w:r>
              <w:rPr>
                <w:rFonts w:ascii="Calibri" w:hAnsi="Calibri" w:cs="Calibri"/>
                <w:sz w:val="20"/>
                <w:szCs w:val="20"/>
              </w:rPr>
              <w:t>eg</w:t>
            </w:r>
            <w:proofErr w:type="spellEnd"/>
            <w:r>
              <w:rPr>
                <w:rFonts w:ascii="Calibri" w:hAnsi="Calibri" w:cs="Calibri"/>
                <w:sz w:val="20"/>
                <w:szCs w:val="20"/>
              </w:rPr>
              <w:t>, diuretics, benzodiazepines).  The serum glucose level at the time of radiopharmaceutical administration should be reported as well as patient weight, time from injection to scanning, and technique for calculating SUVs (</w:t>
            </w:r>
            <w:proofErr w:type="spellStart"/>
            <w:r>
              <w:rPr>
                <w:rFonts w:ascii="Calibri" w:hAnsi="Calibri" w:cs="Calibri"/>
                <w:sz w:val="20"/>
                <w:szCs w:val="20"/>
              </w:rPr>
              <w:t>ie</w:t>
            </w:r>
            <w:proofErr w:type="spellEnd"/>
            <w:r>
              <w:rPr>
                <w:rFonts w:ascii="Calibri" w:hAnsi="Calibri" w:cs="Calibri"/>
                <w:sz w:val="20"/>
                <w:szCs w:val="20"/>
              </w:rPr>
              <w:t>, body weight, lean body weight, or body surface criteria).  (ACR, 2016)</w:t>
            </w:r>
            <w:bookmarkStart w:id="2" w:name="_Ref504454249"/>
            <w:r>
              <w:rPr>
                <w:rStyle w:val="EndnoteReference"/>
                <w:rFonts w:ascii="Calibri" w:hAnsi="Calibri"/>
                <w:sz w:val="20"/>
                <w:szCs w:val="20"/>
              </w:rPr>
              <w:endnoteReference w:id="1"/>
            </w:r>
            <w:bookmarkEnd w:id="2"/>
          </w:p>
          <w:p w14:paraId="3316170B" w14:textId="77777777" w:rsidR="00AA716C" w:rsidRDefault="00AA716C" w:rsidP="00C97F81">
            <w:pPr>
              <w:pStyle w:val="Default"/>
              <w:rPr>
                <w:rFonts w:ascii="Calibri" w:hAnsi="Calibri" w:cs="Calibri"/>
                <w:sz w:val="20"/>
                <w:szCs w:val="20"/>
                <w:vertAlign w:val="superscript"/>
              </w:rPr>
            </w:pPr>
          </w:p>
          <w:p w14:paraId="717EBDAF" w14:textId="77777777" w:rsidR="00AA716C" w:rsidRDefault="00AA716C" w:rsidP="00C97F81">
            <w:pPr>
              <w:pStyle w:val="Default"/>
              <w:rPr>
                <w:rFonts w:ascii="Calibri" w:hAnsi="Calibri" w:cs="Calibri"/>
                <w:sz w:val="20"/>
                <w:szCs w:val="20"/>
              </w:rPr>
            </w:pPr>
            <w:r>
              <w:rPr>
                <w:rFonts w:ascii="Calibri" w:hAnsi="Calibri" w:cs="Calibri"/>
                <w:sz w:val="20"/>
                <w:szCs w:val="20"/>
              </w:rPr>
              <w:t>The findings section should include description of the location, extent, and intensity of abnormal FDG uptake in relation to normal comparable tissues and should describe the relevant morphological findings on the CT images.  Ideally, image and series numbers should also be included.  Additionally, background activity (</w:t>
            </w:r>
            <w:proofErr w:type="spellStart"/>
            <w:r>
              <w:rPr>
                <w:rFonts w:ascii="Calibri" w:hAnsi="Calibri" w:cs="Calibri"/>
                <w:sz w:val="20"/>
                <w:szCs w:val="20"/>
              </w:rPr>
              <w:t>eg</w:t>
            </w:r>
            <w:proofErr w:type="spellEnd"/>
            <w:r>
              <w:rPr>
                <w:rFonts w:ascii="Calibri" w:hAnsi="Calibri" w:cs="Calibri"/>
                <w:sz w:val="20"/>
                <w:szCs w:val="20"/>
              </w:rPr>
              <w:t>, mediastinal blood pool and/or volumetric normal liver) should be measured to help compare SUV values.  Often injection-site infiltrates, such as arms, or attenuation-correction errors can significantly alter SUV values in lesions, leading to false conclusions.  An estimate of the intensity of FDG uptake can be provided with the SUV; however, the intensity of uptake may be described as mild, moderate, or intense in relation to the background update in normal hepatic parenchyma or the mediastinal blood pool. (ACR, 2016)</w:t>
            </w:r>
            <w:r>
              <w:rPr>
                <w:rFonts w:ascii="Calibri" w:hAnsi="Calibri" w:cs="Calibri"/>
                <w:sz w:val="20"/>
                <w:szCs w:val="20"/>
              </w:rPr>
              <w:fldChar w:fldCharType="begin"/>
            </w:r>
            <w:r>
              <w:rPr>
                <w:rFonts w:ascii="Calibri" w:hAnsi="Calibri" w:cs="Calibri"/>
                <w:sz w:val="20"/>
                <w:szCs w:val="20"/>
              </w:rPr>
              <w:instrText xml:space="preserve"> NOTEREF _Ref504454249 \f \h </w:instrText>
            </w:r>
            <w:r>
              <w:rPr>
                <w:rFonts w:ascii="Calibri" w:hAnsi="Calibri" w:cs="Calibri"/>
                <w:sz w:val="20"/>
                <w:szCs w:val="20"/>
              </w:rPr>
            </w:r>
            <w:r>
              <w:rPr>
                <w:rFonts w:ascii="Calibri" w:hAnsi="Calibri" w:cs="Calibri"/>
                <w:sz w:val="20"/>
                <w:szCs w:val="20"/>
              </w:rPr>
              <w:fldChar w:fldCharType="separate"/>
            </w:r>
            <w:r w:rsidRPr="00124DDD">
              <w:rPr>
                <w:rStyle w:val="EndnoteReference"/>
              </w:rPr>
              <w:t>23</w:t>
            </w:r>
            <w:r>
              <w:rPr>
                <w:rFonts w:ascii="Calibri" w:hAnsi="Calibri" w:cs="Calibri"/>
                <w:sz w:val="20"/>
                <w:szCs w:val="20"/>
              </w:rPr>
              <w:fldChar w:fldCharType="end"/>
            </w:r>
          </w:p>
          <w:p w14:paraId="263FE7B9" w14:textId="77777777" w:rsidR="00AA716C" w:rsidRDefault="00AA716C" w:rsidP="00C97F81">
            <w:pPr>
              <w:pStyle w:val="Default"/>
              <w:rPr>
                <w:rFonts w:ascii="Calibri" w:hAnsi="Calibri" w:cs="Calibri"/>
                <w:sz w:val="20"/>
                <w:szCs w:val="20"/>
              </w:rPr>
            </w:pPr>
          </w:p>
          <w:p w14:paraId="7CA97580" w14:textId="77777777" w:rsidR="00AA716C" w:rsidRDefault="00AA716C" w:rsidP="00C97F81">
            <w:pPr>
              <w:pStyle w:val="Default"/>
              <w:rPr>
                <w:rFonts w:ascii="Calibri" w:hAnsi="Calibri" w:cs="Calibri"/>
                <w:sz w:val="20"/>
                <w:szCs w:val="20"/>
              </w:rPr>
            </w:pPr>
          </w:p>
          <w:p w14:paraId="0C0DB2C7" w14:textId="77777777" w:rsidR="00AA716C" w:rsidRPr="00882E58" w:rsidRDefault="00AA716C" w:rsidP="00C97F81">
            <w:pPr>
              <w:pStyle w:val="Default"/>
              <w:rPr>
                <w:rFonts w:ascii="Calibri" w:hAnsi="Calibri" w:cs="Calibri"/>
                <w:sz w:val="20"/>
                <w:szCs w:val="20"/>
                <w:vertAlign w:val="superscript"/>
              </w:rPr>
            </w:pPr>
            <w:r>
              <w:rPr>
                <w:rFonts w:ascii="Calibri" w:hAnsi="Calibri" w:cs="Calibri"/>
                <w:sz w:val="20"/>
                <w:szCs w:val="20"/>
              </w:rPr>
              <w:t xml:space="preserve"> </w:t>
            </w:r>
          </w:p>
        </w:tc>
      </w:tr>
      <w:tr w:rsidR="00AA716C" w:rsidRPr="00B950DE" w14:paraId="3974AAC8" w14:textId="77777777" w:rsidTr="00C97F81">
        <w:trPr>
          <w:trHeight w:val="578"/>
        </w:trPr>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2BDE5AB8"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Rationale</w:t>
            </w:r>
          </w:p>
        </w:tc>
        <w:tc>
          <w:tcPr>
            <w:tcW w:w="8140" w:type="dxa"/>
            <w:tcBorders>
              <w:top w:val="single" w:sz="12" w:space="0" w:color="auto"/>
              <w:left w:val="single" w:sz="12" w:space="0" w:color="auto"/>
              <w:bottom w:val="single" w:sz="12" w:space="0" w:color="auto"/>
              <w:right w:val="single" w:sz="12" w:space="0" w:color="auto"/>
            </w:tcBorders>
          </w:tcPr>
          <w:p w14:paraId="0C4B226F" w14:textId="77777777" w:rsidR="00AA716C" w:rsidRPr="005B3C89" w:rsidRDefault="00AA716C" w:rsidP="00C97F81">
            <w:pPr>
              <w:pStyle w:val="Default"/>
              <w:rPr>
                <w:rFonts w:ascii="Calibri" w:hAnsi="Calibri" w:cs="Calibri"/>
                <w:sz w:val="20"/>
                <w:szCs w:val="20"/>
              </w:rPr>
            </w:pPr>
            <w:r>
              <w:rPr>
                <w:rFonts w:ascii="Calibri" w:hAnsi="Calibri" w:cs="Calibri"/>
                <w:sz w:val="20"/>
                <w:szCs w:val="20"/>
              </w:rPr>
              <w:t xml:space="preserve">The diagnostic imaging report is the primary vehicle to communicate imaging study results in patients with cancer.  Results of imaging studies often play a major role in diagnostic clarification and the development of treatment plans.  These reports should be complete and accurate to minimize the risk of diagnosis and treatment based on insufficient or incorrect evidence.  Yet, it </w:t>
            </w:r>
            <w:r>
              <w:rPr>
                <w:rFonts w:ascii="Calibri" w:hAnsi="Calibri" w:cs="Calibri"/>
                <w:sz w:val="20"/>
                <w:szCs w:val="20"/>
              </w:rPr>
              <w:lastRenderedPageBreak/>
              <w:t>has been demonstrated that important components of PET studies are often missing from final reports including blood glucose level, SUV measurement, and the time from radiopharmaceutical injection to imaging.</w:t>
            </w:r>
            <w:r>
              <w:rPr>
                <w:rStyle w:val="EndnoteReference"/>
                <w:rFonts w:ascii="Calibri" w:hAnsi="Calibri"/>
                <w:sz w:val="20"/>
                <w:szCs w:val="20"/>
              </w:rPr>
              <w:endnoteReference w:id="2"/>
            </w:r>
            <w:r>
              <w:rPr>
                <w:rFonts w:ascii="Calibri" w:hAnsi="Calibri" w:cs="Calibri"/>
                <w:sz w:val="20"/>
                <w:szCs w:val="20"/>
              </w:rPr>
              <w:t xml:space="preserve">  Excluding these components may adversely affect comparison with subsequent and prior studies.</w:t>
            </w:r>
            <w:r>
              <w:rPr>
                <w:rStyle w:val="EndnoteReference"/>
                <w:rFonts w:ascii="Calibri" w:hAnsi="Calibri"/>
                <w:sz w:val="20"/>
                <w:szCs w:val="20"/>
              </w:rPr>
              <w:endnoteReference w:id="3"/>
            </w:r>
            <w:r>
              <w:rPr>
                <w:rFonts w:ascii="Calibri" w:hAnsi="Calibri" w:cs="Calibri"/>
                <w:sz w:val="20"/>
                <w:szCs w:val="20"/>
              </w:rPr>
              <w:t xml:space="preserve">  </w:t>
            </w:r>
          </w:p>
        </w:tc>
      </w:tr>
      <w:tr w:rsidR="00AA716C" w:rsidRPr="007653B0" w14:paraId="66C23728" w14:textId="77777777" w:rsidTr="00C97F81">
        <w:tc>
          <w:tcPr>
            <w:tcW w:w="9986" w:type="dxa"/>
            <w:gridSpan w:val="2"/>
            <w:shd w:val="clear" w:color="auto" w:fill="D9E2F3"/>
          </w:tcPr>
          <w:p w14:paraId="4BC885CF" w14:textId="77777777" w:rsidR="00AA716C" w:rsidRPr="00807FF4" w:rsidRDefault="00AA716C" w:rsidP="00C97F81">
            <w:pPr>
              <w:pStyle w:val="Default"/>
              <w:rPr>
                <w:rFonts w:ascii="Calibri" w:hAnsi="Calibri" w:cs="Calibri"/>
                <w:color w:val="auto"/>
                <w:sz w:val="20"/>
                <w:szCs w:val="20"/>
              </w:rPr>
            </w:pPr>
            <w:r w:rsidRPr="006143EF">
              <w:rPr>
                <w:rStyle w:val="NormalBold"/>
                <w:rFonts w:ascii="Calibri" w:hAnsi="Calibri" w:cs="Calibri"/>
                <w:color w:val="auto"/>
              </w:rPr>
              <w:lastRenderedPageBreak/>
              <w:t>Measure Designation</w:t>
            </w:r>
          </w:p>
        </w:tc>
      </w:tr>
      <w:tr w:rsidR="00AA716C" w:rsidRPr="00B950DE" w14:paraId="122178EB" w14:textId="77777777" w:rsidTr="00C97F81">
        <w:tc>
          <w:tcPr>
            <w:tcW w:w="1846" w:type="dxa"/>
            <w:shd w:val="clear" w:color="auto" w:fill="D9E2F3"/>
          </w:tcPr>
          <w:p w14:paraId="43CAD505"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 xml:space="preserve">Measure </w:t>
            </w:r>
            <w:r>
              <w:rPr>
                <w:rStyle w:val="NormalBold"/>
                <w:rFonts w:ascii="Calibri" w:hAnsi="Calibri" w:cs="Calibri"/>
              </w:rPr>
              <w:t>Use</w:t>
            </w:r>
          </w:p>
        </w:tc>
        <w:tc>
          <w:tcPr>
            <w:tcW w:w="8140" w:type="dxa"/>
          </w:tcPr>
          <w:p w14:paraId="575AF256" w14:textId="77777777" w:rsidR="00AA716C" w:rsidRDefault="00AA716C" w:rsidP="00C97F81">
            <w:pPr>
              <w:pStyle w:val="Default"/>
              <w:rPr>
                <w:rFonts w:ascii="Calibri" w:hAnsi="Calibri" w:cs="Calibri"/>
                <w:sz w:val="20"/>
                <w:szCs w:val="20"/>
              </w:rPr>
            </w:pPr>
            <w:r>
              <w:rPr>
                <w:rFonts w:ascii="Calibri" w:hAnsi="Calibri" w:cs="Calibri"/>
                <w:sz w:val="20"/>
                <w:szCs w:val="20"/>
              </w:rPr>
              <w:t>Quality Improvement</w:t>
            </w:r>
          </w:p>
          <w:p w14:paraId="570FBF0F" w14:textId="77777777" w:rsidR="00AA716C" w:rsidRPr="00807FF4" w:rsidRDefault="00AA716C" w:rsidP="00C97F81">
            <w:pPr>
              <w:pStyle w:val="Default"/>
              <w:rPr>
                <w:rFonts w:ascii="Calibri" w:hAnsi="Calibri" w:cs="Calibri"/>
                <w:sz w:val="20"/>
                <w:szCs w:val="20"/>
              </w:rPr>
            </w:pPr>
            <w:r>
              <w:rPr>
                <w:rFonts w:ascii="Calibri" w:hAnsi="Calibri" w:cs="Calibri"/>
                <w:sz w:val="20"/>
                <w:szCs w:val="20"/>
              </w:rPr>
              <w:t>Accountability</w:t>
            </w:r>
          </w:p>
        </w:tc>
      </w:tr>
      <w:tr w:rsidR="00AA716C" w:rsidRPr="00B950DE" w14:paraId="2E825FEC" w14:textId="77777777" w:rsidTr="00C97F81">
        <w:tc>
          <w:tcPr>
            <w:tcW w:w="1846" w:type="dxa"/>
            <w:shd w:val="clear" w:color="auto" w:fill="D9E2F3"/>
          </w:tcPr>
          <w:p w14:paraId="29289A60" w14:textId="77777777" w:rsidR="00AA716C" w:rsidRPr="006143EF" w:rsidRDefault="00AA716C" w:rsidP="00C97F81">
            <w:pPr>
              <w:rPr>
                <w:rStyle w:val="NormalBold"/>
                <w:rFonts w:ascii="Calibri" w:hAnsi="Calibri" w:cs="Calibri"/>
              </w:rPr>
            </w:pPr>
            <w:r w:rsidRPr="006143EF">
              <w:rPr>
                <w:rStyle w:val="NormalBold"/>
                <w:rFonts w:ascii="Calibri" w:hAnsi="Calibri" w:cs="Calibri"/>
              </w:rPr>
              <w:t>Measure Type</w:t>
            </w:r>
          </w:p>
        </w:tc>
        <w:tc>
          <w:tcPr>
            <w:tcW w:w="8140" w:type="dxa"/>
          </w:tcPr>
          <w:p w14:paraId="15B727E6" w14:textId="77777777" w:rsidR="00AA716C" w:rsidRPr="00807FF4" w:rsidRDefault="00AA716C" w:rsidP="00C97F81">
            <w:pPr>
              <w:pStyle w:val="Default"/>
              <w:rPr>
                <w:rFonts w:ascii="Calibri" w:hAnsi="Calibri" w:cs="Calibri"/>
                <w:sz w:val="20"/>
                <w:szCs w:val="20"/>
              </w:rPr>
            </w:pPr>
            <w:r w:rsidRPr="00807FF4">
              <w:rPr>
                <w:rFonts w:ascii="Calibri" w:hAnsi="Calibri" w:cs="Calibri"/>
                <w:sz w:val="20"/>
                <w:szCs w:val="20"/>
              </w:rPr>
              <w:t>Process</w:t>
            </w:r>
          </w:p>
        </w:tc>
      </w:tr>
      <w:tr w:rsidR="00AA716C" w:rsidRPr="00B950DE" w14:paraId="7948CFEF"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5AA6B181" w14:textId="77777777" w:rsidR="00AA716C" w:rsidRPr="00807FF4" w:rsidRDefault="00AA716C" w:rsidP="00C97F81">
            <w:pPr>
              <w:rPr>
                <w:rFonts w:ascii="Calibri" w:hAnsi="Calibri" w:cs="Calibri"/>
                <w:b/>
                <w:bCs/>
                <w:sz w:val="20"/>
                <w:szCs w:val="20"/>
              </w:rPr>
            </w:pPr>
            <w:r w:rsidRPr="00807FF4">
              <w:rPr>
                <w:rFonts w:ascii="Calibri" w:hAnsi="Calibri" w:cs="Calibri"/>
                <w:b/>
                <w:bCs/>
                <w:sz w:val="20"/>
                <w:szCs w:val="20"/>
              </w:rPr>
              <w:t>Level of Measurement</w:t>
            </w:r>
          </w:p>
        </w:tc>
        <w:tc>
          <w:tcPr>
            <w:tcW w:w="8140" w:type="dxa"/>
            <w:tcBorders>
              <w:top w:val="single" w:sz="12" w:space="0" w:color="auto"/>
              <w:left w:val="single" w:sz="12" w:space="0" w:color="auto"/>
              <w:bottom w:val="single" w:sz="12" w:space="0" w:color="auto"/>
              <w:right w:val="single" w:sz="12" w:space="0" w:color="auto"/>
            </w:tcBorders>
          </w:tcPr>
          <w:p w14:paraId="47F49AB9" w14:textId="77777777" w:rsidR="00AA716C" w:rsidRPr="00807FF4" w:rsidRDefault="00AA716C" w:rsidP="00C97F81">
            <w:pPr>
              <w:pStyle w:val="Default"/>
              <w:rPr>
                <w:rFonts w:ascii="Calibri" w:hAnsi="Calibri" w:cs="Courier New"/>
                <w:color w:val="1A1A1A"/>
                <w:sz w:val="20"/>
                <w:szCs w:val="20"/>
              </w:rPr>
            </w:pPr>
            <w:r w:rsidRPr="00807FF4">
              <w:rPr>
                <w:rFonts w:ascii="Calibri" w:hAnsi="Calibri" w:cs="Courier New"/>
                <w:color w:val="1A1A1A"/>
                <w:sz w:val="20"/>
                <w:szCs w:val="20"/>
              </w:rPr>
              <w:t>Individual Practitioner</w:t>
            </w:r>
          </w:p>
          <w:p w14:paraId="0DE08486" w14:textId="77777777" w:rsidR="00AA716C" w:rsidRPr="00807FF4" w:rsidRDefault="00AA716C" w:rsidP="00C97F81">
            <w:pPr>
              <w:pStyle w:val="Default"/>
              <w:rPr>
                <w:rFonts w:ascii="Calibri" w:hAnsi="Calibri" w:cs="Courier New"/>
                <w:color w:val="1A1A1A"/>
                <w:sz w:val="20"/>
                <w:szCs w:val="20"/>
              </w:rPr>
            </w:pPr>
            <w:r w:rsidRPr="00807FF4">
              <w:rPr>
                <w:rFonts w:ascii="Calibri" w:hAnsi="Calibri" w:cs="Courier New"/>
                <w:color w:val="1A1A1A"/>
                <w:sz w:val="20"/>
                <w:szCs w:val="20"/>
              </w:rPr>
              <w:t>Group Practice</w:t>
            </w:r>
          </w:p>
        </w:tc>
      </w:tr>
      <w:tr w:rsidR="00AA716C" w:rsidRPr="00B950DE" w14:paraId="63489DBA"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795DFA0F" w14:textId="77777777" w:rsidR="00AA716C" w:rsidRPr="00807FF4" w:rsidRDefault="00AA716C" w:rsidP="00C97F81">
            <w:pPr>
              <w:rPr>
                <w:rFonts w:ascii="Calibri" w:hAnsi="Calibri" w:cs="Calibri"/>
                <w:b/>
                <w:bCs/>
                <w:sz w:val="20"/>
                <w:szCs w:val="20"/>
              </w:rPr>
            </w:pPr>
            <w:r>
              <w:rPr>
                <w:rFonts w:ascii="Calibri" w:hAnsi="Calibri" w:cs="Calibri"/>
                <w:b/>
                <w:bCs/>
                <w:sz w:val="20"/>
                <w:szCs w:val="20"/>
              </w:rPr>
              <w:t>Care Setting</w:t>
            </w:r>
          </w:p>
        </w:tc>
        <w:tc>
          <w:tcPr>
            <w:tcW w:w="8140" w:type="dxa"/>
            <w:tcBorders>
              <w:top w:val="single" w:sz="12" w:space="0" w:color="auto"/>
              <w:left w:val="single" w:sz="12" w:space="0" w:color="auto"/>
              <w:bottom w:val="single" w:sz="12" w:space="0" w:color="auto"/>
              <w:right w:val="single" w:sz="12" w:space="0" w:color="auto"/>
            </w:tcBorders>
          </w:tcPr>
          <w:p w14:paraId="254F0391" w14:textId="77777777" w:rsidR="00AA716C" w:rsidRPr="00807FF4" w:rsidRDefault="00AA716C" w:rsidP="00C97F81">
            <w:pPr>
              <w:pStyle w:val="Default"/>
              <w:rPr>
                <w:rFonts w:ascii="Calibri" w:hAnsi="Calibri" w:cs="Courier New"/>
                <w:color w:val="1A1A1A"/>
                <w:sz w:val="20"/>
                <w:szCs w:val="20"/>
              </w:rPr>
            </w:pPr>
            <w:proofErr w:type="spellStart"/>
            <w:r>
              <w:rPr>
                <w:rFonts w:ascii="Calibri" w:hAnsi="Calibri" w:cs="Courier New"/>
                <w:color w:val="1A1A1A"/>
                <w:sz w:val="20"/>
                <w:szCs w:val="20"/>
              </w:rPr>
              <w:t>OutpatientInpatient</w:t>
            </w:r>
            <w:proofErr w:type="spellEnd"/>
          </w:p>
        </w:tc>
      </w:tr>
      <w:tr w:rsidR="00AA716C" w:rsidRPr="00B950DE" w14:paraId="3B8A0FF2"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73D7D06B" w14:textId="77777777" w:rsidR="00AA716C" w:rsidRPr="00807FF4" w:rsidRDefault="00AA716C" w:rsidP="00C97F81">
            <w:pPr>
              <w:rPr>
                <w:rFonts w:ascii="Calibri" w:hAnsi="Calibri" w:cs="Calibri"/>
                <w:b/>
                <w:bCs/>
                <w:sz w:val="20"/>
                <w:szCs w:val="20"/>
              </w:rPr>
            </w:pPr>
            <w:r w:rsidRPr="00807FF4">
              <w:rPr>
                <w:rFonts w:ascii="Calibri" w:hAnsi="Calibri" w:cs="Calibri"/>
                <w:b/>
                <w:bCs/>
                <w:sz w:val="20"/>
                <w:szCs w:val="20"/>
              </w:rPr>
              <w:t>Improvement Notation</w:t>
            </w:r>
          </w:p>
        </w:tc>
        <w:tc>
          <w:tcPr>
            <w:tcW w:w="8140" w:type="dxa"/>
            <w:tcBorders>
              <w:top w:val="single" w:sz="12" w:space="0" w:color="auto"/>
              <w:left w:val="single" w:sz="12" w:space="0" w:color="auto"/>
              <w:bottom w:val="single" w:sz="12" w:space="0" w:color="auto"/>
              <w:right w:val="single" w:sz="12" w:space="0" w:color="auto"/>
            </w:tcBorders>
          </w:tcPr>
          <w:p w14:paraId="39638FA2" w14:textId="77777777" w:rsidR="00AA716C" w:rsidRPr="00807FF4" w:rsidRDefault="00AA716C" w:rsidP="00C97F81">
            <w:pPr>
              <w:pStyle w:val="Default"/>
              <w:rPr>
                <w:rFonts w:ascii="Calibri" w:hAnsi="Calibri" w:cs="Calibri"/>
                <w:sz w:val="20"/>
                <w:szCs w:val="20"/>
              </w:rPr>
            </w:pPr>
            <w:r w:rsidRPr="00807FF4">
              <w:rPr>
                <w:rFonts w:ascii="Calibri" w:hAnsi="Calibri" w:cs="Calibri"/>
                <w:sz w:val="20"/>
                <w:szCs w:val="20"/>
              </w:rPr>
              <w:t>Higher score indicates better quality</w:t>
            </w:r>
          </w:p>
        </w:tc>
      </w:tr>
      <w:tr w:rsidR="00AA716C" w:rsidRPr="00B950DE" w14:paraId="65E29CD9" w14:textId="77777777" w:rsidTr="00C97F81">
        <w:tc>
          <w:tcPr>
            <w:tcW w:w="1846" w:type="dxa"/>
            <w:tcBorders>
              <w:top w:val="single" w:sz="12" w:space="0" w:color="auto"/>
              <w:left w:val="single" w:sz="12" w:space="0" w:color="auto"/>
              <w:bottom w:val="single" w:sz="12" w:space="0" w:color="auto"/>
              <w:right w:val="single" w:sz="12" w:space="0" w:color="auto"/>
            </w:tcBorders>
            <w:shd w:val="clear" w:color="auto" w:fill="D9E2F3"/>
          </w:tcPr>
          <w:p w14:paraId="3A928571" w14:textId="77777777" w:rsidR="00AA716C" w:rsidRPr="00807FF4" w:rsidRDefault="00AA716C" w:rsidP="00C97F81">
            <w:pPr>
              <w:rPr>
                <w:rFonts w:ascii="Calibri" w:hAnsi="Calibri" w:cs="Calibri"/>
                <w:b/>
                <w:bCs/>
                <w:sz w:val="20"/>
                <w:szCs w:val="20"/>
              </w:rPr>
            </w:pPr>
            <w:r w:rsidRPr="00807FF4">
              <w:rPr>
                <w:rFonts w:ascii="Calibri" w:hAnsi="Calibri" w:cs="Calibri"/>
                <w:b/>
                <w:bCs/>
                <w:sz w:val="20"/>
                <w:szCs w:val="20"/>
              </w:rPr>
              <w:t xml:space="preserve">National Quality Strategy Priority/CMS Measure Domain </w:t>
            </w:r>
          </w:p>
        </w:tc>
        <w:tc>
          <w:tcPr>
            <w:tcW w:w="8140" w:type="dxa"/>
            <w:tcBorders>
              <w:top w:val="single" w:sz="12" w:space="0" w:color="auto"/>
              <w:left w:val="single" w:sz="12" w:space="0" w:color="auto"/>
              <w:bottom w:val="single" w:sz="12" w:space="0" w:color="auto"/>
              <w:right w:val="single" w:sz="12" w:space="0" w:color="auto"/>
            </w:tcBorders>
          </w:tcPr>
          <w:p w14:paraId="22160151"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 xml:space="preserve">☒ </w:t>
            </w:r>
            <w:r w:rsidRPr="00807FF4">
              <w:rPr>
                <w:rFonts w:ascii="Calibri" w:hAnsi="Calibri" w:cs="Calibri"/>
                <w:sz w:val="20"/>
                <w:szCs w:val="20"/>
              </w:rPr>
              <w:t xml:space="preserve">Communication and Care Coordination </w:t>
            </w:r>
          </w:p>
          <w:p w14:paraId="413D3BEB"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w:t>
            </w:r>
            <w:r w:rsidRPr="00807FF4">
              <w:rPr>
                <w:rFonts w:ascii="Calibri" w:hAnsi="Calibri" w:cs="Calibri"/>
                <w:sz w:val="20"/>
                <w:szCs w:val="20"/>
              </w:rPr>
              <w:t xml:space="preserve"> Community/Population Health</w:t>
            </w:r>
          </w:p>
          <w:p w14:paraId="653088C0"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w:t>
            </w:r>
            <w:r w:rsidRPr="00807FF4">
              <w:rPr>
                <w:rFonts w:ascii="Calibri" w:hAnsi="Calibri" w:cs="Calibri"/>
                <w:sz w:val="20"/>
                <w:szCs w:val="20"/>
              </w:rPr>
              <w:t xml:space="preserve"> Effective Clinical Care</w:t>
            </w:r>
          </w:p>
          <w:p w14:paraId="11FB1A8D"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w:t>
            </w:r>
            <w:r w:rsidRPr="00807FF4">
              <w:rPr>
                <w:rFonts w:ascii="Calibri" w:hAnsi="Calibri" w:cs="Calibri"/>
                <w:sz w:val="20"/>
                <w:szCs w:val="20"/>
              </w:rPr>
              <w:t xml:space="preserve"> Efficiency and Cost Reduction</w:t>
            </w:r>
          </w:p>
          <w:p w14:paraId="69363CCE"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w:t>
            </w:r>
            <w:r>
              <w:rPr>
                <w:rFonts w:ascii="Segoe UI Symbol" w:hAnsi="Segoe UI Symbol" w:cs="Segoe UI Symbol"/>
                <w:sz w:val="20"/>
                <w:szCs w:val="20"/>
              </w:rPr>
              <w:t xml:space="preserve"> </w:t>
            </w:r>
            <w:r w:rsidRPr="00807FF4">
              <w:rPr>
                <w:rFonts w:ascii="Calibri" w:hAnsi="Calibri" w:cs="Calibri"/>
                <w:sz w:val="20"/>
                <w:szCs w:val="20"/>
              </w:rPr>
              <w:t>Patient Safety</w:t>
            </w:r>
          </w:p>
          <w:p w14:paraId="60C7A3C5" w14:textId="77777777" w:rsidR="00AA716C" w:rsidRPr="00807FF4" w:rsidRDefault="00AA716C" w:rsidP="00C97F81">
            <w:pPr>
              <w:pStyle w:val="Default"/>
              <w:rPr>
                <w:rFonts w:ascii="Calibri" w:hAnsi="Calibri" w:cs="Calibri"/>
                <w:sz w:val="20"/>
                <w:szCs w:val="20"/>
              </w:rPr>
            </w:pPr>
            <w:r w:rsidRPr="00807FF4">
              <w:rPr>
                <w:rFonts w:ascii="Segoe UI Symbol" w:hAnsi="Segoe UI Symbol" w:cs="Segoe UI Symbol"/>
                <w:sz w:val="20"/>
                <w:szCs w:val="20"/>
              </w:rPr>
              <w:t>☐</w:t>
            </w:r>
            <w:r w:rsidRPr="00807FF4">
              <w:rPr>
                <w:rFonts w:ascii="Calibri" w:hAnsi="Calibri" w:cs="Calibri"/>
                <w:sz w:val="20"/>
                <w:szCs w:val="20"/>
              </w:rPr>
              <w:t xml:space="preserve"> Person and Caregiver-Centered Experience</w:t>
            </w:r>
          </w:p>
        </w:tc>
      </w:tr>
    </w:tbl>
    <w:p w14:paraId="41A81A55" w14:textId="77777777" w:rsidR="00AA716C" w:rsidRDefault="00AA716C" w:rsidP="00AA716C"/>
    <w:p w14:paraId="6906FF20" w14:textId="05CE7DF2" w:rsidR="00AA716C" w:rsidRDefault="00AA716C" w:rsidP="00AA716C">
      <w:pPr>
        <w:rPr>
          <w:sz w:val="20"/>
          <w:szCs w:val="20"/>
        </w:rPr>
      </w:pPr>
    </w:p>
    <w:p w14:paraId="5F173743" w14:textId="77777777" w:rsidR="00AA716C" w:rsidRDefault="00AA716C" w:rsidP="00AA716C">
      <w:pPr>
        <w:rPr>
          <w:sz w:val="20"/>
          <w:szCs w:val="20"/>
        </w:rPr>
      </w:pPr>
    </w:p>
    <w:p w14:paraId="2DCCBC7D" w14:textId="77777777" w:rsidR="00AA716C" w:rsidRDefault="00AA716C" w:rsidP="00AA716C">
      <w:pPr>
        <w:rPr>
          <w:sz w:val="20"/>
          <w:szCs w:val="20"/>
        </w:rPr>
      </w:pPr>
    </w:p>
    <w:p w14:paraId="03BB02A3" w14:textId="77777777" w:rsidR="00AA716C" w:rsidRDefault="00AA716C" w:rsidP="00AA716C">
      <w:pPr>
        <w:rPr>
          <w:sz w:val="20"/>
          <w:szCs w:val="20"/>
        </w:rPr>
      </w:pPr>
    </w:p>
    <w:p w14:paraId="75C114D5" w14:textId="77777777" w:rsidR="00AA716C" w:rsidRDefault="00AA716C" w:rsidP="00AA716C">
      <w:pPr>
        <w:rPr>
          <w:sz w:val="20"/>
          <w:szCs w:val="20"/>
        </w:rPr>
      </w:pPr>
    </w:p>
    <w:p w14:paraId="11C4781A" w14:textId="77777777" w:rsidR="00AA716C" w:rsidRDefault="00AA716C" w:rsidP="00AA716C">
      <w:pPr>
        <w:rPr>
          <w:sz w:val="20"/>
          <w:szCs w:val="20"/>
        </w:rPr>
      </w:pPr>
    </w:p>
    <w:p w14:paraId="71A6DC9D" w14:textId="77777777" w:rsidR="00AA716C" w:rsidRDefault="00AA716C" w:rsidP="00AA716C">
      <w:pPr>
        <w:rPr>
          <w:sz w:val="20"/>
          <w:szCs w:val="20"/>
        </w:rPr>
      </w:pPr>
    </w:p>
    <w:p w14:paraId="745AD6E7" w14:textId="77777777" w:rsidR="00AA716C" w:rsidRDefault="00AA716C" w:rsidP="00AA716C">
      <w:pPr>
        <w:rPr>
          <w:sz w:val="20"/>
          <w:szCs w:val="20"/>
        </w:rPr>
      </w:pPr>
    </w:p>
    <w:p w14:paraId="1E1FB141" w14:textId="77777777" w:rsidR="00AA716C" w:rsidRDefault="00AA716C" w:rsidP="00AA716C">
      <w:pPr>
        <w:rPr>
          <w:sz w:val="20"/>
          <w:szCs w:val="20"/>
        </w:rPr>
      </w:pPr>
    </w:p>
    <w:p w14:paraId="66943B99" w14:textId="77777777" w:rsidR="00AA716C" w:rsidRDefault="00AA716C" w:rsidP="00AA716C">
      <w:pPr>
        <w:rPr>
          <w:sz w:val="20"/>
          <w:szCs w:val="20"/>
        </w:rPr>
      </w:pPr>
    </w:p>
    <w:p w14:paraId="480762D8" w14:textId="77777777" w:rsidR="00AA716C" w:rsidRDefault="00AA716C" w:rsidP="00AA716C">
      <w:pPr>
        <w:rPr>
          <w:sz w:val="20"/>
          <w:szCs w:val="20"/>
        </w:rPr>
      </w:pPr>
    </w:p>
    <w:p w14:paraId="4E21A7B6" w14:textId="77777777" w:rsidR="00AA716C" w:rsidRDefault="00AA716C" w:rsidP="00AA716C">
      <w:pPr>
        <w:rPr>
          <w:sz w:val="20"/>
          <w:szCs w:val="20"/>
        </w:rPr>
      </w:pPr>
    </w:p>
    <w:p w14:paraId="356F5DB0" w14:textId="77777777" w:rsidR="00AA716C" w:rsidRDefault="00AA716C" w:rsidP="00AA716C">
      <w:pPr>
        <w:rPr>
          <w:sz w:val="20"/>
          <w:szCs w:val="20"/>
        </w:rPr>
      </w:pPr>
    </w:p>
    <w:p w14:paraId="58B76C73" w14:textId="77777777" w:rsidR="00AA716C" w:rsidRDefault="00AA716C" w:rsidP="00AA716C">
      <w:pPr>
        <w:rPr>
          <w:sz w:val="20"/>
          <w:szCs w:val="20"/>
        </w:rPr>
      </w:pPr>
    </w:p>
    <w:p w14:paraId="130CAAC8" w14:textId="77777777" w:rsidR="00AA716C" w:rsidRDefault="00AA716C" w:rsidP="00AA716C">
      <w:pPr>
        <w:rPr>
          <w:sz w:val="20"/>
          <w:szCs w:val="20"/>
        </w:rPr>
      </w:pPr>
    </w:p>
    <w:p w14:paraId="730F65B6" w14:textId="77777777" w:rsidR="00AA716C" w:rsidRDefault="00AA716C" w:rsidP="00AA716C">
      <w:pPr>
        <w:rPr>
          <w:sz w:val="20"/>
          <w:szCs w:val="20"/>
        </w:rPr>
      </w:pPr>
    </w:p>
    <w:p w14:paraId="0122296C" w14:textId="77777777" w:rsidR="00AA716C" w:rsidRDefault="00AA716C" w:rsidP="00AA716C">
      <w:pPr>
        <w:rPr>
          <w:sz w:val="20"/>
          <w:szCs w:val="20"/>
        </w:rPr>
      </w:pPr>
    </w:p>
    <w:p w14:paraId="7071CC7D" w14:textId="77777777" w:rsidR="00AA716C" w:rsidRDefault="00AA716C" w:rsidP="00AA716C">
      <w:pPr>
        <w:rPr>
          <w:sz w:val="20"/>
          <w:szCs w:val="20"/>
        </w:rPr>
      </w:pPr>
    </w:p>
    <w:p w14:paraId="289E0F23" w14:textId="77777777" w:rsidR="00AA716C" w:rsidRDefault="00AA716C" w:rsidP="00AA716C">
      <w:pPr>
        <w:rPr>
          <w:sz w:val="20"/>
          <w:szCs w:val="20"/>
        </w:rPr>
      </w:pPr>
    </w:p>
    <w:p w14:paraId="61613295" w14:textId="77777777" w:rsidR="00AA716C" w:rsidRDefault="00AA716C" w:rsidP="00AA716C">
      <w:pPr>
        <w:rPr>
          <w:sz w:val="20"/>
          <w:szCs w:val="20"/>
        </w:rPr>
      </w:pPr>
    </w:p>
    <w:p w14:paraId="376299ED" w14:textId="77777777" w:rsidR="00AA716C" w:rsidRDefault="00AA716C" w:rsidP="00AA716C">
      <w:pPr>
        <w:rPr>
          <w:sz w:val="20"/>
          <w:szCs w:val="20"/>
        </w:rPr>
      </w:pPr>
    </w:p>
    <w:p w14:paraId="182090AA" w14:textId="77777777" w:rsidR="00AA716C" w:rsidRDefault="00AA716C" w:rsidP="00AA716C">
      <w:pPr>
        <w:rPr>
          <w:sz w:val="20"/>
          <w:szCs w:val="20"/>
        </w:rPr>
      </w:pPr>
    </w:p>
    <w:p w14:paraId="0F71CDBD" w14:textId="77777777" w:rsidR="00AA716C" w:rsidRDefault="00AA716C" w:rsidP="00AA716C">
      <w:pPr>
        <w:rPr>
          <w:sz w:val="20"/>
          <w:szCs w:val="20"/>
        </w:rPr>
      </w:pPr>
    </w:p>
    <w:p w14:paraId="27FA8E9A" w14:textId="77777777" w:rsidR="00AA716C" w:rsidRDefault="00AA716C" w:rsidP="00AA716C">
      <w:pPr>
        <w:rPr>
          <w:sz w:val="20"/>
          <w:szCs w:val="20"/>
        </w:rPr>
      </w:pPr>
    </w:p>
    <w:p w14:paraId="1D09A6CA" w14:textId="77777777" w:rsidR="00AA716C" w:rsidRDefault="00AA716C" w:rsidP="00AA716C">
      <w:pPr>
        <w:rPr>
          <w:sz w:val="20"/>
          <w:szCs w:val="20"/>
        </w:rPr>
      </w:pPr>
    </w:p>
    <w:p w14:paraId="221707F3" w14:textId="77777777" w:rsidR="00AA716C" w:rsidRDefault="00AA716C" w:rsidP="00AA716C">
      <w:pPr>
        <w:rPr>
          <w:sz w:val="20"/>
          <w:szCs w:val="20"/>
        </w:rPr>
      </w:pPr>
    </w:p>
    <w:p w14:paraId="4380666F" w14:textId="77777777" w:rsidR="00AA716C" w:rsidRDefault="00AA716C" w:rsidP="00AA716C">
      <w:pPr>
        <w:rPr>
          <w:sz w:val="20"/>
          <w:szCs w:val="20"/>
        </w:rPr>
      </w:pPr>
    </w:p>
    <w:p w14:paraId="3794BE5B" w14:textId="77777777" w:rsidR="00AA716C" w:rsidRDefault="00AA716C" w:rsidP="00AA716C">
      <w:pPr>
        <w:rPr>
          <w:sz w:val="20"/>
          <w:szCs w:val="20"/>
        </w:rPr>
      </w:pPr>
    </w:p>
    <w:p w14:paraId="18CC9D27" w14:textId="77777777" w:rsidR="00AA716C" w:rsidRDefault="00AA716C" w:rsidP="00AA716C">
      <w:pPr>
        <w:rPr>
          <w:sz w:val="20"/>
          <w:szCs w:val="20"/>
        </w:rPr>
      </w:pPr>
    </w:p>
    <w:p w14:paraId="5CBB339F" w14:textId="77777777" w:rsidR="00AA716C" w:rsidRDefault="00AA716C" w:rsidP="00AA716C">
      <w:pPr>
        <w:rPr>
          <w:sz w:val="20"/>
          <w:szCs w:val="20"/>
        </w:rPr>
      </w:pPr>
    </w:p>
    <w:p w14:paraId="7B9E3468" w14:textId="77777777" w:rsidR="00AA716C" w:rsidRDefault="00AA716C" w:rsidP="00AA716C">
      <w:pPr>
        <w:rPr>
          <w:sz w:val="20"/>
          <w:szCs w:val="20"/>
        </w:rPr>
      </w:pPr>
    </w:p>
    <w:p w14:paraId="56AFF3EF" w14:textId="77777777" w:rsidR="00AA716C" w:rsidRDefault="00AA716C" w:rsidP="00AA716C">
      <w:pPr>
        <w:rPr>
          <w:sz w:val="20"/>
          <w:szCs w:val="20"/>
        </w:rPr>
      </w:pPr>
    </w:p>
    <w:p w14:paraId="7CFDE5FD" w14:textId="77777777" w:rsidR="00AA716C" w:rsidRDefault="00AA716C" w:rsidP="00AA716C">
      <w:pPr>
        <w:rPr>
          <w:sz w:val="20"/>
          <w:szCs w:val="20"/>
        </w:rPr>
      </w:pPr>
    </w:p>
    <w:p w14:paraId="7C3FF312" w14:textId="77777777" w:rsidR="00AA716C" w:rsidRDefault="00AA716C" w:rsidP="00AA716C">
      <w:pPr>
        <w:rPr>
          <w:sz w:val="20"/>
          <w:szCs w:val="20"/>
        </w:rPr>
      </w:pPr>
    </w:p>
    <w:p w14:paraId="55F9DEF0" w14:textId="77777777" w:rsidR="00AA716C" w:rsidRDefault="00AA716C" w:rsidP="00AA716C">
      <w:pPr>
        <w:rPr>
          <w:sz w:val="20"/>
          <w:szCs w:val="20"/>
        </w:rPr>
      </w:pPr>
    </w:p>
    <w:p w14:paraId="5DC251DA" w14:textId="3E9AF6F7" w:rsidR="00AA716C" w:rsidRPr="009953E4" w:rsidRDefault="00AA716C" w:rsidP="00AA716C">
      <w:pPr>
        <w:rPr>
          <w:b/>
          <w:sz w:val="20"/>
          <w:szCs w:val="20"/>
          <w:u w:val="single"/>
        </w:rPr>
      </w:pPr>
      <w:proofErr w:type="spellStart"/>
      <w:r w:rsidRPr="009953E4">
        <w:rPr>
          <w:b/>
          <w:sz w:val="20"/>
          <w:szCs w:val="20"/>
          <w:u w:val="single"/>
        </w:rPr>
        <w:t>eSpecifications</w:t>
      </w:r>
      <w:proofErr w:type="spellEnd"/>
      <w:r w:rsidRPr="009953E4">
        <w:rPr>
          <w:b/>
          <w:sz w:val="20"/>
          <w:szCs w:val="20"/>
          <w:u w:val="single"/>
        </w:rPr>
        <w:t xml:space="preserve"> Element Table (</w:t>
      </w:r>
      <w:proofErr w:type="spellStart"/>
      <w:r w:rsidRPr="009953E4">
        <w:rPr>
          <w:b/>
          <w:sz w:val="20"/>
          <w:szCs w:val="20"/>
          <w:u w:val="single"/>
        </w:rPr>
        <w:t>eSET</w:t>
      </w:r>
      <w:proofErr w:type="spellEnd"/>
      <w:r w:rsidRPr="009953E4">
        <w:rPr>
          <w:b/>
          <w:sz w:val="20"/>
          <w:szCs w:val="20"/>
          <w:u w:val="single"/>
        </w:rPr>
        <w:t>)</w:t>
      </w:r>
      <w:r w:rsidR="00B36E53">
        <w:rPr>
          <w:b/>
          <w:sz w:val="20"/>
          <w:szCs w:val="20"/>
          <w:u w:val="single"/>
        </w:rPr>
        <w:t xml:space="preserve"> </w:t>
      </w:r>
      <w:r w:rsidR="00B36E53" w:rsidRPr="00B36E53">
        <w:rPr>
          <w:sz w:val="16"/>
          <w:szCs w:val="16"/>
          <w:u w:val="single"/>
        </w:rPr>
        <w:t>© Swain Eng and Associates</w:t>
      </w:r>
    </w:p>
    <w:p w14:paraId="317A8E94" w14:textId="45BC8FF8" w:rsidR="00AA716C" w:rsidRDefault="00AA716C" w:rsidP="00AA716C">
      <w:pPr>
        <w:rPr>
          <w:sz w:val="20"/>
          <w:szCs w:val="20"/>
        </w:rPr>
      </w:pPr>
    </w:p>
    <w:tbl>
      <w:tblPr>
        <w:tblStyle w:val="TableGrid"/>
        <w:tblW w:w="0" w:type="auto"/>
        <w:tblLook w:val="04A0" w:firstRow="1" w:lastRow="0" w:firstColumn="1" w:lastColumn="0" w:noHBand="0" w:noVBand="1"/>
      </w:tblPr>
      <w:tblGrid>
        <w:gridCol w:w="1470"/>
        <w:gridCol w:w="1283"/>
        <w:gridCol w:w="3506"/>
        <w:gridCol w:w="1403"/>
        <w:gridCol w:w="1818"/>
        <w:gridCol w:w="1310"/>
      </w:tblGrid>
      <w:tr w:rsidR="00306C49" w:rsidRPr="009953E4" w14:paraId="252A9C86" w14:textId="6F4892C7" w:rsidTr="00B36E53">
        <w:tc>
          <w:tcPr>
            <w:tcW w:w="1470" w:type="dxa"/>
          </w:tcPr>
          <w:p w14:paraId="76A650C9" w14:textId="68F2A2A5" w:rsidR="00AA716C" w:rsidRPr="009953E4" w:rsidRDefault="00AA716C" w:rsidP="00AA716C">
            <w:pPr>
              <w:rPr>
                <w:rFonts w:ascii="Garamond" w:hAnsi="Garamond"/>
                <w:sz w:val="20"/>
                <w:szCs w:val="20"/>
              </w:rPr>
            </w:pPr>
            <w:proofErr w:type="spellStart"/>
            <w:r w:rsidRPr="009953E4">
              <w:rPr>
                <w:rFonts w:ascii="Garamond" w:hAnsi="Garamond"/>
                <w:sz w:val="20"/>
                <w:szCs w:val="20"/>
              </w:rPr>
              <w:t>eSpec</w:t>
            </w:r>
            <w:proofErr w:type="spellEnd"/>
            <w:r w:rsidRPr="009953E4">
              <w:rPr>
                <w:rFonts w:ascii="Garamond" w:hAnsi="Garamond"/>
                <w:sz w:val="20"/>
                <w:szCs w:val="20"/>
              </w:rPr>
              <w:t xml:space="preserve"> Component</w:t>
            </w:r>
          </w:p>
        </w:tc>
        <w:tc>
          <w:tcPr>
            <w:tcW w:w="1283" w:type="dxa"/>
          </w:tcPr>
          <w:p w14:paraId="6576222F" w14:textId="5340C213" w:rsidR="00AA716C" w:rsidRPr="009953E4" w:rsidRDefault="00AA716C" w:rsidP="00AA716C">
            <w:pPr>
              <w:rPr>
                <w:rFonts w:ascii="Garamond" w:hAnsi="Garamond"/>
                <w:sz w:val="20"/>
                <w:szCs w:val="20"/>
              </w:rPr>
            </w:pPr>
            <w:r w:rsidRPr="009953E4">
              <w:rPr>
                <w:rFonts w:ascii="Garamond" w:hAnsi="Garamond"/>
                <w:sz w:val="20"/>
                <w:szCs w:val="20"/>
              </w:rPr>
              <w:t>QDM Datatype</w:t>
            </w:r>
          </w:p>
        </w:tc>
        <w:tc>
          <w:tcPr>
            <w:tcW w:w="3506" w:type="dxa"/>
          </w:tcPr>
          <w:p w14:paraId="000A45F6" w14:textId="598BF29A" w:rsidR="00AA716C" w:rsidRPr="009953E4" w:rsidRDefault="00AA716C" w:rsidP="00AA716C">
            <w:pPr>
              <w:rPr>
                <w:rFonts w:ascii="Garamond" w:hAnsi="Garamond"/>
                <w:sz w:val="20"/>
                <w:szCs w:val="20"/>
              </w:rPr>
            </w:pPr>
            <w:r w:rsidRPr="009953E4">
              <w:rPr>
                <w:rFonts w:ascii="Garamond" w:hAnsi="Garamond"/>
                <w:sz w:val="20"/>
                <w:szCs w:val="20"/>
              </w:rPr>
              <w:t>Value Set Name/OID</w:t>
            </w:r>
          </w:p>
        </w:tc>
        <w:tc>
          <w:tcPr>
            <w:tcW w:w="1403" w:type="dxa"/>
          </w:tcPr>
          <w:p w14:paraId="5EF805B1" w14:textId="3AB84343" w:rsidR="00AA716C" w:rsidRPr="009953E4" w:rsidRDefault="00AA716C" w:rsidP="00AA716C">
            <w:pPr>
              <w:rPr>
                <w:rFonts w:ascii="Garamond" w:hAnsi="Garamond"/>
                <w:sz w:val="20"/>
                <w:szCs w:val="20"/>
              </w:rPr>
            </w:pPr>
            <w:r w:rsidRPr="009953E4">
              <w:rPr>
                <w:rFonts w:ascii="Garamond" w:hAnsi="Garamond"/>
                <w:sz w:val="20"/>
                <w:szCs w:val="20"/>
              </w:rPr>
              <w:t>Code System</w:t>
            </w:r>
          </w:p>
        </w:tc>
        <w:tc>
          <w:tcPr>
            <w:tcW w:w="1818" w:type="dxa"/>
          </w:tcPr>
          <w:p w14:paraId="4EEA3879" w14:textId="77777777" w:rsidR="00AA716C" w:rsidRPr="009953E4" w:rsidRDefault="00AA716C" w:rsidP="00AA716C">
            <w:pPr>
              <w:rPr>
                <w:rFonts w:ascii="Garamond" w:hAnsi="Garamond"/>
                <w:sz w:val="20"/>
                <w:szCs w:val="20"/>
              </w:rPr>
            </w:pPr>
            <w:r w:rsidRPr="009953E4">
              <w:rPr>
                <w:rFonts w:ascii="Garamond" w:hAnsi="Garamond"/>
                <w:sz w:val="20"/>
                <w:szCs w:val="20"/>
              </w:rPr>
              <w:t>CQL (definition/</w:t>
            </w:r>
          </w:p>
          <w:p w14:paraId="2CE22AE1" w14:textId="3DEB3376" w:rsidR="00AA716C" w:rsidRPr="009953E4" w:rsidRDefault="00AA716C" w:rsidP="00AA716C">
            <w:pPr>
              <w:rPr>
                <w:rFonts w:ascii="Garamond" w:hAnsi="Garamond"/>
                <w:sz w:val="20"/>
                <w:szCs w:val="20"/>
              </w:rPr>
            </w:pPr>
            <w:r w:rsidRPr="009953E4">
              <w:rPr>
                <w:rFonts w:ascii="Garamond" w:hAnsi="Garamond"/>
                <w:sz w:val="20"/>
                <w:szCs w:val="20"/>
              </w:rPr>
              <w:t>Parameter/function)</w:t>
            </w:r>
          </w:p>
        </w:tc>
        <w:tc>
          <w:tcPr>
            <w:tcW w:w="1310" w:type="dxa"/>
          </w:tcPr>
          <w:p w14:paraId="4E33C531" w14:textId="336A9EE1" w:rsidR="00AA716C" w:rsidRPr="009953E4" w:rsidRDefault="00AA716C" w:rsidP="00AA716C">
            <w:pPr>
              <w:rPr>
                <w:rFonts w:ascii="Garamond" w:hAnsi="Garamond"/>
                <w:sz w:val="20"/>
                <w:szCs w:val="20"/>
              </w:rPr>
            </w:pPr>
            <w:r w:rsidRPr="009953E4">
              <w:rPr>
                <w:rFonts w:ascii="Garamond" w:hAnsi="Garamond"/>
                <w:sz w:val="20"/>
                <w:szCs w:val="20"/>
              </w:rPr>
              <w:t>Comments</w:t>
            </w:r>
          </w:p>
        </w:tc>
      </w:tr>
      <w:tr w:rsidR="00B36E53" w:rsidRPr="009953E4" w14:paraId="0966436E" w14:textId="77777777" w:rsidTr="00B36E53">
        <w:tc>
          <w:tcPr>
            <w:tcW w:w="1470" w:type="dxa"/>
            <w:shd w:val="clear" w:color="auto" w:fill="0070C0"/>
          </w:tcPr>
          <w:p w14:paraId="5F6258EF" w14:textId="77777777" w:rsidR="00AA716C" w:rsidRPr="009953E4" w:rsidRDefault="00AA716C" w:rsidP="00AA716C">
            <w:pPr>
              <w:rPr>
                <w:rFonts w:ascii="Garamond" w:hAnsi="Garamond"/>
                <w:sz w:val="20"/>
                <w:szCs w:val="20"/>
              </w:rPr>
            </w:pPr>
          </w:p>
        </w:tc>
        <w:tc>
          <w:tcPr>
            <w:tcW w:w="1283" w:type="dxa"/>
            <w:shd w:val="clear" w:color="auto" w:fill="0070C0"/>
          </w:tcPr>
          <w:p w14:paraId="5AFABDDC" w14:textId="77777777" w:rsidR="00AA716C" w:rsidRPr="009953E4" w:rsidRDefault="00AA716C" w:rsidP="00AA716C">
            <w:pPr>
              <w:rPr>
                <w:rFonts w:ascii="Garamond" w:hAnsi="Garamond"/>
                <w:sz w:val="20"/>
                <w:szCs w:val="20"/>
              </w:rPr>
            </w:pPr>
          </w:p>
        </w:tc>
        <w:tc>
          <w:tcPr>
            <w:tcW w:w="3506" w:type="dxa"/>
            <w:shd w:val="clear" w:color="auto" w:fill="0070C0"/>
          </w:tcPr>
          <w:p w14:paraId="6052967C" w14:textId="77777777" w:rsidR="00AA716C" w:rsidRPr="009953E4" w:rsidRDefault="00AA716C" w:rsidP="00AA716C">
            <w:pPr>
              <w:rPr>
                <w:rFonts w:ascii="Garamond" w:hAnsi="Garamond"/>
                <w:sz w:val="20"/>
                <w:szCs w:val="20"/>
              </w:rPr>
            </w:pPr>
          </w:p>
        </w:tc>
        <w:tc>
          <w:tcPr>
            <w:tcW w:w="1403" w:type="dxa"/>
            <w:shd w:val="clear" w:color="auto" w:fill="0070C0"/>
          </w:tcPr>
          <w:p w14:paraId="5B63ECA9" w14:textId="77777777" w:rsidR="00AA716C" w:rsidRPr="009953E4" w:rsidRDefault="00AA716C" w:rsidP="00AA716C">
            <w:pPr>
              <w:rPr>
                <w:rFonts w:ascii="Garamond" w:hAnsi="Garamond"/>
                <w:sz w:val="20"/>
                <w:szCs w:val="20"/>
              </w:rPr>
            </w:pPr>
          </w:p>
        </w:tc>
        <w:tc>
          <w:tcPr>
            <w:tcW w:w="1818" w:type="dxa"/>
            <w:shd w:val="clear" w:color="auto" w:fill="0070C0"/>
          </w:tcPr>
          <w:p w14:paraId="237AF287" w14:textId="77777777" w:rsidR="00AA716C" w:rsidRPr="009953E4" w:rsidRDefault="00AA716C" w:rsidP="00AA716C">
            <w:pPr>
              <w:rPr>
                <w:rFonts w:ascii="Garamond" w:hAnsi="Garamond"/>
                <w:sz w:val="20"/>
                <w:szCs w:val="20"/>
              </w:rPr>
            </w:pPr>
          </w:p>
        </w:tc>
        <w:tc>
          <w:tcPr>
            <w:tcW w:w="1310" w:type="dxa"/>
            <w:shd w:val="clear" w:color="auto" w:fill="0070C0"/>
          </w:tcPr>
          <w:p w14:paraId="3EB6E46F" w14:textId="77777777" w:rsidR="00AA716C" w:rsidRPr="009953E4" w:rsidRDefault="00AA716C" w:rsidP="00AA716C">
            <w:pPr>
              <w:rPr>
                <w:rFonts w:ascii="Garamond" w:hAnsi="Garamond"/>
                <w:sz w:val="20"/>
                <w:szCs w:val="20"/>
              </w:rPr>
            </w:pPr>
          </w:p>
        </w:tc>
      </w:tr>
      <w:tr w:rsidR="00306C49" w:rsidRPr="009953E4" w14:paraId="15B3E4F2" w14:textId="3320CE08" w:rsidTr="00B36E53">
        <w:tc>
          <w:tcPr>
            <w:tcW w:w="1470" w:type="dxa"/>
          </w:tcPr>
          <w:p w14:paraId="6EC39652" w14:textId="43FD5202" w:rsidR="00AA716C" w:rsidRPr="009953E4" w:rsidRDefault="00AA716C" w:rsidP="00AA716C">
            <w:pPr>
              <w:rPr>
                <w:rFonts w:ascii="Garamond" w:hAnsi="Garamond"/>
                <w:sz w:val="20"/>
                <w:szCs w:val="20"/>
              </w:rPr>
            </w:pPr>
            <w:r w:rsidRPr="009953E4">
              <w:rPr>
                <w:rFonts w:ascii="Garamond" w:hAnsi="Garamond"/>
                <w:sz w:val="20"/>
                <w:szCs w:val="20"/>
              </w:rPr>
              <w:t>Initial Population</w:t>
            </w:r>
          </w:p>
        </w:tc>
        <w:tc>
          <w:tcPr>
            <w:tcW w:w="1283" w:type="dxa"/>
          </w:tcPr>
          <w:p w14:paraId="606AC6DE" w14:textId="0B85D54C" w:rsidR="00AA716C" w:rsidRPr="009953E4" w:rsidRDefault="00AA716C" w:rsidP="00AA716C">
            <w:pPr>
              <w:rPr>
                <w:rFonts w:ascii="Garamond" w:hAnsi="Garamond"/>
                <w:sz w:val="20"/>
                <w:szCs w:val="20"/>
              </w:rPr>
            </w:pPr>
            <w:r w:rsidRPr="009953E4">
              <w:rPr>
                <w:rFonts w:ascii="Garamond" w:hAnsi="Garamond"/>
                <w:sz w:val="20"/>
                <w:szCs w:val="20"/>
              </w:rPr>
              <w:t>Measure timing</w:t>
            </w:r>
          </w:p>
        </w:tc>
        <w:tc>
          <w:tcPr>
            <w:tcW w:w="3506" w:type="dxa"/>
          </w:tcPr>
          <w:p w14:paraId="7B5C0EE2" w14:textId="35A7E213" w:rsidR="00AA716C" w:rsidRPr="009953E4" w:rsidRDefault="00AA716C" w:rsidP="00AA716C">
            <w:pPr>
              <w:rPr>
                <w:rFonts w:ascii="Garamond" w:hAnsi="Garamond"/>
                <w:sz w:val="20"/>
                <w:szCs w:val="20"/>
              </w:rPr>
            </w:pPr>
            <w:r w:rsidRPr="009953E4">
              <w:rPr>
                <w:rFonts w:ascii="Garamond" w:hAnsi="Garamond"/>
                <w:sz w:val="20"/>
                <w:szCs w:val="20"/>
              </w:rPr>
              <w:t>n/a</w:t>
            </w:r>
          </w:p>
        </w:tc>
        <w:tc>
          <w:tcPr>
            <w:tcW w:w="1403" w:type="dxa"/>
          </w:tcPr>
          <w:p w14:paraId="39C4CFF7" w14:textId="036BB49F" w:rsidR="00AA716C" w:rsidRPr="009953E4" w:rsidRDefault="00AA716C" w:rsidP="00AA716C">
            <w:pPr>
              <w:rPr>
                <w:rFonts w:ascii="Garamond" w:hAnsi="Garamond"/>
                <w:sz w:val="20"/>
                <w:szCs w:val="20"/>
              </w:rPr>
            </w:pPr>
            <w:r w:rsidRPr="009953E4">
              <w:rPr>
                <w:rFonts w:ascii="Garamond" w:hAnsi="Garamond"/>
                <w:sz w:val="20"/>
                <w:szCs w:val="20"/>
              </w:rPr>
              <w:t>n/a</w:t>
            </w:r>
          </w:p>
        </w:tc>
        <w:tc>
          <w:tcPr>
            <w:tcW w:w="1818" w:type="dxa"/>
          </w:tcPr>
          <w:p w14:paraId="6C2F3FBA" w14:textId="206509A9" w:rsidR="00AA716C" w:rsidRPr="009953E4" w:rsidRDefault="00AA716C" w:rsidP="00AA716C">
            <w:pPr>
              <w:rPr>
                <w:rFonts w:ascii="Garamond" w:hAnsi="Garamond"/>
                <w:sz w:val="20"/>
                <w:szCs w:val="20"/>
              </w:rPr>
            </w:pPr>
            <w:r w:rsidRPr="009953E4">
              <w:rPr>
                <w:rFonts w:ascii="Garamond" w:hAnsi="Garamond"/>
                <w:sz w:val="20"/>
                <w:szCs w:val="20"/>
              </w:rPr>
              <w:t>“Measurement Period”</w:t>
            </w:r>
          </w:p>
        </w:tc>
        <w:tc>
          <w:tcPr>
            <w:tcW w:w="1310" w:type="dxa"/>
          </w:tcPr>
          <w:p w14:paraId="0C8CCB99" w14:textId="77777777" w:rsidR="00AA716C" w:rsidRPr="009953E4" w:rsidRDefault="00AA716C" w:rsidP="00AA716C">
            <w:pPr>
              <w:rPr>
                <w:rFonts w:ascii="Garamond" w:hAnsi="Garamond"/>
                <w:sz w:val="20"/>
                <w:szCs w:val="20"/>
              </w:rPr>
            </w:pPr>
          </w:p>
        </w:tc>
      </w:tr>
      <w:tr w:rsidR="00306C49" w:rsidRPr="009953E4" w14:paraId="78164E23" w14:textId="106B5306" w:rsidTr="00B36E53">
        <w:tc>
          <w:tcPr>
            <w:tcW w:w="1470" w:type="dxa"/>
          </w:tcPr>
          <w:p w14:paraId="3162E0AC" w14:textId="77777777" w:rsidR="00AA716C" w:rsidRPr="009953E4" w:rsidRDefault="00AA716C" w:rsidP="00AA716C">
            <w:pPr>
              <w:rPr>
                <w:rFonts w:ascii="Garamond" w:hAnsi="Garamond"/>
                <w:sz w:val="20"/>
                <w:szCs w:val="20"/>
              </w:rPr>
            </w:pPr>
          </w:p>
        </w:tc>
        <w:tc>
          <w:tcPr>
            <w:tcW w:w="1283" w:type="dxa"/>
          </w:tcPr>
          <w:p w14:paraId="3951E846" w14:textId="65B5209D" w:rsidR="00AA716C" w:rsidRPr="009953E4" w:rsidRDefault="00AA716C" w:rsidP="00AA716C">
            <w:pPr>
              <w:rPr>
                <w:rFonts w:ascii="Garamond" w:hAnsi="Garamond"/>
                <w:sz w:val="20"/>
                <w:szCs w:val="20"/>
              </w:rPr>
            </w:pPr>
            <w:r w:rsidRPr="009953E4">
              <w:rPr>
                <w:rFonts w:ascii="Garamond" w:hAnsi="Garamond"/>
                <w:sz w:val="20"/>
                <w:szCs w:val="20"/>
              </w:rPr>
              <w:t>Diagnosis</w:t>
            </w:r>
          </w:p>
        </w:tc>
        <w:tc>
          <w:tcPr>
            <w:tcW w:w="3506" w:type="dxa"/>
          </w:tcPr>
          <w:p w14:paraId="6DC0A676" w14:textId="77777777" w:rsidR="00AA716C" w:rsidRPr="009953E4" w:rsidRDefault="00AA716C" w:rsidP="00AA716C">
            <w:pPr>
              <w:rPr>
                <w:rFonts w:ascii="Garamond" w:hAnsi="Garamond"/>
                <w:sz w:val="20"/>
                <w:szCs w:val="20"/>
              </w:rPr>
            </w:pPr>
            <w:r w:rsidRPr="009953E4">
              <w:rPr>
                <w:rFonts w:ascii="Garamond" w:hAnsi="Garamond"/>
                <w:sz w:val="20"/>
                <w:szCs w:val="20"/>
              </w:rPr>
              <w:t>Options:</w:t>
            </w:r>
          </w:p>
          <w:p w14:paraId="5A07EA69" w14:textId="4454617E" w:rsidR="00AA716C" w:rsidRPr="009953E4" w:rsidRDefault="00AA716C" w:rsidP="00AA716C">
            <w:pPr>
              <w:pStyle w:val="ListParagraph"/>
              <w:ind w:left="40"/>
              <w:rPr>
                <w:rFonts w:ascii="Garamond" w:hAnsi="Garamond"/>
                <w:sz w:val="20"/>
                <w:szCs w:val="20"/>
              </w:rPr>
            </w:pPr>
            <w:r w:rsidRPr="009953E4">
              <w:rPr>
                <w:rFonts w:ascii="Garamond" w:hAnsi="Garamond"/>
                <w:sz w:val="20"/>
                <w:szCs w:val="20"/>
              </w:rPr>
              <w:t>1</w:t>
            </w:r>
            <w:r w:rsidR="009953E4" w:rsidRPr="009953E4">
              <w:rPr>
                <w:rFonts w:ascii="Garamond" w:hAnsi="Garamond"/>
                <w:sz w:val="20"/>
                <w:szCs w:val="20"/>
              </w:rPr>
              <w:t>)</w:t>
            </w:r>
            <w:r w:rsidRPr="009953E4">
              <w:rPr>
                <w:rFonts w:ascii="Garamond" w:hAnsi="Garamond"/>
                <w:sz w:val="20"/>
                <w:szCs w:val="20"/>
              </w:rPr>
              <w:t>All Cancer (NCQA)</w:t>
            </w:r>
          </w:p>
          <w:p w14:paraId="5B9C0B89" w14:textId="186BE8C5" w:rsidR="00AA716C" w:rsidRPr="009953E4" w:rsidRDefault="009953E4" w:rsidP="00AA716C">
            <w:pPr>
              <w:pStyle w:val="ListParagraph"/>
              <w:ind w:left="40"/>
              <w:rPr>
                <w:rFonts w:ascii="Garamond" w:hAnsi="Garamond"/>
                <w:sz w:val="20"/>
                <w:szCs w:val="20"/>
              </w:rPr>
            </w:pPr>
            <w:r w:rsidRPr="009953E4">
              <w:rPr>
                <w:rFonts w:ascii="Garamond" w:hAnsi="Garamond"/>
                <w:sz w:val="20"/>
                <w:szCs w:val="20"/>
              </w:rPr>
              <w:t>2.16.840.1.113883.3.464.1003.108.12.1011 (ICD9, ICD10, SNOMEDCT)</w:t>
            </w:r>
          </w:p>
          <w:p w14:paraId="7ECD9C76" w14:textId="50872BA5" w:rsidR="009953E4" w:rsidRPr="009953E4" w:rsidRDefault="009953E4" w:rsidP="00AA716C">
            <w:pPr>
              <w:pStyle w:val="ListParagraph"/>
              <w:ind w:left="40"/>
              <w:rPr>
                <w:rFonts w:ascii="Garamond" w:hAnsi="Garamond"/>
                <w:sz w:val="20"/>
                <w:szCs w:val="20"/>
              </w:rPr>
            </w:pPr>
            <w:r w:rsidRPr="009953E4">
              <w:rPr>
                <w:rFonts w:ascii="Garamond" w:hAnsi="Garamond"/>
                <w:sz w:val="20"/>
                <w:szCs w:val="20"/>
              </w:rPr>
              <w:t>2)Cancer (PCPI)</w:t>
            </w:r>
          </w:p>
          <w:p w14:paraId="6CA228D0" w14:textId="6353A770" w:rsidR="009953E4" w:rsidRPr="009953E4" w:rsidRDefault="009953E4" w:rsidP="00AA716C">
            <w:pPr>
              <w:pStyle w:val="ListParagraph"/>
              <w:ind w:left="40"/>
              <w:rPr>
                <w:rFonts w:ascii="Garamond" w:hAnsi="Garamond"/>
                <w:sz w:val="20"/>
                <w:szCs w:val="20"/>
              </w:rPr>
            </w:pPr>
            <w:r w:rsidRPr="009953E4">
              <w:rPr>
                <w:rFonts w:ascii="Garamond" w:hAnsi="Garamond"/>
                <w:sz w:val="20"/>
                <w:szCs w:val="20"/>
              </w:rPr>
              <w:t>2.16.840.1.113883.3.526.3.1010 (ICD9, ICD10, SNOMEDCT)</w:t>
            </w:r>
          </w:p>
          <w:p w14:paraId="1B4B57F2" w14:textId="2845AF9C" w:rsidR="009953E4" w:rsidRPr="009953E4" w:rsidRDefault="009953E4" w:rsidP="00AA716C">
            <w:pPr>
              <w:pStyle w:val="ListParagraph"/>
              <w:ind w:left="40"/>
              <w:rPr>
                <w:rFonts w:ascii="Garamond" w:hAnsi="Garamond"/>
                <w:sz w:val="20"/>
                <w:szCs w:val="20"/>
              </w:rPr>
            </w:pPr>
            <w:r w:rsidRPr="009953E4">
              <w:rPr>
                <w:rFonts w:ascii="Garamond" w:hAnsi="Garamond"/>
                <w:sz w:val="20"/>
                <w:szCs w:val="20"/>
              </w:rPr>
              <w:t>3) Create a new ACR value set</w:t>
            </w:r>
          </w:p>
          <w:p w14:paraId="16488B57" w14:textId="2B864B6A" w:rsidR="00AA716C" w:rsidRPr="009953E4" w:rsidRDefault="00AA716C" w:rsidP="00AA716C">
            <w:pPr>
              <w:ind w:left="360"/>
              <w:rPr>
                <w:rFonts w:ascii="Garamond" w:hAnsi="Garamond"/>
                <w:sz w:val="20"/>
                <w:szCs w:val="20"/>
              </w:rPr>
            </w:pPr>
          </w:p>
        </w:tc>
        <w:tc>
          <w:tcPr>
            <w:tcW w:w="1403" w:type="dxa"/>
          </w:tcPr>
          <w:p w14:paraId="79D82032" w14:textId="27536642" w:rsidR="00AA716C" w:rsidRPr="009953E4" w:rsidRDefault="009953E4" w:rsidP="00AA716C">
            <w:pPr>
              <w:rPr>
                <w:rFonts w:ascii="Garamond" w:hAnsi="Garamond"/>
                <w:sz w:val="20"/>
                <w:szCs w:val="20"/>
              </w:rPr>
            </w:pPr>
            <w:r w:rsidRPr="009953E4">
              <w:rPr>
                <w:rFonts w:ascii="Garamond" w:hAnsi="Garamond"/>
                <w:sz w:val="20"/>
                <w:szCs w:val="20"/>
              </w:rPr>
              <w:t>See prior column</w:t>
            </w:r>
          </w:p>
        </w:tc>
        <w:tc>
          <w:tcPr>
            <w:tcW w:w="1818" w:type="dxa"/>
          </w:tcPr>
          <w:p w14:paraId="5B4C139C" w14:textId="1CD18642" w:rsidR="00AA716C" w:rsidRPr="009953E4" w:rsidRDefault="00306C49" w:rsidP="00AA716C">
            <w:pPr>
              <w:rPr>
                <w:rFonts w:ascii="Garamond" w:hAnsi="Garamond"/>
                <w:sz w:val="20"/>
                <w:szCs w:val="20"/>
              </w:rPr>
            </w:pPr>
            <w:r w:rsidRPr="00306C49">
              <w:rPr>
                <w:rFonts w:ascii="Garamond" w:hAnsi="Garamond"/>
                <w:sz w:val="20"/>
                <w:szCs w:val="20"/>
              </w:rPr>
              <w:t>["Diagnosis": "All Cancer"]</w:t>
            </w:r>
          </w:p>
        </w:tc>
        <w:tc>
          <w:tcPr>
            <w:tcW w:w="1310" w:type="dxa"/>
          </w:tcPr>
          <w:p w14:paraId="005CC7A1" w14:textId="45D1EB20" w:rsidR="00AA716C" w:rsidRPr="009953E4" w:rsidRDefault="009953E4" w:rsidP="00AA716C">
            <w:pPr>
              <w:rPr>
                <w:rFonts w:ascii="Garamond" w:hAnsi="Garamond"/>
                <w:sz w:val="20"/>
                <w:szCs w:val="20"/>
              </w:rPr>
            </w:pPr>
            <w:r>
              <w:rPr>
                <w:rFonts w:ascii="Garamond" w:hAnsi="Garamond"/>
                <w:sz w:val="20"/>
                <w:szCs w:val="20"/>
              </w:rPr>
              <w:t>Any cancer diagnos</w:t>
            </w:r>
            <w:r w:rsidR="00306C49">
              <w:rPr>
                <w:rFonts w:ascii="Garamond" w:hAnsi="Garamond"/>
                <w:sz w:val="20"/>
                <w:szCs w:val="20"/>
              </w:rPr>
              <w:t xml:space="preserve">es in NCQA and PCPI value sets.  Because this measure is now </w:t>
            </w:r>
            <w:proofErr w:type="gramStart"/>
            <w:r w:rsidR="00306C49">
              <w:rPr>
                <w:rFonts w:ascii="Garamond" w:hAnsi="Garamond"/>
                <w:sz w:val="20"/>
                <w:szCs w:val="20"/>
              </w:rPr>
              <w:t>Non CNS</w:t>
            </w:r>
            <w:proofErr w:type="gramEnd"/>
            <w:r w:rsidR="00306C49">
              <w:rPr>
                <w:rFonts w:ascii="Garamond" w:hAnsi="Garamond"/>
                <w:sz w:val="20"/>
                <w:szCs w:val="20"/>
              </w:rPr>
              <w:t xml:space="preserve"> would probably need to create a new value set.</w:t>
            </w:r>
          </w:p>
        </w:tc>
      </w:tr>
      <w:tr w:rsidR="00306C49" w:rsidRPr="009953E4" w14:paraId="5EA0BD75" w14:textId="77777777" w:rsidTr="00B36E53">
        <w:tc>
          <w:tcPr>
            <w:tcW w:w="1470" w:type="dxa"/>
          </w:tcPr>
          <w:p w14:paraId="2E95EADE" w14:textId="77777777" w:rsidR="00AA716C" w:rsidRPr="009953E4" w:rsidRDefault="00AA716C" w:rsidP="00AA716C">
            <w:pPr>
              <w:rPr>
                <w:rFonts w:ascii="Garamond" w:hAnsi="Garamond"/>
                <w:sz w:val="20"/>
                <w:szCs w:val="20"/>
              </w:rPr>
            </w:pPr>
          </w:p>
        </w:tc>
        <w:tc>
          <w:tcPr>
            <w:tcW w:w="1283" w:type="dxa"/>
          </w:tcPr>
          <w:p w14:paraId="486018B2" w14:textId="528D0173" w:rsidR="00AA716C" w:rsidRPr="009953E4" w:rsidRDefault="00306C49" w:rsidP="00AA716C">
            <w:pPr>
              <w:rPr>
                <w:rFonts w:ascii="Garamond" w:hAnsi="Garamond"/>
                <w:sz w:val="20"/>
                <w:szCs w:val="20"/>
              </w:rPr>
            </w:pPr>
            <w:r>
              <w:rPr>
                <w:rFonts w:ascii="Garamond" w:hAnsi="Garamond"/>
                <w:sz w:val="20"/>
                <w:szCs w:val="20"/>
              </w:rPr>
              <w:t>Diagnostic study, Performed</w:t>
            </w:r>
          </w:p>
        </w:tc>
        <w:tc>
          <w:tcPr>
            <w:tcW w:w="3506" w:type="dxa"/>
          </w:tcPr>
          <w:p w14:paraId="56C2AC1F" w14:textId="77777777" w:rsidR="00AA716C" w:rsidRDefault="009953E4" w:rsidP="00AA716C">
            <w:pPr>
              <w:rPr>
                <w:rFonts w:ascii="Garamond" w:hAnsi="Garamond"/>
                <w:sz w:val="20"/>
                <w:szCs w:val="20"/>
              </w:rPr>
            </w:pPr>
            <w:r>
              <w:rPr>
                <w:rFonts w:ascii="Garamond" w:hAnsi="Garamond"/>
                <w:sz w:val="20"/>
                <w:szCs w:val="20"/>
              </w:rPr>
              <w:t>FDG PET Scan Group</w:t>
            </w:r>
          </w:p>
          <w:p w14:paraId="29A03A89" w14:textId="2354617E" w:rsidR="009953E4" w:rsidRPr="009953E4" w:rsidRDefault="009953E4" w:rsidP="00AA716C">
            <w:pPr>
              <w:rPr>
                <w:rFonts w:ascii="Garamond" w:hAnsi="Garamond"/>
                <w:sz w:val="20"/>
                <w:szCs w:val="20"/>
              </w:rPr>
            </w:pPr>
            <w:r>
              <w:rPr>
                <w:rFonts w:ascii="Garamond" w:hAnsi="Garamond"/>
                <w:sz w:val="20"/>
                <w:szCs w:val="20"/>
              </w:rPr>
              <w:t>2.16.840.1.113762.1.4.1120.239</w:t>
            </w:r>
          </w:p>
        </w:tc>
        <w:tc>
          <w:tcPr>
            <w:tcW w:w="1403" w:type="dxa"/>
          </w:tcPr>
          <w:p w14:paraId="0A942BFE" w14:textId="77777777" w:rsidR="00AA716C" w:rsidRDefault="009953E4" w:rsidP="00AA716C">
            <w:pPr>
              <w:rPr>
                <w:rFonts w:ascii="Garamond" w:hAnsi="Garamond"/>
                <w:sz w:val="20"/>
                <w:szCs w:val="20"/>
              </w:rPr>
            </w:pPr>
            <w:r>
              <w:rPr>
                <w:rFonts w:ascii="Garamond" w:hAnsi="Garamond"/>
                <w:sz w:val="20"/>
                <w:szCs w:val="20"/>
              </w:rPr>
              <w:t>Group</w:t>
            </w:r>
          </w:p>
          <w:p w14:paraId="7D133AFC" w14:textId="77777777" w:rsidR="009953E4" w:rsidRDefault="009953E4" w:rsidP="00AA716C">
            <w:pPr>
              <w:rPr>
                <w:rFonts w:ascii="Garamond" w:hAnsi="Garamond"/>
                <w:sz w:val="20"/>
                <w:szCs w:val="20"/>
              </w:rPr>
            </w:pPr>
            <w:r>
              <w:rPr>
                <w:rFonts w:ascii="Garamond" w:hAnsi="Garamond"/>
                <w:sz w:val="20"/>
                <w:szCs w:val="20"/>
              </w:rPr>
              <w:t>LOINC</w:t>
            </w:r>
          </w:p>
          <w:p w14:paraId="02F25365" w14:textId="798F229E" w:rsidR="009953E4" w:rsidRPr="009953E4" w:rsidRDefault="009953E4" w:rsidP="00AA716C">
            <w:pPr>
              <w:rPr>
                <w:rFonts w:ascii="Garamond" w:hAnsi="Garamond"/>
                <w:sz w:val="20"/>
                <w:szCs w:val="20"/>
              </w:rPr>
            </w:pPr>
            <w:r>
              <w:rPr>
                <w:rFonts w:ascii="Garamond" w:hAnsi="Garamond"/>
                <w:sz w:val="20"/>
                <w:szCs w:val="20"/>
              </w:rPr>
              <w:t>SNOMEDCT</w:t>
            </w:r>
          </w:p>
        </w:tc>
        <w:tc>
          <w:tcPr>
            <w:tcW w:w="1818" w:type="dxa"/>
          </w:tcPr>
          <w:p w14:paraId="2575F0F5" w14:textId="607390BE" w:rsidR="00AA716C" w:rsidRPr="009953E4" w:rsidRDefault="009953E4" w:rsidP="00AA716C">
            <w:pPr>
              <w:rPr>
                <w:rFonts w:ascii="Garamond" w:hAnsi="Garamond"/>
                <w:sz w:val="20"/>
                <w:szCs w:val="20"/>
              </w:rPr>
            </w:pPr>
            <w:r w:rsidRPr="009953E4">
              <w:rPr>
                <w:rFonts w:ascii="Garamond" w:hAnsi="Garamond"/>
                <w:sz w:val="20"/>
                <w:szCs w:val="20"/>
              </w:rPr>
              <w:t>["Diagnostic Study, Performed": "FDG PET Scan Group"]</w:t>
            </w:r>
          </w:p>
        </w:tc>
        <w:tc>
          <w:tcPr>
            <w:tcW w:w="1310" w:type="dxa"/>
          </w:tcPr>
          <w:p w14:paraId="38A9A160" w14:textId="557CDEBE" w:rsidR="00AA716C" w:rsidRPr="009953E4" w:rsidRDefault="00306C49" w:rsidP="00AA716C">
            <w:pPr>
              <w:rPr>
                <w:rFonts w:ascii="Garamond" w:hAnsi="Garamond"/>
                <w:sz w:val="20"/>
                <w:szCs w:val="20"/>
              </w:rPr>
            </w:pPr>
            <w:r>
              <w:rPr>
                <w:rFonts w:ascii="Garamond" w:hAnsi="Garamond"/>
                <w:sz w:val="20"/>
                <w:szCs w:val="20"/>
              </w:rPr>
              <w:t>During the measurement period</w:t>
            </w:r>
          </w:p>
        </w:tc>
      </w:tr>
      <w:tr w:rsidR="00306C49" w:rsidRPr="009953E4" w14:paraId="4D78F8A9" w14:textId="026312AE" w:rsidTr="00B36E53">
        <w:tc>
          <w:tcPr>
            <w:tcW w:w="1470" w:type="dxa"/>
          </w:tcPr>
          <w:p w14:paraId="0AC08423" w14:textId="77777777" w:rsidR="00AA716C" w:rsidRPr="009953E4" w:rsidRDefault="00AA716C" w:rsidP="00AA716C">
            <w:pPr>
              <w:rPr>
                <w:rFonts w:ascii="Garamond" w:hAnsi="Garamond"/>
                <w:sz w:val="20"/>
                <w:szCs w:val="20"/>
              </w:rPr>
            </w:pPr>
          </w:p>
        </w:tc>
        <w:tc>
          <w:tcPr>
            <w:tcW w:w="1283" w:type="dxa"/>
          </w:tcPr>
          <w:p w14:paraId="1699EA17" w14:textId="2DA8E80A" w:rsidR="00AA716C" w:rsidRPr="009953E4" w:rsidRDefault="00AA716C" w:rsidP="00AA716C">
            <w:pPr>
              <w:rPr>
                <w:rFonts w:ascii="Garamond" w:hAnsi="Garamond"/>
                <w:sz w:val="20"/>
                <w:szCs w:val="20"/>
              </w:rPr>
            </w:pPr>
            <w:r w:rsidRPr="009953E4">
              <w:rPr>
                <w:rFonts w:ascii="Garamond" w:hAnsi="Garamond"/>
                <w:sz w:val="20"/>
                <w:szCs w:val="20"/>
              </w:rPr>
              <w:t>Attribute: Status</w:t>
            </w:r>
          </w:p>
        </w:tc>
        <w:tc>
          <w:tcPr>
            <w:tcW w:w="3506" w:type="dxa"/>
          </w:tcPr>
          <w:p w14:paraId="5F04105F" w14:textId="77777777" w:rsidR="00AA716C" w:rsidRPr="009953E4" w:rsidRDefault="00AA716C" w:rsidP="00AA716C">
            <w:pPr>
              <w:rPr>
                <w:rFonts w:ascii="Garamond" w:hAnsi="Garamond"/>
                <w:sz w:val="20"/>
                <w:szCs w:val="20"/>
              </w:rPr>
            </w:pPr>
            <w:r w:rsidRPr="009953E4">
              <w:rPr>
                <w:rFonts w:ascii="Garamond" w:hAnsi="Garamond"/>
                <w:sz w:val="20"/>
                <w:szCs w:val="20"/>
              </w:rPr>
              <w:t>Final Radiology reports</w:t>
            </w:r>
          </w:p>
          <w:p w14:paraId="29B630C0" w14:textId="102E4A4B" w:rsidR="00AA716C" w:rsidRPr="009953E4" w:rsidRDefault="00AA716C" w:rsidP="00AA716C">
            <w:pPr>
              <w:rPr>
                <w:rFonts w:ascii="Garamond" w:hAnsi="Garamond"/>
                <w:sz w:val="20"/>
                <w:szCs w:val="20"/>
              </w:rPr>
            </w:pPr>
            <w:r w:rsidRPr="009953E4">
              <w:rPr>
                <w:rFonts w:ascii="Garamond" w:hAnsi="Garamond"/>
                <w:sz w:val="20"/>
                <w:szCs w:val="20"/>
              </w:rPr>
              <w:t>2.16.840.1.113762.1.4.1120.4 (draft)</w:t>
            </w:r>
          </w:p>
        </w:tc>
        <w:tc>
          <w:tcPr>
            <w:tcW w:w="1403" w:type="dxa"/>
          </w:tcPr>
          <w:p w14:paraId="6739E7FC" w14:textId="77777777" w:rsidR="00AA716C" w:rsidRPr="009953E4" w:rsidRDefault="00AA716C" w:rsidP="00AA716C">
            <w:pPr>
              <w:rPr>
                <w:rFonts w:ascii="Garamond" w:hAnsi="Garamond"/>
                <w:sz w:val="20"/>
                <w:szCs w:val="20"/>
              </w:rPr>
            </w:pPr>
            <w:r w:rsidRPr="009953E4">
              <w:rPr>
                <w:rFonts w:ascii="Garamond" w:hAnsi="Garamond"/>
                <w:sz w:val="20"/>
                <w:szCs w:val="20"/>
              </w:rPr>
              <w:t>Group</w:t>
            </w:r>
          </w:p>
          <w:p w14:paraId="1395304D" w14:textId="5AD47775" w:rsidR="00AA716C" w:rsidRPr="009953E4" w:rsidRDefault="00AA716C" w:rsidP="00AA716C">
            <w:pPr>
              <w:rPr>
                <w:rFonts w:ascii="Garamond" w:hAnsi="Garamond"/>
                <w:sz w:val="20"/>
                <w:szCs w:val="20"/>
              </w:rPr>
            </w:pPr>
            <w:r w:rsidRPr="009953E4">
              <w:rPr>
                <w:rFonts w:ascii="Garamond" w:hAnsi="Garamond"/>
                <w:sz w:val="20"/>
                <w:szCs w:val="20"/>
              </w:rPr>
              <w:t>SNOMEDCT</w:t>
            </w:r>
          </w:p>
        </w:tc>
        <w:tc>
          <w:tcPr>
            <w:tcW w:w="1818" w:type="dxa"/>
          </w:tcPr>
          <w:p w14:paraId="5FCF576E" w14:textId="4D36B35C" w:rsidR="00AA716C" w:rsidRPr="009953E4" w:rsidRDefault="009953E4" w:rsidP="00AA716C">
            <w:pPr>
              <w:rPr>
                <w:rFonts w:ascii="Garamond" w:hAnsi="Garamond"/>
                <w:sz w:val="20"/>
                <w:szCs w:val="20"/>
              </w:rPr>
            </w:pPr>
            <w:proofErr w:type="gramStart"/>
            <w:r w:rsidRPr="009953E4">
              <w:rPr>
                <w:rFonts w:ascii="Garamond" w:hAnsi="Garamond"/>
                <w:sz w:val="20"/>
                <w:szCs w:val="20"/>
              </w:rPr>
              <w:t>.result</w:t>
            </w:r>
            <w:proofErr w:type="gramEnd"/>
            <w:r w:rsidRPr="009953E4">
              <w:rPr>
                <w:rFonts w:ascii="Garamond" w:hAnsi="Garamond"/>
                <w:sz w:val="20"/>
                <w:szCs w:val="20"/>
              </w:rPr>
              <w:t xml:space="preserve"> as Code in "Radiology Final Report"</w:t>
            </w:r>
          </w:p>
        </w:tc>
        <w:tc>
          <w:tcPr>
            <w:tcW w:w="1310" w:type="dxa"/>
          </w:tcPr>
          <w:p w14:paraId="2DD0509D" w14:textId="103262B4" w:rsidR="00AA716C" w:rsidRPr="009953E4" w:rsidRDefault="00306C49" w:rsidP="00AA716C">
            <w:pPr>
              <w:rPr>
                <w:rFonts w:ascii="Garamond" w:hAnsi="Garamond"/>
                <w:sz w:val="20"/>
                <w:szCs w:val="20"/>
              </w:rPr>
            </w:pPr>
            <w:r>
              <w:rPr>
                <w:rFonts w:ascii="Garamond" w:hAnsi="Garamond"/>
                <w:sz w:val="20"/>
                <w:szCs w:val="20"/>
              </w:rPr>
              <w:t>During the measurement period</w:t>
            </w:r>
          </w:p>
        </w:tc>
      </w:tr>
      <w:tr w:rsidR="00306C49" w:rsidRPr="009953E4" w14:paraId="74EC25A7" w14:textId="77777777" w:rsidTr="00B36E53">
        <w:tc>
          <w:tcPr>
            <w:tcW w:w="1470" w:type="dxa"/>
            <w:shd w:val="clear" w:color="auto" w:fill="0070C0"/>
          </w:tcPr>
          <w:p w14:paraId="5B564C80" w14:textId="77777777" w:rsidR="00306C49" w:rsidRPr="009953E4" w:rsidRDefault="00306C49" w:rsidP="00AA716C">
            <w:pPr>
              <w:rPr>
                <w:rFonts w:ascii="Garamond" w:hAnsi="Garamond"/>
                <w:sz w:val="20"/>
                <w:szCs w:val="20"/>
              </w:rPr>
            </w:pPr>
          </w:p>
        </w:tc>
        <w:tc>
          <w:tcPr>
            <w:tcW w:w="1283" w:type="dxa"/>
            <w:shd w:val="clear" w:color="auto" w:fill="0070C0"/>
          </w:tcPr>
          <w:p w14:paraId="18C1B5E0" w14:textId="77777777" w:rsidR="00306C49" w:rsidRPr="009953E4" w:rsidRDefault="00306C49" w:rsidP="00AA716C">
            <w:pPr>
              <w:rPr>
                <w:rFonts w:ascii="Garamond" w:hAnsi="Garamond"/>
                <w:sz w:val="20"/>
                <w:szCs w:val="20"/>
              </w:rPr>
            </w:pPr>
          </w:p>
        </w:tc>
        <w:tc>
          <w:tcPr>
            <w:tcW w:w="3506" w:type="dxa"/>
            <w:shd w:val="clear" w:color="auto" w:fill="0070C0"/>
          </w:tcPr>
          <w:p w14:paraId="5A6B1104" w14:textId="77777777" w:rsidR="00306C49" w:rsidRPr="009953E4" w:rsidRDefault="00306C49" w:rsidP="00AA716C">
            <w:pPr>
              <w:rPr>
                <w:rFonts w:ascii="Garamond" w:hAnsi="Garamond"/>
                <w:sz w:val="20"/>
                <w:szCs w:val="20"/>
              </w:rPr>
            </w:pPr>
          </w:p>
        </w:tc>
        <w:tc>
          <w:tcPr>
            <w:tcW w:w="1403" w:type="dxa"/>
            <w:shd w:val="clear" w:color="auto" w:fill="0070C0"/>
          </w:tcPr>
          <w:p w14:paraId="58789A99" w14:textId="77777777" w:rsidR="00306C49" w:rsidRPr="009953E4" w:rsidRDefault="00306C49" w:rsidP="00AA716C">
            <w:pPr>
              <w:rPr>
                <w:rFonts w:ascii="Garamond" w:hAnsi="Garamond"/>
                <w:sz w:val="20"/>
                <w:szCs w:val="20"/>
              </w:rPr>
            </w:pPr>
          </w:p>
        </w:tc>
        <w:tc>
          <w:tcPr>
            <w:tcW w:w="1818" w:type="dxa"/>
            <w:shd w:val="clear" w:color="auto" w:fill="0070C0"/>
          </w:tcPr>
          <w:p w14:paraId="25CFB8C0" w14:textId="77777777" w:rsidR="00306C49" w:rsidRPr="009953E4" w:rsidRDefault="00306C49" w:rsidP="00AA716C">
            <w:pPr>
              <w:rPr>
                <w:rFonts w:ascii="Garamond" w:hAnsi="Garamond"/>
                <w:sz w:val="20"/>
                <w:szCs w:val="20"/>
              </w:rPr>
            </w:pPr>
          </w:p>
        </w:tc>
        <w:tc>
          <w:tcPr>
            <w:tcW w:w="1310" w:type="dxa"/>
            <w:shd w:val="clear" w:color="auto" w:fill="0070C0"/>
          </w:tcPr>
          <w:p w14:paraId="2CEF5712" w14:textId="77777777" w:rsidR="00306C49" w:rsidRDefault="00306C49" w:rsidP="00AA716C">
            <w:pPr>
              <w:rPr>
                <w:rFonts w:ascii="Garamond" w:hAnsi="Garamond"/>
                <w:sz w:val="20"/>
                <w:szCs w:val="20"/>
              </w:rPr>
            </w:pPr>
          </w:p>
        </w:tc>
      </w:tr>
      <w:tr w:rsidR="00306C49" w:rsidRPr="009953E4" w14:paraId="56EB795E" w14:textId="77777777" w:rsidTr="00B36E53">
        <w:tc>
          <w:tcPr>
            <w:tcW w:w="1470" w:type="dxa"/>
          </w:tcPr>
          <w:p w14:paraId="68C61D87" w14:textId="2FDBC9DC" w:rsidR="00306C49" w:rsidRPr="009953E4" w:rsidRDefault="00306C49" w:rsidP="00AA716C">
            <w:pPr>
              <w:rPr>
                <w:rFonts w:ascii="Garamond" w:hAnsi="Garamond"/>
                <w:sz w:val="20"/>
                <w:szCs w:val="20"/>
              </w:rPr>
            </w:pPr>
            <w:r>
              <w:rPr>
                <w:rFonts w:ascii="Garamond" w:hAnsi="Garamond"/>
                <w:sz w:val="20"/>
                <w:szCs w:val="20"/>
              </w:rPr>
              <w:t>Denominator</w:t>
            </w:r>
          </w:p>
        </w:tc>
        <w:tc>
          <w:tcPr>
            <w:tcW w:w="1283" w:type="dxa"/>
          </w:tcPr>
          <w:p w14:paraId="1367B018" w14:textId="41051FEC" w:rsidR="00306C49" w:rsidRPr="009953E4" w:rsidRDefault="00306C49" w:rsidP="00AA716C">
            <w:pPr>
              <w:rPr>
                <w:rFonts w:ascii="Garamond" w:hAnsi="Garamond"/>
                <w:sz w:val="20"/>
                <w:szCs w:val="20"/>
              </w:rPr>
            </w:pPr>
            <w:r>
              <w:rPr>
                <w:rFonts w:ascii="Garamond" w:hAnsi="Garamond"/>
                <w:sz w:val="20"/>
                <w:szCs w:val="20"/>
              </w:rPr>
              <w:t>Equals Initial Population</w:t>
            </w:r>
          </w:p>
        </w:tc>
        <w:tc>
          <w:tcPr>
            <w:tcW w:w="3506" w:type="dxa"/>
          </w:tcPr>
          <w:p w14:paraId="0BDB395A" w14:textId="77777777" w:rsidR="00306C49" w:rsidRPr="009953E4" w:rsidRDefault="00306C49" w:rsidP="00AA716C">
            <w:pPr>
              <w:rPr>
                <w:rFonts w:ascii="Garamond" w:hAnsi="Garamond"/>
                <w:sz w:val="20"/>
                <w:szCs w:val="20"/>
              </w:rPr>
            </w:pPr>
          </w:p>
        </w:tc>
        <w:tc>
          <w:tcPr>
            <w:tcW w:w="1403" w:type="dxa"/>
          </w:tcPr>
          <w:p w14:paraId="7433E0BF" w14:textId="77777777" w:rsidR="00306C49" w:rsidRPr="009953E4" w:rsidRDefault="00306C49" w:rsidP="00AA716C">
            <w:pPr>
              <w:rPr>
                <w:rFonts w:ascii="Garamond" w:hAnsi="Garamond"/>
                <w:sz w:val="20"/>
                <w:szCs w:val="20"/>
              </w:rPr>
            </w:pPr>
          </w:p>
        </w:tc>
        <w:tc>
          <w:tcPr>
            <w:tcW w:w="1818" w:type="dxa"/>
          </w:tcPr>
          <w:p w14:paraId="0542024A" w14:textId="77777777" w:rsidR="00306C49" w:rsidRPr="009953E4" w:rsidRDefault="00306C49" w:rsidP="00AA716C">
            <w:pPr>
              <w:rPr>
                <w:rFonts w:ascii="Garamond" w:hAnsi="Garamond"/>
                <w:sz w:val="20"/>
                <w:szCs w:val="20"/>
              </w:rPr>
            </w:pPr>
          </w:p>
        </w:tc>
        <w:tc>
          <w:tcPr>
            <w:tcW w:w="1310" w:type="dxa"/>
          </w:tcPr>
          <w:p w14:paraId="505E90F2" w14:textId="77777777" w:rsidR="00306C49" w:rsidRDefault="00306C49" w:rsidP="00AA716C">
            <w:pPr>
              <w:rPr>
                <w:rFonts w:ascii="Garamond" w:hAnsi="Garamond"/>
                <w:sz w:val="20"/>
                <w:szCs w:val="20"/>
              </w:rPr>
            </w:pPr>
          </w:p>
        </w:tc>
      </w:tr>
      <w:tr w:rsidR="00306C49" w:rsidRPr="009953E4" w14:paraId="3DB32B6A" w14:textId="77777777" w:rsidTr="00B36E53">
        <w:tc>
          <w:tcPr>
            <w:tcW w:w="1470" w:type="dxa"/>
            <w:shd w:val="clear" w:color="auto" w:fill="0070C0"/>
          </w:tcPr>
          <w:p w14:paraId="14F4111E" w14:textId="77777777" w:rsidR="00306C49" w:rsidRDefault="00306C49" w:rsidP="00AA716C">
            <w:pPr>
              <w:rPr>
                <w:rFonts w:ascii="Garamond" w:hAnsi="Garamond"/>
                <w:sz w:val="20"/>
                <w:szCs w:val="20"/>
              </w:rPr>
            </w:pPr>
          </w:p>
        </w:tc>
        <w:tc>
          <w:tcPr>
            <w:tcW w:w="1283" w:type="dxa"/>
            <w:shd w:val="clear" w:color="auto" w:fill="0070C0"/>
          </w:tcPr>
          <w:p w14:paraId="72415B1A" w14:textId="77777777" w:rsidR="00306C49" w:rsidRDefault="00306C49" w:rsidP="00AA716C">
            <w:pPr>
              <w:rPr>
                <w:rFonts w:ascii="Garamond" w:hAnsi="Garamond"/>
                <w:sz w:val="20"/>
                <w:szCs w:val="20"/>
              </w:rPr>
            </w:pPr>
          </w:p>
        </w:tc>
        <w:tc>
          <w:tcPr>
            <w:tcW w:w="3506" w:type="dxa"/>
            <w:shd w:val="clear" w:color="auto" w:fill="0070C0"/>
          </w:tcPr>
          <w:p w14:paraId="5050DEEB" w14:textId="77777777" w:rsidR="00306C49" w:rsidRPr="009953E4" w:rsidRDefault="00306C49" w:rsidP="00AA716C">
            <w:pPr>
              <w:rPr>
                <w:rFonts w:ascii="Garamond" w:hAnsi="Garamond"/>
                <w:sz w:val="20"/>
                <w:szCs w:val="20"/>
              </w:rPr>
            </w:pPr>
          </w:p>
        </w:tc>
        <w:tc>
          <w:tcPr>
            <w:tcW w:w="1403" w:type="dxa"/>
            <w:shd w:val="clear" w:color="auto" w:fill="0070C0"/>
          </w:tcPr>
          <w:p w14:paraId="4984BB8E" w14:textId="77777777" w:rsidR="00306C49" w:rsidRPr="009953E4" w:rsidRDefault="00306C49" w:rsidP="00AA716C">
            <w:pPr>
              <w:rPr>
                <w:rFonts w:ascii="Garamond" w:hAnsi="Garamond"/>
                <w:sz w:val="20"/>
                <w:szCs w:val="20"/>
              </w:rPr>
            </w:pPr>
          </w:p>
        </w:tc>
        <w:tc>
          <w:tcPr>
            <w:tcW w:w="1818" w:type="dxa"/>
            <w:shd w:val="clear" w:color="auto" w:fill="0070C0"/>
          </w:tcPr>
          <w:p w14:paraId="041C1CCB" w14:textId="77777777" w:rsidR="00306C49" w:rsidRPr="009953E4" w:rsidRDefault="00306C49" w:rsidP="00AA716C">
            <w:pPr>
              <w:rPr>
                <w:rFonts w:ascii="Garamond" w:hAnsi="Garamond"/>
                <w:sz w:val="20"/>
                <w:szCs w:val="20"/>
              </w:rPr>
            </w:pPr>
          </w:p>
        </w:tc>
        <w:tc>
          <w:tcPr>
            <w:tcW w:w="1310" w:type="dxa"/>
            <w:shd w:val="clear" w:color="auto" w:fill="0070C0"/>
          </w:tcPr>
          <w:p w14:paraId="458941EE" w14:textId="77777777" w:rsidR="00306C49" w:rsidRDefault="00306C49" w:rsidP="00AA716C">
            <w:pPr>
              <w:rPr>
                <w:rFonts w:ascii="Garamond" w:hAnsi="Garamond"/>
                <w:sz w:val="20"/>
                <w:szCs w:val="20"/>
              </w:rPr>
            </w:pPr>
          </w:p>
        </w:tc>
      </w:tr>
      <w:tr w:rsidR="00306C49" w:rsidRPr="009953E4" w14:paraId="2760762C" w14:textId="77777777" w:rsidTr="00B36E53">
        <w:tc>
          <w:tcPr>
            <w:tcW w:w="1470" w:type="dxa"/>
          </w:tcPr>
          <w:p w14:paraId="41ACDC57" w14:textId="56950C1B" w:rsidR="00306C49" w:rsidRDefault="00306C49" w:rsidP="00AA716C">
            <w:pPr>
              <w:rPr>
                <w:rFonts w:ascii="Garamond" w:hAnsi="Garamond"/>
                <w:sz w:val="20"/>
                <w:szCs w:val="20"/>
              </w:rPr>
            </w:pPr>
            <w:r>
              <w:rPr>
                <w:rFonts w:ascii="Garamond" w:hAnsi="Garamond"/>
                <w:sz w:val="20"/>
                <w:szCs w:val="20"/>
              </w:rPr>
              <w:t>Numerator</w:t>
            </w:r>
          </w:p>
        </w:tc>
        <w:tc>
          <w:tcPr>
            <w:tcW w:w="1283" w:type="dxa"/>
          </w:tcPr>
          <w:p w14:paraId="1F8DDC8F" w14:textId="3800AE76" w:rsidR="00306C49" w:rsidRDefault="00306C49" w:rsidP="00AA716C">
            <w:pPr>
              <w:rPr>
                <w:rFonts w:ascii="Garamond" w:hAnsi="Garamond"/>
                <w:sz w:val="20"/>
                <w:szCs w:val="20"/>
              </w:rPr>
            </w:pPr>
            <w:r>
              <w:rPr>
                <w:rFonts w:ascii="Garamond" w:hAnsi="Garamond"/>
                <w:sz w:val="20"/>
                <w:szCs w:val="20"/>
              </w:rPr>
              <w:t>Laboratory Test, Performed or</w:t>
            </w:r>
          </w:p>
        </w:tc>
        <w:tc>
          <w:tcPr>
            <w:tcW w:w="3506" w:type="dxa"/>
          </w:tcPr>
          <w:p w14:paraId="487B0F99" w14:textId="77777777" w:rsidR="00306C49" w:rsidRDefault="00306C49" w:rsidP="00AA716C">
            <w:pPr>
              <w:rPr>
                <w:rFonts w:ascii="Garamond" w:hAnsi="Garamond"/>
                <w:sz w:val="20"/>
                <w:szCs w:val="20"/>
              </w:rPr>
            </w:pPr>
            <w:r>
              <w:rPr>
                <w:rFonts w:ascii="Garamond" w:hAnsi="Garamond"/>
                <w:sz w:val="20"/>
                <w:szCs w:val="20"/>
              </w:rPr>
              <w:t>Serum Glucose Group</w:t>
            </w:r>
          </w:p>
          <w:p w14:paraId="20532375" w14:textId="3A84943B" w:rsidR="00306C49" w:rsidRPr="009953E4" w:rsidRDefault="00306C49" w:rsidP="00AA716C">
            <w:pPr>
              <w:rPr>
                <w:rFonts w:ascii="Garamond" w:hAnsi="Garamond"/>
                <w:sz w:val="20"/>
                <w:szCs w:val="20"/>
              </w:rPr>
            </w:pPr>
            <w:r>
              <w:rPr>
                <w:rFonts w:ascii="Garamond" w:hAnsi="Garamond"/>
                <w:sz w:val="20"/>
                <w:szCs w:val="20"/>
              </w:rPr>
              <w:t>2.16.840.1.113762.1.4.1120.242</w:t>
            </w:r>
          </w:p>
        </w:tc>
        <w:tc>
          <w:tcPr>
            <w:tcW w:w="1403" w:type="dxa"/>
          </w:tcPr>
          <w:p w14:paraId="523F09B3" w14:textId="77777777" w:rsidR="00306C49" w:rsidRDefault="00306C49" w:rsidP="00AA716C">
            <w:pPr>
              <w:rPr>
                <w:rFonts w:ascii="Garamond" w:hAnsi="Garamond"/>
                <w:sz w:val="20"/>
                <w:szCs w:val="20"/>
              </w:rPr>
            </w:pPr>
            <w:r>
              <w:rPr>
                <w:rFonts w:ascii="Garamond" w:hAnsi="Garamond"/>
                <w:sz w:val="20"/>
                <w:szCs w:val="20"/>
              </w:rPr>
              <w:t>Group</w:t>
            </w:r>
          </w:p>
          <w:p w14:paraId="1BED80B5" w14:textId="77777777" w:rsidR="00306C49" w:rsidRDefault="00306C49" w:rsidP="00AA716C">
            <w:pPr>
              <w:rPr>
                <w:rFonts w:ascii="Garamond" w:hAnsi="Garamond"/>
                <w:sz w:val="20"/>
                <w:szCs w:val="20"/>
              </w:rPr>
            </w:pPr>
            <w:r>
              <w:rPr>
                <w:rFonts w:ascii="Garamond" w:hAnsi="Garamond"/>
                <w:sz w:val="20"/>
                <w:szCs w:val="20"/>
              </w:rPr>
              <w:t>LOINC</w:t>
            </w:r>
          </w:p>
          <w:p w14:paraId="5066E816" w14:textId="77777777" w:rsidR="00306C49" w:rsidRDefault="00306C49" w:rsidP="00AA716C">
            <w:pPr>
              <w:rPr>
                <w:rFonts w:ascii="Garamond" w:hAnsi="Garamond"/>
                <w:sz w:val="20"/>
                <w:szCs w:val="20"/>
              </w:rPr>
            </w:pPr>
            <w:r>
              <w:rPr>
                <w:rFonts w:ascii="Garamond" w:hAnsi="Garamond"/>
                <w:sz w:val="20"/>
                <w:szCs w:val="20"/>
              </w:rPr>
              <w:t>SNOMEDCT</w:t>
            </w:r>
          </w:p>
          <w:p w14:paraId="3083FA40" w14:textId="68B705D0" w:rsidR="00306C49" w:rsidRPr="009953E4" w:rsidRDefault="00306C49" w:rsidP="00AA716C">
            <w:pPr>
              <w:rPr>
                <w:rFonts w:ascii="Garamond" w:hAnsi="Garamond"/>
                <w:sz w:val="20"/>
                <w:szCs w:val="20"/>
              </w:rPr>
            </w:pPr>
          </w:p>
        </w:tc>
        <w:tc>
          <w:tcPr>
            <w:tcW w:w="1818" w:type="dxa"/>
          </w:tcPr>
          <w:p w14:paraId="52242C4F" w14:textId="48C153AD" w:rsidR="00306C49" w:rsidRPr="009953E4" w:rsidRDefault="00306C49" w:rsidP="00AA716C">
            <w:pPr>
              <w:rPr>
                <w:rFonts w:ascii="Garamond" w:hAnsi="Garamond"/>
                <w:sz w:val="20"/>
                <w:szCs w:val="20"/>
              </w:rPr>
            </w:pPr>
            <w:r w:rsidRPr="00306C49">
              <w:rPr>
                <w:rFonts w:ascii="Garamond" w:hAnsi="Garamond"/>
                <w:sz w:val="20"/>
                <w:szCs w:val="20"/>
              </w:rPr>
              <w:t>["Laboratory Test, Performed": "Serum Glucose Group"]</w:t>
            </w:r>
          </w:p>
        </w:tc>
        <w:tc>
          <w:tcPr>
            <w:tcW w:w="1310" w:type="dxa"/>
          </w:tcPr>
          <w:p w14:paraId="50C4C257" w14:textId="655661D0" w:rsidR="00306C49" w:rsidRDefault="00306C49" w:rsidP="00AA716C">
            <w:pPr>
              <w:rPr>
                <w:rFonts w:ascii="Garamond" w:hAnsi="Garamond"/>
                <w:sz w:val="20"/>
                <w:szCs w:val="20"/>
              </w:rPr>
            </w:pPr>
            <w:r>
              <w:rPr>
                <w:rFonts w:ascii="Garamond" w:hAnsi="Garamond"/>
                <w:sz w:val="20"/>
                <w:szCs w:val="20"/>
              </w:rPr>
              <w:t>During measurement period.  Because the glucose may be read by radiologist and not lab consider also “Procedure, Performed or Assessment, Performed”</w:t>
            </w:r>
          </w:p>
        </w:tc>
      </w:tr>
      <w:tr w:rsidR="00306C49" w:rsidRPr="009953E4" w14:paraId="7C5A6330" w14:textId="77777777" w:rsidTr="00B36E53">
        <w:tc>
          <w:tcPr>
            <w:tcW w:w="1470" w:type="dxa"/>
          </w:tcPr>
          <w:p w14:paraId="3E50EF57" w14:textId="77777777" w:rsidR="00306C49" w:rsidRDefault="00306C49" w:rsidP="00AA716C">
            <w:pPr>
              <w:rPr>
                <w:rFonts w:ascii="Garamond" w:hAnsi="Garamond"/>
                <w:sz w:val="20"/>
                <w:szCs w:val="20"/>
              </w:rPr>
            </w:pPr>
          </w:p>
        </w:tc>
        <w:tc>
          <w:tcPr>
            <w:tcW w:w="1283" w:type="dxa"/>
          </w:tcPr>
          <w:p w14:paraId="41FAB386" w14:textId="77777777" w:rsidR="00306C49" w:rsidRDefault="00306C49" w:rsidP="00AA716C">
            <w:pPr>
              <w:rPr>
                <w:rFonts w:ascii="Garamond" w:hAnsi="Garamond"/>
                <w:sz w:val="20"/>
                <w:szCs w:val="20"/>
              </w:rPr>
            </w:pPr>
          </w:p>
        </w:tc>
        <w:tc>
          <w:tcPr>
            <w:tcW w:w="3506" w:type="dxa"/>
          </w:tcPr>
          <w:p w14:paraId="49C5EA21" w14:textId="7FF0E5A6" w:rsidR="00306C49" w:rsidRDefault="00306C49" w:rsidP="00AA716C">
            <w:pPr>
              <w:rPr>
                <w:rFonts w:ascii="Garamond" w:hAnsi="Garamond"/>
                <w:sz w:val="20"/>
                <w:szCs w:val="20"/>
              </w:rPr>
            </w:pPr>
            <w:r w:rsidRPr="006B405A">
              <w:rPr>
                <w:rFonts w:ascii="Calibri" w:hAnsi="Calibri" w:cs="Calibri"/>
                <w:sz w:val="20"/>
                <w:szCs w:val="20"/>
              </w:rPr>
              <w:t xml:space="preserve">Uptake </w:t>
            </w:r>
            <w:proofErr w:type="gramStart"/>
            <w:r w:rsidRPr="006B405A">
              <w:rPr>
                <w:rFonts w:ascii="Calibri" w:hAnsi="Calibri" w:cs="Calibri"/>
                <w:sz w:val="20"/>
                <w:szCs w:val="20"/>
              </w:rPr>
              <w:t>time</w:t>
            </w:r>
            <w:r>
              <w:rPr>
                <w:rFonts w:ascii="Calibri" w:hAnsi="Calibri" w:cs="Calibri"/>
                <w:sz w:val="20"/>
                <w:szCs w:val="20"/>
              </w:rPr>
              <w:t xml:space="preserve">  </w:t>
            </w:r>
            <w:r w:rsidRPr="006B405A">
              <w:rPr>
                <w:rFonts w:ascii="Calibri" w:hAnsi="Calibri" w:cs="Calibri"/>
                <w:sz w:val="20"/>
                <w:szCs w:val="20"/>
              </w:rPr>
              <w:t>(</w:t>
            </w:r>
            <w:proofErr w:type="gramEnd"/>
            <w:r w:rsidRPr="006B405A">
              <w:rPr>
                <w:rFonts w:ascii="Calibri" w:hAnsi="Calibri" w:cs="Calibri"/>
                <w:sz w:val="20"/>
                <w:szCs w:val="20"/>
              </w:rPr>
              <w:t>interval from injection to initiation of imaging)</w:t>
            </w:r>
          </w:p>
        </w:tc>
        <w:tc>
          <w:tcPr>
            <w:tcW w:w="1403" w:type="dxa"/>
          </w:tcPr>
          <w:p w14:paraId="48B3D4A5" w14:textId="77777777" w:rsidR="00306C49" w:rsidRDefault="00306C49" w:rsidP="00AA716C">
            <w:pPr>
              <w:rPr>
                <w:rFonts w:ascii="Garamond" w:hAnsi="Garamond"/>
                <w:sz w:val="20"/>
                <w:szCs w:val="20"/>
              </w:rPr>
            </w:pPr>
          </w:p>
        </w:tc>
        <w:tc>
          <w:tcPr>
            <w:tcW w:w="1818" w:type="dxa"/>
          </w:tcPr>
          <w:p w14:paraId="35F1A3EB" w14:textId="46B9F2CE" w:rsidR="00306C49" w:rsidRPr="00306C49" w:rsidRDefault="00B36E53" w:rsidP="00AA716C">
            <w:pPr>
              <w:rPr>
                <w:rFonts w:ascii="Garamond" w:hAnsi="Garamond"/>
                <w:sz w:val="20"/>
                <w:szCs w:val="20"/>
              </w:rPr>
            </w:pPr>
            <w:r>
              <w:rPr>
                <w:rFonts w:ascii="Garamond" w:hAnsi="Garamond"/>
                <w:sz w:val="20"/>
                <w:szCs w:val="20"/>
              </w:rPr>
              <w:t>Logic?</w:t>
            </w:r>
          </w:p>
        </w:tc>
        <w:tc>
          <w:tcPr>
            <w:tcW w:w="1310" w:type="dxa"/>
          </w:tcPr>
          <w:p w14:paraId="122A5061" w14:textId="09493827" w:rsidR="00306C49" w:rsidRDefault="00B36E53" w:rsidP="00AA716C">
            <w:pPr>
              <w:rPr>
                <w:rFonts w:ascii="Garamond" w:hAnsi="Garamond"/>
                <w:sz w:val="20"/>
                <w:szCs w:val="20"/>
              </w:rPr>
            </w:pPr>
            <w:r>
              <w:rPr>
                <w:rFonts w:ascii="Garamond" w:hAnsi="Garamond"/>
                <w:sz w:val="20"/>
                <w:szCs w:val="20"/>
              </w:rPr>
              <w:t xml:space="preserve">Is there a </w:t>
            </w:r>
            <w:proofErr w:type="spellStart"/>
            <w:r>
              <w:rPr>
                <w:rFonts w:ascii="Garamond" w:hAnsi="Garamond"/>
                <w:sz w:val="20"/>
                <w:szCs w:val="20"/>
              </w:rPr>
              <w:t>valueset</w:t>
            </w:r>
            <w:proofErr w:type="spellEnd"/>
            <w:r>
              <w:rPr>
                <w:rFonts w:ascii="Garamond" w:hAnsi="Garamond"/>
                <w:sz w:val="20"/>
                <w:szCs w:val="20"/>
              </w:rPr>
              <w:t xml:space="preserve"> associated with this or just a question of developing the CQL logic? Not sure if this possible in eCQM to record.</w:t>
            </w:r>
          </w:p>
        </w:tc>
      </w:tr>
      <w:tr w:rsidR="00306C49" w:rsidRPr="009953E4" w14:paraId="7CA1F189" w14:textId="77777777" w:rsidTr="00B36E53">
        <w:tc>
          <w:tcPr>
            <w:tcW w:w="1470" w:type="dxa"/>
          </w:tcPr>
          <w:p w14:paraId="781E4248" w14:textId="77777777" w:rsidR="00306C49" w:rsidRDefault="00306C49" w:rsidP="00AA716C">
            <w:pPr>
              <w:rPr>
                <w:rFonts w:ascii="Garamond" w:hAnsi="Garamond"/>
                <w:sz w:val="20"/>
                <w:szCs w:val="20"/>
              </w:rPr>
            </w:pPr>
          </w:p>
        </w:tc>
        <w:tc>
          <w:tcPr>
            <w:tcW w:w="1283" w:type="dxa"/>
          </w:tcPr>
          <w:p w14:paraId="3BE1B3F3" w14:textId="77777777" w:rsidR="00306C49" w:rsidRDefault="00306C49" w:rsidP="00AA716C">
            <w:pPr>
              <w:rPr>
                <w:rFonts w:ascii="Garamond" w:hAnsi="Garamond"/>
                <w:sz w:val="20"/>
                <w:szCs w:val="20"/>
              </w:rPr>
            </w:pPr>
          </w:p>
        </w:tc>
        <w:tc>
          <w:tcPr>
            <w:tcW w:w="3506" w:type="dxa"/>
          </w:tcPr>
          <w:p w14:paraId="2468CFAB" w14:textId="77777777" w:rsidR="00306C49" w:rsidRDefault="00306C49" w:rsidP="00306C49">
            <w:pPr>
              <w:rPr>
                <w:rFonts w:ascii="Calibri" w:hAnsi="Calibri" w:cs="Calibri"/>
                <w:sz w:val="20"/>
                <w:szCs w:val="20"/>
              </w:rPr>
            </w:pPr>
            <w:r>
              <w:rPr>
                <w:rFonts w:ascii="Calibri" w:hAnsi="Calibri" w:cs="Calibri"/>
                <w:sz w:val="20"/>
                <w:szCs w:val="20"/>
              </w:rPr>
              <w:t>One reference background (e.g., volumetric normal liver or mediastinal blood pool) SUV measurement, along with description of the SUV measurement type (</w:t>
            </w:r>
            <w:proofErr w:type="spellStart"/>
            <w:r>
              <w:rPr>
                <w:rFonts w:ascii="Calibri" w:hAnsi="Calibri" w:cs="Calibri"/>
                <w:sz w:val="20"/>
                <w:szCs w:val="20"/>
              </w:rPr>
              <w:t>eg</w:t>
            </w:r>
            <w:proofErr w:type="spellEnd"/>
            <w:r>
              <w:rPr>
                <w:rFonts w:ascii="Calibri" w:hAnsi="Calibri" w:cs="Calibri"/>
                <w:sz w:val="20"/>
                <w:szCs w:val="20"/>
              </w:rPr>
              <w:t xml:space="preserve">, </w:t>
            </w:r>
            <w:proofErr w:type="spellStart"/>
            <w:r>
              <w:rPr>
                <w:rFonts w:ascii="Calibri" w:hAnsi="Calibri" w:cs="Calibri"/>
                <w:sz w:val="20"/>
                <w:szCs w:val="20"/>
              </w:rPr>
              <w:t>SUVmax</w:t>
            </w:r>
            <w:proofErr w:type="spellEnd"/>
            <w:r>
              <w:rPr>
                <w:rFonts w:ascii="Calibri" w:hAnsi="Calibri" w:cs="Calibri"/>
                <w:sz w:val="20"/>
                <w:szCs w:val="20"/>
              </w:rPr>
              <w:t>) and normalization method (e.g., BMI)</w:t>
            </w:r>
          </w:p>
          <w:p w14:paraId="5CC14B6A" w14:textId="36244615" w:rsidR="00B36E53" w:rsidRPr="006B405A" w:rsidRDefault="00B36E53" w:rsidP="00306C49">
            <w:pPr>
              <w:rPr>
                <w:rFonts w:ascii="Calibri" w:hAnsi="Calibri" w:cs="Calibri"/>
                <w:sz w:val="20"/>
                <w:szCs w:val="20"/>
              </w:rPr>
            </w:pPr>
            <w:r>
              <w:rPr>
                <w:rFonts w:ascii="Calibri" w:hAnsi="Calibri" w:cs="Calibri"/>
                <w:sz w:val="20"/>
                <w:szCs w:val="20"/>
              </w:rPr>
              <w:t>Not sure how to develop the QDM for this and any associated codes.</w:t>
            </w:r>
          </w:p>
        </w:tc>
        <w:tc>
          <w:tcPr>
            <w:tcW w:w="1403" w:type="dxa"/>
          </w:tcPr>
          <w:p w14:paraId="7E770F0D" w14:textId="77777777" w:rsidR="00306C49" w:rsidRDefault="00306C49" w:rsidP="00AA716C">
            <w:pPr>
              <w:rPr>
                <w:rFonts w:ascii="Garamond" w:hAnsi="Garamond"/>
                <w:sz w:val="20"/>
                <w:szCs w:val="20"/>
              </w:rPr>
            </w:pPr>
          </w:p>
        </w:tc>
        <w:tc>
          <w:tcPr>
            <w:tcW w:w="1818" w:type="dxa"/>
          </w:tcPr>
          <w:p w14:paraId="388954FE" w14:textId="7BB05A8F" w:rsidR="00306C49" w:rsidRPr="00306C49" w:rsidRDefault="00B36E53" w:rsidP="00AA716C">
            <w:pPr>
              <w:rPr>
                <w:rFonts w:ascii="Garamond" w:hAnsi="Garamond"/>
                <w:sz w:val="20"/>
                <w:szCs w:val="20"/>
              </w:rPr>
            </w:pPr>
            <w:r>
              <w:rPr>
                <w:rFonts w:ascii="Garamond" w:hAnsi="Garamond"/>
                <w:sz w:val="20"/>
                <w:szCs w:val="20"/>
              </w:rPr>
              <w:t>Logic?</w:t>
            </w:r>
          </w:p>
        </w:tc>
        <w:tc>
          <w:tcPr>
            <w:tcW w:w="1310" w:type="dxa"/>
          </w:tcPr>
          <w:p w14:paraId="078E6413" w14:textId="4C0CE29A" w:rsidR="00306C49" w:rsidRDefault="00B36E53" w:rsidP="00AA716C">
            <w:pPr>
              <w:rPr>
                <w:rFonts w:ascii="Garamond" w:hAnsi="Garamond"/>
                <w:sz w:val="20"/>
                <w:szCs w:val="20"/>
              </w:rPr>
            </w:pPr>
            <w:r>
              <w:rPr>
                <w:rFonts w:ascii="Garamond" w:hAnsi="Garamond"/>
                <w:sz w:val="20"/>
                <w:szCs w:val="20"/>
              </w:rPr>
              <w:t>Not sure if this possible in eCQM to record.</w:t>
            </w:r>
          </w:p>
        </w:tc>
      </w:tr>
      <w:tr w:rsidR="00306C49" w:rsidRPr="009953E4" w14:paraId="55E8F8FD" w14:textId="77777777" w:rsidTr="00B36E53">
        <w:tc>
          <w:tcPr>
            <w:tcW w:w="1470" w:type="dxa"/>
          </w:tcPr>
          <w:p w14:paraId="35024E08" w14:textId="77777777" w:rsidR="00306C49" w:rsidRDefault="00306C49" w:rsidP="00AA716C">
            <w:pPr>
              <w:rPr>
                <w:rFonts w:ascii="Garamond" w:hAnsi="Garamond"/>
                <w:sz w:val="20"/>
                <w:szCs w:val="20"/>
              </w:rPr>
            </w:pPr>
          </w:p>
        </w:tc>
        <w:tc>
          <w:tcPr>
            <w:tcW w:w="1283" w:type="dxa"/>
          </w:tcPr>
          <w:p w14:paraId="34784C31" w14:textId="77777777" w:rsidR="00306C49" w:rsidRDefault="00306C49" w:rsidP="00AA716C">
            <w:pPr>
              <w:rPr>
                <w:rFonts w:ascii="Garamond" w:hAnsi="Garamond"/>
                <w:sz w:val="20"/>
                <w:szCs w:val="20"/>
              </w:rPr>
            </w:pPr>
          </w:p>
        </w:tc>
        <w:tc>
          <w:tcPr>
            <w:tcW w:w="3506" w:type="dxa"/>
          </w:tcPr>
          <w:p w14:paraId="62F13BB5" w14:textId="77777777" w:rsidR="00306C49" w:rsidRDefault="00B36E53" w:rsidP="00AA716C">
            <w:pPr>
              <w:rPr>
                <w:rFonts w:ascii="Calibri" w:hAnsi="Calibri" w:cs="Calibri"/>
                <w:sz w:val="20"/>
                <w:szCs w:val="20"/>
              </w:rPr>
            </w:pPr>
            <w:r w:rsidRPr="008D710A">
              <w:rPr>
                <w:rFonts w:ascii="Calibri" w:hAnsi="Calibri" w:cs="Calibri"/>
                <w:sz w:val="20"/>
                <w:szCs w:val="20"/>
              </w:rPr>
              <w:t xml:space="preserve">At least one </w:t>
            </w:r>
            <w:proofErr w:type="spellStart"/>
            <w:r>
              <w:rPr>
                <w:rFonts w:ascii="Calibri" w:hAnsi="Calibri" w:cs="Calibri"/>
                <w:sz w:val="20"/>
                <w:szCs w:val="20"/>
              </w:rPr>
              <w:t>lesional</w:t>
            </w:r>
            <w:proofErr w:type="spellEnd"/>
            <w:r>
              <w:rPr>
                <w:rFonts w:ascii="Calibri" w:hAnsi="Calibri" w:cs="Calibri"/>
                <w:sz w:val="20"/>
                <w:szCs w:val="20"/>
              </w:rPr>
              <w:t xml:space="preserve"> </w:t>
            </w:r>
            <w:r w:rsidRPr="008D710A">
              <w:rPr>
                <w:rFonts w:ascii="Calibri" w:hAnsi="Calibri" w:cs="Calibri"/>
                <w:sz w:val="20"/>
                <w:szCs w:val="20"/>
              </w:rPr>
              <w:t xml:space="preserve">SUV measurement </w:t>
            </w:r>
            <w:r w:rsidRPr="005B3C89">
              <w:rPr>
                <w:rFonts w:ascii="Calibri" w:hAnsi="Calibri" w:cs="Calibri"/>
                <w:b/>
                <w:sz w:val="20"/>
                <w:szCs w:val="20"/>
              </w:rPr>
              <w:t>OR</w:t>
            </w:r>
            <w:r w:rsidRPr="008D710A">
              <w:rPr>
                <w:rFonts w:ascii="Calibri" w:hAnsi="Calibri" w:cs="Calibri"/>
                <w:sz w:val="20"/>
                <w:szCs w:val="20"/>
              </w:rPr>
              <w:t xml:space="preserve"> diagnosis of "</w:t>
            </w:r>
            <w:r>
              <w:rPr>
                <w:rFonts w:ascii="Calibri" w:hAnsi="Calibri" w:cs="Calibri"/>
                <w:sz w:val="20"/>
                <w:szCs w:val="20"/>
              </w:rPr>
              <w:t>no disease-specific abnormal uptake</w:t>
            </w:r>
          </w:p>
          <w:p w14:paraId="385E154F" w14:textId="77777777" w:rsidR="00B36E53" w:rsidRDefault="00B36E53" w:rsidP="00AA716C">
            <w:pPr>
              <w:rPr>
                <w:rFonts w:ascii="Calibri" w:hAnsi="Calibri" w:cs="Calibri"/>
                <w:sz w:val="20"/>
                <w:szCs w:val="20"/>
              </w:rPr>
            </w:pPr>
          </w:p>
          <w:p w14:paraId="060FD1FD" w14:textId="738BAA7E" w:rsidR="00B36E53" w:rsidRPr="006B405A" w:rsidRDefault="00B36E53" w:rsidP="00AA716C">
            <w:pPr>
              <w:rPr>
                <w:rFonts w:ascii="Calibri" w:hAnsi="Calibri" w:cs="Calibri"/>
                <w:sz w:val="20"/>
                <w:szCs w:val="20"/>
              </w:rPr>
            </w:pPr>
            <w:r>
              <w:rPr>
                <w:rFonts w:ascii="Calibri" w:hAnsi="Calibri" w:cs="Calibri"/>
                <w:sz w:val="20"/>
                <w:szCs w:val="20"/>
              </w:rPr>
              <w:t>Codes for “SUV measurement: couldn’t locate. How to define “no disease specific abnormal uptake” in codes?</w:t>
            </w:r>
          </w:p>
        </w:tc>
        <w:tc>
          <w:tcPr>
            <w:tcW w:w="1403" w:type="dxa"/>
          </w:tcPr>
          <w:p w14:paraId="27F796C0" w14:textId="77777777" w:rsidR="00306C49" w:rsidRDefault="00306C49" w:rsidP="00AA716C">
            <w:pPr>
              <w:rPr>
                <w:rFonts w:ascii="Garamond" w:hAnsi="Garamond"/>
                <w:sz w:val="20"/>
                <w:szCs w:val="20"/>
              </w:rPr>
            </w:pPr>
          </w:p>
        </w:tc>
        <w:tc>
          <w:tcPr>
            <w:tcW w:w="1818" w:type="dxa"/>
          </w:tcPr>
          <w:p w14:paraId="605F144C" w14:textId="378F0C5F" w:rsidR="00306C49" w:rsidRPr="00306C49" w:rsidRDefault="00B36E53" w:rsidP="00AA716C">
            <w:pPr>
              <w:rPr>
                <w:rFonts w:ascii="Garamond" w:hAnsi="Garamond"/>
                <w:sz w:val="20"/>
                <w:szCs w:val="20"/>
              </w:rPr>
            </w:pPr>
            <w:r>
              <w:rPr>
                <w:rFonts w:ascii="Garamond" w:hAnsi="Garamond"/>
                <w:sz w:val="20"/>
                <w:szCs w:val="20"/>
              </w:rPr>
              <w:t>Logic?</w:t>
            </w:r>
          </w:p>
        </w:tc>
        <w:tc>
          <w:tcPr>
            <w:tcW w:w="1310" w:type="dxa"/>
          </w:tcPr>
          <w:p w14:paraId="3A9A8B90" w14:textId="43875F5C" w:rsidR="00B36E53" w:rsidRDefault="00B36E53" w:rsidP="00AA716C">
            <w:pPr>
              <w:rPr>
                <w:rFonts w:ascii="Garamond" w:hAnsi="Garamond"/>
                <w:sz w:val="20"/>
                <w:szCs w:val="20"/>
              </w:rPr>
            </w:pPr>
          </w:p>
          <w:p w14:paraId="3B62334D" w14:textId="4156D382" w:rsidR="00B36E53" w:rsidRDefault="00B36E53" w:rsidP="00B36E53">
            <w:pPr>
              <w:rPr>
                <w:rFonts w:ascii="Garamond" w:hAnsi="Garamond"/>
                <w:sz w:val="20"/>
                <w:szCs w:val="20"/>
              </w:rPr>
            </w:pPr>
          </w:p>
          <w:p w14:paraId="3AFD0775" w14:textId="1813D631" w:rsidR="00306C49" w:rsidRPr="00B36E53" w:rsidRDefault="00B36E53" w:rsidP="00B36E53">
            <w:pPr>
              <w:rPr>
                <w:rFonts w:ascii="Garamond" w:hAnsi="Garamond"/>
                <w:sz w:val="20"/>
                <w:szCs w:val="20"/>
              </w:rPr>
            </w:pPr>
            <w:r>
              <w:rPr>
                <w:rFonts w:ascii="Garamond" w:hAnsi="Garamond"/>
                <w:sz w:val="20"/>
                <w:szCs w:val="20"/>
              </w:rPr>
              <w:t>Not sure if this possible in eCQM to record.</w:t>
            </w:r>
          </w:p>
        </w:tc>
      </w:tr>
      <w:tr w:rsidR="00B36E53" w:rsidRPr="009953E4" w14:paraId="02137304" w14:textId="77777777" w:rsidTr="00B36E53">
        <w:tc>
          <w:tcPr>
            <w:tcW w:w="1470" w:type="dxa"/>
          </w:tcPr>
          <w:p w14:paraId="4CDAB9DD" w14:textId="77777777" w:rsidR="00B36E53" w:rsidRDefault="00B36E53" w:rsidP="00B36E53">
            <w:pPr>
              <w:rPr>
                <w:rFonts w:ascii="Garamond" w:hAnsi="Garamond"/>
                <w:sz w:val="20"/>
                <w:szCs w:val="20"/>
              </w:rPr>
            </w:pPr>
          </w:p>
        </w:tc>
        <w:tc>
          <w:tcPr>
            <w:tcW w:w="1283" w:type="dxa"/>
          </w:tcPr>
          <w:p w14:paraId="7E19379C" w14:textId="4D71E4C2" w:rsidR="00B36E53" w:rsidRDefault="00B36E53" w:rsidP="00B36E53">
            <w:pPr>
              <w:rPr>
                <w:rFonts w:ascii="Garamond" w:hAnsi="Garamond"/>
                <w:sz w:val="20"/>
                <w:szCs w:val="20"/>
              </w:rPr>
            </w:pPr>
            <w:r w:rsidRPr="009953E4">
              <w:rPr>
                <w:rFonts w:ascii="Garamond" w:hAnsi="Garamond"/>
                <w:sz w:val="20"/>
                <w:szCs w:val="20"/>
              </w:rPr>
              <w:t>Attribute: Status</w:t>
            </w:r>
          </w:p>
        </w:tc>
        <w:tc>
          <w:tcPr>
            <w:tcW w:w="3506" w:type="dxa"/>
          </w:tcPr>
          <w:p w14:paraId="2561B8C0" w14:textId="77777777" w:rsidR="00B36E53" w:rsidRPr="009953E4" w:rsidRDefault="00B36E53" w:rsidP="00B36E53">
            <w:pPr>
              <w:rPr>
                <w:rFonts w:ascii="Garamond" w:hAnsi="Garamond"/>
                <w:sz w:val="20"/>
                <w:szCs w:val="20"/>
              </w:rPr>
            </w:pPr>
            <w:r w:rsidRPr="009953E4">
              <w:rPr>
                <w:rFonts w:ascii="Garamond" w:hAnsi="Garamond"/>
                <w:sz w:val="20"/>
                <w:szCs w:val="20"/>
              </w:rPr>
              <w:t>Final Radiology reports</w:t>
            </w:r>
          </w:p>
          <w:p w14:paraId="28776431" w14:textId="30F96229" w:rsidR="00B36E53" w:rsidRPr="008D710A" w:rsidRDefault="00B36E53" w:rsidP="00B36E53">
            <w:pPr>
              <w:rPr>
                <w:rFonts w:ascii="Calibri" w:hAnsi="Calibri" w:cs="Calibri"/>
                <w:sz w:val="20"/>
                <w:szCs w:val="20"/>
              </w:rPr>
            </w:pPr>
            <w:r w:rsidRPr="009953E4">
              <w:rPr>
                <w:rFonts w:ascii="Garamond" w:hAnsi="Garamond"/>
                <w:sz w:val="20"/>
                <w:szCs w:val="20"/>
              </w:rPr>
              <w:t>2.16.840.1.113762.1.4.1120.4 (draft)</w:t>
            </w:r>
          </w:p>
        </w:tc>
        <w:tc>
          <w:tcPr>
            <w:tcW w:w="1403" w:type="dxa"/>
          </w:tcPr>
          <w:p w14:paraId="6A379283" w14:textId="77777777" w:rsidR="00B36E53" w:rsidRPr="009953E4" w:rsidRDefault="00B36E53" w:rsidP="00B36E53">
            <w:pPr>
              <w:rPr>
                <w:rFonts w:ascii="Garamond" w:hAnsi="Garamond"/>
                <w:sz w:val="20"/>
                <w:szCs w:val="20"/>
              </w:rPr>
            </w:pPr>
            <w:r w:rsidRPr="009953E4">
              <w:rPr>
                <w:rFonts w:ascii="Garamond" w:hAnsi="Garamond"/>
                <w:sz w:val="20"/>
                <w:szCs w:val="20"/>
              </w:rPr>
              <w:t>Group</w:t>
            </w:r>
          </w:p>
          <w:p w14:paraId="074B83D8" w14:textId="70FCA0B3" w:rsidR="00B36E53" w:rsidRDefault="00B36E53" w:rsidP="00B36E53">
            <w:pPr>
              <w:rPr>
                <w:rFonts w:ascii="Garamond" w:hAnsi="Garamond"/>
                <w:sz w:val="20"/>
                <w:szCs w:val="20"/>
              </w:rPr>
            </w:pPr>
            <w:r w:rsidRPr="009953E4">
              <w:rPr>
                <w:rFonts w:ascii="Garamond" w:hAnsi="Garamond"/>
                <w:sz w:val="20"/>
                <w:szCs w:val="20"/>
              </w:rPr>
              <w:t>SNOMEDCT</w:t>
            </w:r>
          </w:p>
        </w:tc>
        <w:tc>
          <w:tcPr>
            <w:tcW w:w="1818" w:type="dxa"/>
          </w:tcPr>
          <w:p w14:paraId="770DB95A" w14:textId="26ADEF8F" w:rsidR="00B36E53" w:rsidRDefault="00B36E53" w:rsidP="00B36E53">
            <w:pPr>
              <w:rPr>
                <w:rFonts w:ascii="Garamond" w:hAnsi="Garamond"/>
                <w:sz w:val="20"/>
                <w:szCs w:val="20"/>
              </w:rPr>
            </w:pPr>
            <w:proofErr w:type="gramStart"/>
            <w:r w:rsidRPr="009953E4">
              <w:rPr>
                <w:rFonts w:ascii="Garamond" w:hAnsi="Garamond"/>
                <w:sz w:val="20"/>
                <w:szCs w:val="20"/>
              </w:rPr>
              <w:t>.result</w:t>
            </w:r>
            <w:proofErr w:type="gramEnd"/>
            <w:r w:rsidRPr="009953E4">
              <w:rPr>
                <w:rFonts w:ascii="Garamond" w:hAnsi="Garamond"/>
                <w:sz w:val="20"/>
                <w:szCs w:val="20"/>
              </w:rPr>
              <w:t xml:space="preserve"> as Code in "Radiology Final Report"</w:t>
            </w:r>
          </w:p>
        </w:tc>
        <w:tc>
          <w:tcPr>
            <w:tcW w:w="1310" w:type="dxa"/>
          </w:tcPr>
          <w:p w14:paraId="648CA143" w14:textId="79CC1697" w:rsidR="00B36E53" w:rsidRDefault="00B36E53" w:rsidP="00B36E53">
            <w:pPr>
              <w:rPr>
                <w:rFonts w:ascii="Garamond" w:hAnsi="Garamond"/>
                <w:sz w:val="20"/>
                <w:szCs w:val="20"/>
              </w:rPr>
            </w:pPr>
            <w:r>
              <w:rPr>
                <w:rFonts w:ascii="Garamond" w:hAnsi="Garamond"/>
                <w:sz w:val="20"/>
                <w:szCs w:val="20"/>
              </w:rPr>
              <w:t>During the measurement period</w:t>
            </w:r>
          </w:p>
        </w:tc>
      </w:tr>
      <w:tr w:rsidR="00306C49" w:rsidRPr="009953E4" w14:paraId="7C6A423C" w14:textId="77777777" w:rsidTr="00B36E53">
        <w:tc>
          <w:tcPr>
            <w:tcW w:w="1470" w:type="dxa"/>
            <w:shd w:val="clear" w:color="auto" w:fill="0070C0"/>
          </w:tcPr>
          <w:p w14:paraId="6D676474" w14:textId="7CFA9AC8" w:rsidR="00306C49" w:rsidRDefault="00306C49" w:rsidP="00AA716C">
            <w:pPr>
              <w:rPr>
                <w:rFonts w:ascii="Garamond" w:hAnsi="Garamond"/>
                <w:sz w:val="20"/>
                <w:szCs w:val="20"/>
              </w:rPr>
            </w:pPr>
          </w:p>
        </w:tc>
        <w:tc>
          <w:tcPr>
            <w:tcW w:w="1283" w:type="dxa"/>
            <w:shd w:val="clear" w:color="auto" w:fill="0070C0"/>
          </w:tcPr>
          <w:p w14:paraId="3285A602" w14:textId="77777777" w:rsidR="00306C49" w:rsidRDefault="00306C49" w:rsidP="00AA716C">
            <w:pPr>
              <w:rPr>
                <w:rFonts w:ascii="Garamond" w:hAnsi="Garamond"/>
                <w:sz w:val="20"/>
                <w:szCs w:val="20"/>
              </w:rPr>
            </w:pPr>
          </w:p>
        </w:tc>
        <w:tc>
          <w:tcPr>
            <w:tcW w:w="3506" w:type="dxa"/>
            <w:shd w:val="clear" w:color="auto" w:fill="0070C0"/>
          </w:tcPr>
          <w:p w14:paraId="4C3E7BE8" w14:textId="7FD0813A" w:rsidR="00306C49" w:rsidRPr="006B405A" w:rsidRDefault="00306C49" w:rsidP="00AA716C">
            <w:pPr>
              <w:rPr>
                <w:rFonts w:ascii="Calibri" w:hAnsi="Calibri" w:cs="Calibri"/>
                <w:sz w:val="20"/>
                <w:szCs w:val="20"/>
              </w:rPr>
            </w:pPr>
          </w:p>
        </w:tc>
        <w:tc>
          <w:tcPr>
            <w:tcW w:w="1403" w:type="dxa"/>
            <w:shd w:val="clear" w:color="auto" w:fill="0070C0"/>
          </w:tcPr>
          <w:p w14:paraId="142463AD" w14:textId="77777777" w:rsidR="00306C49" w:rsidRDefault="00306C49" w:rsidP="00AA716C">
            <w:pPr>
              <w:rPr>
                <w:rFonts w:ascii="Garamond" w:hAnsi="Garamond"/>
                <w:sz w:val="20"/>
                <w:szCs w:val="20"/>
              </w:rPr>
            </w:pPr>
          </w:p>
        </w:tc>
        <w:tc>
          <w:tcPr>
            <w:tcW w:w="1818" w:type="dxa"/>
            <w:shd w:val="clear" w:color="auto" w:fill="0070C0"/>
          </w:tcPr>
          <w:p w14:paraId="5310A901" w14:textId="77777777" w:rsidR="00306C49" w:rsidRPr="00306C49" w:rsidRDefault="00306C49" w:rsidP="00AA716C">
            <w:pPr>
              <w:rPr>
                <w:rFonts w:ascii="Garamond" w:hAnsi="Garamond"/>
                <w:sz w:val="20"/>
                <w:szCs w:val="20"/>
              </w:rPr>
            </w:pPr>
          </w:p>
        </w:tc>
        <w:tc>
          <w:tcPr>
            <w:tcW w:w="1310" w:type="dxa"/>
            <w:shd w:val="clear" w:color="auto" w:fill="0070C0"/>
          </w:tcPr>
          <w:p w14:paraId="41307E4E" w14:textId="77777777" w:rsidR="00306C49" w:rsidRDefault="00306C49" w:rsidP="00AA716C">
            <w:pPr>
              <w:rPr>
                <w:rFonts w:ascii="Garamond" w:hAnsi="Garamond"/>
                <w:sz w:val="20"/>
                <w:szCs w:val="20"/>
              </w:rPr>
            </w:pPr>
          </w:p>
        </w:tc>
      </w:tr>
      <w:tr w:rsidR="00B36E53" w:rsidRPr="009953E4" w14:paraId="677165FF" w14:textId="77777777" w:rsidTr="00B36E53">
        <w:tc>
          <w:tcPr>
            <w:tcW w:w="1470" w:type="dxa"/>
          </w:tcPr>
          <w:p w14:paraId="78EB91DB" w14:textId="56A4B820" w:rsidR="00B36E53" w:rsidRDefault="00B36E53" w:rsidP="00B36E53">
            <w:pPr>
              <w:rPr>
                <w:rFonts w:ascii="Garamond" w:hAnsi="Garamond"/>
                <w:sz w:val="20"/>
                <w:szCs w:val="20"/>
              </w:rPr>
            </w:pPr>
            <w:r>
              <w:rPr>
                <w:rFonts w:ascii="Garamond" w:hAnsi="Garamond"/>
                <w:sz w:val="20"/>
                <w:szCs w:val="20"/>
              </w:rPr>
              <w:t>Exclusions</w:t>
            </w:r>
          </w:p>
        </w:tc>
        <w:tc>
          <w:tcPr>
            <w:tcW w:w="1283" w:type="dxa"/>
          </w:tcPr>
          <w:p w14:paraId="00477EFD" w14:textId="77777777" w:rsidR="00B36E53" w:rsidRDefault="00B36E53" w:rsidP="00B36E53">
            <w:pPr>
              <w:rPr>
                <w:rFonts w:ascii="Garamond" w:hAnsi="Garamond"/>
                <w:sz w:val="20"/>
                <w:szCs w:val="20"/>
              </w:rPr>
            </w:pPr>
          </w:p>
        </w:tc>
        <w:tc>
          <w:tcPr>
            <w:tcW w:w="3506" w:type="dxa"/>
          </w:tcPr>
          <w:p w14:paraId="51DF7046" w14:textId="08388410" w:rsidR="00B36E53" w:rsidRPr="006B405A" w:rsidRDefault="00B36E53" w:rsidP="00B36E53">
            <w:pPr>
              <w:rPr>
                <w:rFonts w:ascii="Calibri" w:hAnsi="Calibri" w:cs="Calibri"/>
                <w:sz w:val="20"/>
                <w:szCs w:val="20"/>
              </w:rPr>
            </w:pPr>
            <w:r>
              <w:rPr>
                <w:rFonts w:ascii="Calibri" w:hAnsi="Calibri" w:cs="Calibri"/>
                <w:sz w:val="20"/>
                <w:szCs w:val="20"/>
              </w:rPr>
              <w:t>NONE</w:t>
            </w:r>
          </w:p>
        </w:tc>
        <w:tc>
          <w:tcPr>
            <w:tcW w:w="1403" w:type="dxa"/>
          </w:tcPr>
          <w:p w14:paraId="03E30866" w14:textId="77777777" w:rsidR="00B36E53" w:rsidRDefault="00B36E53" w:rsidP="00B36E53">
            <w:pPr>
              <w:rPr>
                <w:rFonts w:ascii="Garamond" w:hAnsi="Garamond"/>
                <w:sz w:val="20"/>
                <w:szCs w:val="20"/>
              </w:rPr>
            </w:pPr>
          </w:p>
        </w:tc>
        <w:tc>
          <w:tcPr>
            <w:tcW w:w="1818" w:type="dxa"/>
          </w:tcPr>
          <w:p w14:paraId="37C5E02F" w14:textId="77777777" w:rsidR="00B36E53" w:rsidRPr="00306C49" w:rsidRDefault="00B36E53" w:rsidP="00B36E53">
            <w:pPr>
              <w:rPr>
                <w:rFonts w:ascii="Garamond" w:hAnsi="Garamond"/>
                <w:sz w:val="20"/>
                <w:szCs w:val="20"/>
              </w:rPr>
            </w:pPr>
          </w:p>
        </w:tc>
        <w:tc>
          <w:tcPr>
            <w:tcW w:w="1310" w:type="dxa"/>
          </w:tcPr>
          <w:p w14:paraId="3D364E94" w14:textId="77777777" w:rsidR="00B36E53" w:rsidRDefault="00B36E53" w:rsidP="00B36E53">
            <w:pPr>
              <w:rPr>
                <w:rFonts w:ascii="Garamond" w:hAnsi="Garamond"/>
                <w:sz w:val="20"/>
                <w:szCs w:val="20"/>
              </w:rPr>
            </w:pPr>
          </w:p>
        </w:tc>
      </w:tr>
      <w:tr w:rsidR="00B36E53" w:rsidRPr="009953E4" w14:paraId="234E2B26" w14:textId="77777777" w:rsidTr="00B36E53">
        <w:tc>
          <w:tcPr>
            <w:tcW w:w="1470" w:type="dxa"/>
            <w:shd w:val="clear" w:color="auto" w:fill="0070C0"/>
          </w:tcPr>
          <w:p w14:paraId="61458B6A" w14:textId="7B2F0485" w:rsidR="00B36E53" w:rsidRDefault="00B36E53" w:rsidP="00AA716C">
            <w:pPr>
              <w:rPr>
                <w:rFonts w:ascii="Garamond" w:hAnsi="Garamond"/>
                <w:sz w:val="20"/>
                <w:szCs w:val="20"/>
              </w:rPr>
            </w:pPr>
          </w:p>
        </w:tc>
        <w:tc>
          <w:tcPr>
            <w:tcW w:w="1283" w:type="dxa"/>
            <w:shd w:val="clear" w:color="auto" w:fill="0070C0"/>
          </w:tcPr>
          <w:p w14:paraId="44023ABF" w14:textId="77777777" w:rsidR="00B36E53" w:rsidRDefault="00B36E53" w:rsidP="00AA716C">
            <w:pPr>
              <w:rPr>
                <w:rFonts w:ascii="Garamond" w:hAnsi="Garamond"/>
                <w:sz w:val="20"/>
                <w:szCs w:val="20"/>
              </w:rPr>
            </w:pPr>
          </w:p>
        </w:tc>
        <w:tc>
          <w:tcPr>
            <w:tcW w:w="3506" w:type="dxa"/>
            <w:shd w:val="clear" w:color="auto" w:fill="0070C0"/>
          </w:tcPr>
          <w:p w14:paraId="2494980A" w14:textId="77777777" w:rsidR="00B36E53" w:rsidRPr="006B405A" w:rsidRDefault="00B36E53" w:rsidP="00AA716C">
            <w:pPr>
              <w:rPr>
                <w:rFonts w:ascii="Calibri" w:hAnsi="Calibri" w:cs="Calibri"/>
                <w:sz w:val="20"/>
                <w:szCs w:val="20"/>
              </w:rPr>
            </w:pPr>
          </w:p>
        </w:tc>
        <w:tc>
          <w:tcPr>
            <w:tcW w:w="1403" w:type="dxa"/>
            <w:shd w:val="clear" w:color="auto" w:fill="0070C0"/>
          </w:tcPr>
          <w:p w14:paraId="73998BA0" w14:textId="77777777" w:rsidR="00B36E53" w:rsidRDefault="00B36E53" w:rsidP="00AA716C">
            <w:pPr>
              <w:rPr>
                <w:rFonts w:ascii="Garamond" w:hAnsi="Garamond"/>
                <w:sz w:val="20"/>
                <w:szCs w:val="20"/>
              </w:rPr>
            </w:pPr>
          </w:p>
        </w:tc>
        <w:tc>
          <w:tcPr>
            <w:tcW w:w="1818" w:type="dxa"/>
            <w:shd w:val="clear" w:color="auto" w:fill="0070C0"/>
          </w:tcPr>
          <w:p w14:paraId="648E6AB7" w14:textId="77777777" w:rsidR="00B36E53" w:rsidRPr="00306C49" w:rsidRDefault="00B36E53" w:rsidP="00AA716C">
            <w:pPr>
              <w:rPr>
                <w:rFonts w:ascii="Garamond" w:hAnsi="Garamond"/>
                <w:sz w:val="20"/>
                <w:szCs w:val="20"/>
              </w:rPr>
            </w:pPr>
          </w:p>
        </w:tc>
        <w:tc>
          <w:tcPr>
            <w:tcW w:w="1310" w:type="dxa"/>
            <w:shd w:val="clear" w:color="auto" w:fill="0070C0"/>
          </w:tcPr>
          <w:p w14:paraId="46A0D668" w14:textId="77777777" w:rsidR="00B36E53" w:rsidRDefault="00B36E53" w:rsidP="00AA716C">
            <w:pPr>
              <w:rPr>
                <w:rFonts w:ascii="Garamond" w:hAnsi="Garamond"/>
                <w:sz w:val="20"/>
                <w:szCs w:val="20"/>
              </w:rPr>
            </w:pPr>
          </w:p>
        </w:tc>
      </w:tr>
      <w:tr w:rsidR="00B36E53" w:rsidRPr="009953E4" w14:paraId="27FD4637" w14:textId="77777777" w:rsidTr="00B36E53">
        <w:tc>
          <w:tcPr>
            <w:tcW w:w="1470" w:type="dxa"/>
          </w:tcPr>
          <w:p w14:paraId="40DDECF8" w14:textId="04651424" w:rsidR="00B36E53" w:rsidRDefault="00B36E53" w:rsidP="00AA716C">
            <w:pPr>
              <w:rPr>
                <w:rFonts w:ascii="Garamond" w:hAnsi="Garamond"/>
                <w:sz w:val="20"/>
                <w:szCs w:val="20"/>
              </w:rPr>
            </w:pPr>
            <w:r>
              <w:rPr>
                <w:rFonts w:ascii="Garamond" w:hAnsi="Garamond"/>
                <w:sz w:val="20"/>
                <w:szCs w:val="20"/>
              </w:rPr>
              <w:t>Exceptions</w:t>
            </w:r>
          </w:p>
        </w:tc>
        <w:tc>
          <w:tcPr>
            <w:tcW w:w="1283" w:type="dxa"/>
          </w:tcPr>
          <w:p w14:paraId="1CD8C3FB" w14:textId="77777777" w:rsidR="00B36E53" w:rsidRDefault="00B36E53" w:rsidP="00AA716C">
            <w:pPr>
              <w:rPr>
                <w:rFonts w:ascii="Garamond" w:hAnsi="Garamond"/>
                <w:sz w:val="20"/>
                <w:szCs w:val="20"/>
              </w:rPr>
            </w:pPr>
          </w:p>
        </w:tc>
        <w:tc>
          <w:tcPr>
            <w:tcW w:w="3506" w:type="dxa"/>
          </w:tcPr>
          <w:p w14:paraId="42E33E83" w14:textId="57FF3CD8" w:rsidR="00B36E53" w:rsidRPr="006B405A" w:rsidRDefault="00B36E53" w:rsidP="00AA716C">
            <w:pPr>
              <w:rPr>
                <w:rFonts w:ascii="Calibri" w:hAnsi="Calibri" w:cs="Calibri"/>
                <w:sz w:val="20"/>
                <w:szCs w:val="20"/>
              </w:rPr>
            </w:pPr>
            <w:r>
              <w:rPr>
                <w:rFonts w:ascii="Calibri" w:hAnsi="Calibri" w:cs="Calibri"/>
                <w:sz w:val="20"/>
                <w:szCs w:val="20"/>
              </w:rPr>
              <w:t>None</w:t>
            </w:r>
          </w:p>
        </w:tc>
        <w:tc>
          <w:tcPr>
            <w:tcW w:w="1403" w:type="dxa"/>
          </w:tcPr>
          <w:p w14:paraId="22E208A0" w14:textId="77777777" w:rsidR="00B36E53" w:rsidRDefault="00B36E53" w:rsidP="00AA716C">
            <w:pPr>
              <w:rPr>
                <w:rFonts w:ascii="Garamond" w:hAnsi="Garamond"/>
                <w:sz w:val="20"/>
                <w:szCs w:val="20"/>
              </w:rPr>
            </w:pPr>
          </w:p>
        </w:tc>
        <w:tc>
          <w:tcPr>
            <w:tcW w:w="1818" w:type="dxa"/>
          </w:tcPr>
          <w:p w14:paraId="54719E37" w14:textId="77777777" w:rsidR="00B36E53" w:rsidRPr="00306C49" w:rsidRDefault="00B36E53" w:rsidP="00AA716C">
            <w:pPr>
              <w:rPr>
                <w:rFonts w:ascii="Garamond" w:hAnsi="Garamond"/>
                <w:sz w:val="20"/>
                <w:szCs w:val="20"/>
              </w:rPr>
            </w:pPr>
          </w:p>
        </w:tc>
        <w:tc>
          <w:tcPr>
            <w:tcW w:w="1310" w:type="dxa"/>
          </w:tcPr>
          <w:p w14:paraId="25CF97BF" w14:textId="77777777" w:rsidR="00B36E53" w:rsidRDefault="00B36E53" w:rsidP="00AA716C">
            <w:pPr>
              <w:rPr>
                <w:rFonts w:ascii="Garamond" w:hAnsi="Garamond"/>
                <w:sz w:val="20"/>
                <w:szCs w:val="20"/>
              </w:rPr>
            </w:pPr>
          </w:p>
        </w:tc>
      </w:tr>
    </w:tbl>
    <w:p w14:paraId="6DEBEC84" w14:textId="77777777" w:rsidR="00AA716C" w:rsidRPr="005B3C89" w:rsidRDefault="00AA716C" w:rsidP="00AA716C">
      <w:pPr>
        <w:rPr>
          <w:sz w:val="20"/>
          <w:szCs w:val="20"/>
        </w:rPr>
      </w:pPr>
    </w:p>
    <w:p w14:paraId="4C765D12" w14:textId="77777777" w:rsidR="00F23D58" w:rsidRDefault="00AA716C" w:rsidP="00AA716C">
      <w:r>
        <w:br w:type="page"/>
      </w:r>
    </w:p>
    <w:sectPr w:rsidR="00F23D58" w:rsidSect="00AA71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B962D" w14:textId="77777777" w:rsidR="00EA16FD" w:rsidRDefault="00EA16FD" w:rsidP="00AA716C">
      <w:r>
        <w:separator/>
      </w:r>
    </w:p>
  </w:endnote>
  <w:endnote w:type="continuationSeparator" w:id="0">
    <w:p w14:paraId="74C15600" w14:textId="77777777" w:rsidR="00EA16FD" w:rsidRDefault="00EA16FD" w:rsidP="00AA716C">
      <w:r>
        <w:continuationSeparator/>
      </w:r>
    </w:p>
  </w:endnote>
  <w:endnote w:id="1">
    <w:p w14:paraId="7F156E8F" w14:textId="77777777" w:rsidR="00AA716C" w:rsidRPr="00F1689D" w:rsidRDefault="00AA716C" w:rsidP="00AA716C">
      <w:pPr>
        <w:pStyle w:val="Default"/>
        <w:rPr>
          <w:rFonts w:ascii="Calibri" w:hAnsi="Calibri" w:cs="Calibri"/>
          <w:sz w:val="20"/>
          <w:szCs w:val="20"/>
        </w:rPr>
      </w:pPr>
      <w:r w:rsidRPr="00F1689D">
        <w:rPr>
          <w:rStyle w:val="EndnoteReference"/>
          <w:rFonts w:ascii="Calibri" w:hAnsi="Calibri" w:cs="Calibri"/>
          <w:sz w:val="20"/>
          <w:szCs w:val="20"/>
        </w:rPr>
        <w:endnoteRef/>
      </w:r>
      <w:r w:rsidRPr="00F1689D">
        <w:rPr>
          <w:rFonts w:ascii="Calibri" w:hAnsi="Calibri" w:cs="Calibri"/>
          <w:sz w:val="20"/>
          <w:szCs w:val="20"/>
        </w:rPr>
        <w:t xml:space="preserve"> American College of Radiology.  ACR-SPR Practice Parameter for Performing FDG-PT/CT in Oncology.  </w:t>
      </w:r>
      <w:hyperlink r:id="rId1" w:history="1">
        <w:r w:rsidRPr="00F1689D">
          <w:rPr>
            <w:rStyle w:val="Hyperlink"/>
            <w:rFonts w:ascii="Calibri" w:hAnsi="Calibri" w:cs="Calibri"/>
            <w:sz w:val="20"/>
            <w:szCs w:val="20"/>
          </w:rPr>
          <w:t>https://www.acr.org/Quality-Safety/Standard</w:t>
        </w:r>
        <w:r w:rsidRPr="00F1689D">
          <w:rPr>
            <w:rStyle w:val="Hyperlink"/>
            <w:rFonts w:ascii="Calibri" w:hAnsi="Calibri" w:cs="Calibri"/>
            <w:sz w:val="20"/>
            <w:szCs w:val="20"/>
          </w:rPr>
          <w:t>s</w:t>
        </w:r>
        <w:r w:rsidRPr="00F1689D">
          <w:rPr>
            <w:rStyle w:val="Hyperlink"/>
            <w:rFonts w:ascii="Calibri" w:hAnsi="Calibri" w:cs="Calibri"/>
            <w:sz w:val="20"/>
            <w:szCs w:val="20"/>
          </w:rPr>
          <w:t>-Guidelines/Practice-Guidelines-by-Modality/Nuclear-Medicine</w:t>
        </w:r>
      </w:hyperlink>
      <w:r w:rsidRPr="00F1689D">
        <w:rPr>
          <w:rFonts w:ascii="Calibri" w:hAnsi="Calibri" w:cs="Calibri"/>
          <w:sz w:val="20"/>
          <w:szCs w:val="20"/>
        </w:rPr>
        <w:t xml:space="preserve">.  2016.  Accessed </w:t>
      </w:r>
      <w:r w:rsidRPr="000B2071">
        <w:rPr>
          <w:rFonts w:ascii="Calibri" w:hAnsi="Calibri" w:cs="Calibri"/>
          <w:sz w:val="20"/>
          <w:szCs w:val="20"/>
        </w:rPr>
        <w:t>December 10, 2017</w:t>
      </w:r>
    </w:p>
    <w:p w14:paraId="743F540A" w14:textId="77777777" w:rsidR="00AA716C" w:rsidRPr="00F1689D" w:rsidRDefault="00AA716C" w:rsidP="00AA716C">
      <w:pPr>
        <w:pStyle w:val="EndnoteText"/>
        <w:rPr>
          <w:rFonts w:ascii="Calibri" w:hAnsi="Calibri" w:cs="Calibri"/>
        </w:rPr>
      </w:pPr>
    </w:p>
  </w:endnote>
  <w:endnote w:id="2">
    <w:p w14:paraId="3C87F9A5" w14:textId="77777777" w:rsidR="00AA716C" w:rsidRPr="000B2071" w:rsidRDefault="00AA716C" w:rsidP="00AA716C">
      <w:pPr>
        <w:rPr>
          <w:rFonts w:ascii="Calibri" w:hAnsi="Calibri" w:cs="Calibri"/>
          <w:sz w:val="20"/>
          <w:szCs w:val="20"/>
        </w:rPr>
      </w:pPr>
      <w:r w:rsidRPr="00F1689D">
        <w:rPr>
          <w:rStyle w:val="EndnoteReference"/>
          <w:rFonts w:ascii="Calibri" w:hAnsi="Calibri" w:cs="Calibri"/>
          <w:sz w:val="20"/>
          <w:szCs w:val="20"/>
        </w:rPr>
        <w:endnoteRef/>
      </w:r>
      <w:r w:rsidRPr="00F1689D">
        <w:rPr>
          <w:rFonts w:ascii="Calibri" w:hAnsi="Calibri" w:cs="Calibri"/>
          <w:sz w:val="20"/>
          <w:szCs w:val="20"/>
        </w:rPr>
        <w:t xml:space="preserve"> </w:t>
      </w:r>
      <w:r w:rsidRPr="000B2071">
        <w:rPr>
          <w:rFonts w:ascii="Calibri" w:hAnsi="Calibri" w:cs="Calibri"/>
          <w:sz w:val="20"/>
          <w:szCs w:val="20"/>
        </w:rPr>
        <w:t xml:space="preserve">Coleman RE, </w:t>
      </w:r>
      <w:proofErr w:type="spellStart"/>
      <w:r w:rsidRPr="000B2071">
        <w:rPr>
          <w:rFonts w:ascii="Calibri" w:hAnsi="Calibri" w:cs="Calibri"/>
          <w:sz w:val="20"/>
          <w:szCs w:val="20"/>
        </w:rPr>
        <w:t>Hillner</w:t>
      </w:r>
      <w:proofErr w:type="spellEnd"/>
      <w:r w:rsidRPr="000B2071">
        <w:rPr>
          <w:rFonts w:ascii="Calibri" w:hAnsi="Calibri" w:cs="Calibri"/>
          <w:sz w:val="20"/>
          <w:szCs w:val="20"/>
        </w:rPr>
        <w:t xml:space="preserve"> BE, Shields AF,</w:t>
      </w:r>
      <w:r>
        <w:rPr>
          <w:rFonts w:ascii="Calibri" w:hAnsi="Calibri" w:cs="Calibri"/>
          <w:sz w:val="20"/>
          <w:szCs w:val="20"/>
        </w:rPr>
        <w:t xml:space="preserve"> et al</w:t>
      </w:r>
      <w:r w:rsidRPr="000B2071">
        <w:rPr>
          <w:rFonts w:ascii="Calibri" w:hAnsi="Calibri" w:cs="Calibri"/>
          <w:sz w:val="20"/>
          <w:szCs w:val="20"/>
        </w:rPr>
        <w:t>. PET and PET/CT reports: observations from the National Oncologic PET Registry.</w:t>
      </w:r>
      <w:r w:rsidRPr="000B2071">
        <w:rPr>
          <w:rFonts w:ascii="Calibri" w:hAnsi="Calibri" w:cs="Calibri"/>
          <w:i/>
          <w:sz w:val="20"/>
          <w:szCs w:val="20"/>
        </w:rPr>
        <w:t xml:space="preserve">  J </w:t>
      </w:r>
      <w:proofErr w:type="spellStart"/>
      <w:r w:rsidRPr="000B2071">
        <w:rPr>
          <w:rFonts w:ascii="Calibri" w:hAnsi="Calibri" w:cs="Calibri"/>
          <w:i/>
          <w:sz w:val="20"/>
          <w:szCs w:val="20"/>
        </w:rPr>
        <w:t>Nucl</w:t>
      </w:r>
      <w:proofErr w:type="spellEnd"/>
      <w:r w:rsidRPr="000B2071">
        <w:rPr>
          <w:rFonts w:ascii="Calibri" w:hAnsi="Calibri" w:cs="Calibri"/>
          <w:i/>
          <w:sz w:val="20"/>
          <w:szCs w:val="20"/>
        </w:rPr>
        <w:t xml:space="preserve"> Med.</w:t>
      </w:r>
      <w:r w:rsidRPr="000B2071">
        <w:rPr>
          <w:rFonts w:ascii="Calibri" w:hAnsi="Calibri" w:cs="Calibri"/>
          <w:sz w:val="20"/>
          <w:szCs w:val="20"/>
        </w:rPr>
        <w:t xml:space="preserve"> 2010 Jan;51(1):158-63. </w:t>
      </w:r>
      <w:proofErr w:type="spellStart"/>
      <w:r w:rsidRPr="000B2071">
        <w:rPr>
          <w:rFonts w:ascii="Calibri" w:hAnsi="Calibri" w:cs="Calibri"/>
          <w:sz w:val="20"/>
          <w:szCs w:val="20"/>
        </w:rPr>
        <w:t>doi</w:t>
      </w:r>
      <w:proofErr w:type="spellEnd"/>
      <w:r w:rsidRPr="000B2071">
        <w:rPr>
          <w:rFonts w:ascii="Calibri" w:hAnsi="Calibri" w:cs="Calibri"/>
          <w:sz w:val="20"/>
          <w:szCs w:val="20"/>
        </w:rPr>
        <w:t xml:space="preserve">: 10.2967/jnumed.109.066399. </w:t>
      </w:r>
      <w:proofErr w:type="spellStart"/>
      <w:r w:rsidRPr="000B2071">
        <w:rPr>
          <w:rFonts w:ascii="Calibri" w:hAnsi="Calibri" w:cs="Calibri"/>
          <w:sz w:val="20"/>
          <w:szCs w:val="20"/>
        </w:rPr>
        <w:t>Epub</w:t>
      </w:r>
      <w:proofErr w:type="spellEnd"/>
      <w:r w:rsidRPr="000B2071">
        <w:rPr>
          <w:rFonts w:ascii="Calibri" w:hAnsi="Calibri" w:cs="Calibri"/>
          <w:sz w:val="20"/>
          <w:szCs w:val="20"/>
        </w:rPr>
        <w:t xml:space="preserve"> 2009 Dec 15.</w:t>
      </w:r>
    </w:p>
    <w:p w14:paraId="47810C14" w14:textId="77777777" w:rsidR="00AA716C" w:rsidRPr="00F1689D" w:rsidRDefault="00AA716C" w:rsidP="00AA716C">
      <w:pPr>
        <w:pStyle w:val="EndnoteText"/>
        <w:rPr>
          <w:rFonts w:ascii="Calibri" w:hAnsi="Calibri" w:cs="Calibri"/>
        </w:rPr>
      </w:pPr>
    </w:p>
  </w:endnote>
  <w:endnote w:id="3">
    <w:p w14:paraId="3CB92CA3" w14:textId="77777777" w:rsidR="00AA716C" w:rsidRPr="000B2071" w:rsidRDefault="00AA716C" w:rsidP="00AA716C">
      <w:pPr>
        <w:pStyle w:val="EndnoteText"/>
        <w:rPr>
          <w:rFonts w:ascii="Calibri" w:hAnsi="Calibri" w:cs="Calibri"/>
        </w:rPr>
      </w:pPr>
      <w:r w:rsidRPr="00F1689D">
        <w:rPr>
          <w:rStyle w:val="EndnoteReference"/>
          <w:rFonts w:ascii="Calibri" w:hAnsi="Calibri" w:cs="Calibri"/>
        </w:rPr>
        <w:endnoteRef/>
      </w:r>
      <w:r w:rsidRPr="00F1689D">
        <w:rPr>
          <w:rFonts w:ascii="Calibri" w:hAnsi="Calibri" w:cs="Calibri"/>
        </w:rPr>
        <w:t xml:space="preserve"> </w:t>
      </w:r>
      <w:proofErr w:type="spellStart"/>
      <w:r w:rsidRPr="000B2071">
        <w:rPr>
          <w:rFonts w:ascii="Calibri" w:hAnsi="Calibri" w:cs="Calibri"/>
        </w:rPr>
        <w:t>Niederkohr</w:t>
      </w:r>
      <w:proofErr w:type="spellEnd"/>
      <w:r w:rsidRPr="000B2071">
        <w:rPr>
          <w:rFonts w:ascii="Calibri" w:hAnsi="Calibri" w:cs="Calibri"/>
        </w:rPr>
        <w:t xml:space="preserve"> RD, Greenspan BS, Prior JO, </w:t>
      </w:r>
      <w:r>
        <w:rPr>
          <w:rFonts w:ascii="Calibri" w:hAnsi="Calibri" w:cs="Calibri"/>
        </w:rPr>
        <w:t xml:space="preserve">et al.  </w:t>
      </w:r>
      <w:r w:rsidRPr="000B2071">
        <w:rPr>
          <w:rFonts w:ascii="Calibri" w:hAnsi="Calibri" w:cs="Calibri"/>
        </w:rPr>
        <w:t>Reporting guidance for oncologic 18F-FDG PET/CT imaging</w:t>
      </w:r>
      <w:r w:rsidRPr="000B2071">
        <w:rPr>
          <w:rFonts w:ascii="Calibri" w:hAnsi="Calibri" w:cs="Calibri"/>
          <w:i/>
        </w:rPr>
        <w:t xml:space="preserve">.  J </w:t>
      </w:r>
      <w:proofErr w:type="spellStart"/>
      <w:r w:rsidRPr="000B2071">
        <w:rPr>
          <w:rFonts w:ascii="Calibri" w:hAnsi="Calibri" w:cs="Calibri"/>
          <w:i/>
        </w:rPr>
        <w:t>Nucl</w:t>
      </w:r>
      <w:proofErr w:type="spellEnd"/>
      <w:r w:rsidRPr="000B2071">
        <w:rPr>
          <w:rFonts w:ascii="Calibri" w:hAnsi="Calibri" w:cs="Calibri"/>
          <w:i/>
        </w:rPr>
        <w:t xml:space="preserve"> Med.</w:t>
      </w:r>
      <w:r w:rsidRPr="000B2071">
        <w:rPr>
          <w:rFonts w:ascii="Calibri" w:hAnsi="Calibri" w:cs="Calibri"/>
        </w:rPr>
        <w:t xml:space="preserve"> 2013 May;54(5):756-61. </w:t>
      </w:r>
      <w:proofErr w:type="spellStart"/>
      <w:r w:rsidRPr="000B2071">
        <w:rPr>
          <w:rFonts w:ascii="Calibri" w:hAnsi="Calibri" w:cs="Calibri"/>
        </w:rPr>
        <w:t>doi</w:t>
      </w:r>
      <w:proofErr w:type="spellEnd"/>
      <w:r w:rsidRPr="000B2071">
        <w:rPr>
          <w:rFonts w:ascii="Calibri" w:hAnsi="Calibri" w:cs="Calibri"/>
        </w:rPr>
        <w:t xml:space="preserve">: 10.2967/jnumed.112.112177. </w:t>
      </w:r>
      <w:proofErr w:type="spellStart"/>
      <w:r w:rsidRPr="000B2071">
        <w:rPr>
          <w:rFonts w:ascii="Calibri" w:hAnsi="Calibri" w:cs="Calibri"/>
        </w:rPr>
        <w:t>Epub</w:t>
      </w:r>
      <w:proofErr w:type="spellEnd"/>
      <w:r w:rsidRPr="000B2071">
        <w:rPr>
          <w:rFonts w:ascii="Calibri" w:hAnsi="Calibri" w:cs="Calibri"/>
        </w:rPr>
        <w:t xml:space="preserve"> 2013 Apr 10.</w:t>
      </w:r>
    </w:p>
    <w:p w14:paraId="26F24D19" w14:textId="77777777" w:rsidR="00AA716C" w:rsidRPr="00F1689D" w:rsidRDefault="00AA716C" w:rsidP="00AA716C">
      <w:pPr>
        <w:pStyle w:val="EndnoteText"/>
        <w:rPr>
          <w:rFonts w:ascii="Calibri" w:hAnsi="Calibri" w:cs="Calibr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ED4D5" w14:textId="77777777" w:rsidR="00EA16FD" w:rsidRDefault="00EA16FD" w:rsidP="00AA716C">
      <w:r>
        <w:separator/>
      </w:r>
    </w:p>
  </w:footnote>
  <w:footnote w:type="continuationSeparator" w:id="0">
    <w:p w14:paraId="6D620614" w14:textId="77777777" w:rsidR="00EA16FD" w:rsidRDefault="00EA16FD" w:rsidP="00AA7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D8C"/>
    <w:multiLevelType w:val="hybridMultilevel"/>
    <w:tmpl w:val="7B841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1B43"/>
    <w:multiLevelType w:val="hybridMultilevel"/>
    <w:tmpl w:val="0D78032E"/>
    <w:lvl w:ilvl="0" w:tplc="87A8C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61F82"/>
    <w:multiLevelType w:val="hybridMultilevel"/>
    <w:tmpl w:val="7B841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604FD"/>
    <w:multiLevelType w:val="hybridMultilevel"/>
    <w:tmpl w:val="6F660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6C"/>
    <w:rsid w:val="0019703A"/>
    <w:rsid w:val="00306C49"/>
    <w:rsid w:val="0053370F"/>
    <w:rsid w:val="007771AA"/>
    <w:rsid w:val="009953E4"/>
    <w:rsid w:val="009C7E14"/>
    <w:rsid w:val="00AA716C"/>
    <w:rsid w:val="00B36E53"/>
    <w:rsid w:val="00BC6A59"/>
    <w:rsid w:val="00CB6818"/>
    <w:rsid w:val="00D119E4"/>
    <w:rsid w:val="00E31983"/>
    <w:rsid w:val="00EA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A003"/>
  <w15:chartTrackingRefBased/>
  <w15:docId w15:val="{6AC1A6E6-4D98-4C8E-A438-C254781C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16C"/>
    <w:pPr>
      <w:spacing w:after="0" w:line="240" w:lineRule="auto"/>
    </w:pPr>
    <w:rPr>
      <w:rFonts w:ascii="Lucida Bright" w:eastAsia="Times New Roman" w:hAnsi="Lucida Bright" w:cs="Lucida Brigh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716C"/>
    <w:rPr>
      <w:rFonts w:cs="Times New Roman"/>
      <w:color w:val="0000FF"/>
      <w:u w:val="single"/>
    </w:rPr>
  </w:style>
  <w:style w:type="character" w:customStyle="1" w:styleId="NormalBold">
    <w:name w:val="Normal Bold"/>
    <w:rsid w:val="00AA716C"/>
    <w:rPr>
      <w:rFonts w:cs="Times New Roman"/>
      <w:b/>
      <w:bCs/>
    </w:rPr>
  </w:style>
  <w:style w:type="paragraph" w:styleId="EndnoteText">
    <w:name w:val="endnote text"/>
    <w:basedOn w:val="Normal"/>
    <w:link w:val="EndnoteTextChar1"/>
    <w:uiPriority w:val="99"/>
    <w:semiHidden/>
    <w:rsid w:val="00AA716C"/>
    <w:rPr>
      <w:sz w:val="20"/>
      <w:szCs w:val="20"/>
    </w:rPr>
  </w:style>
  <w:style w:type="character" w:customStyle="1" w:styleId="EndnoteTextChar">
    <w:name w:val="Endnote Text Char"/>
    <w:basedOn w:val="DefaultParagraphFont"/>
    <w:uiPriority w:val="99"/>
    <w:semiHidden/>
    <w:rsid w:val="00AA716C"/>
    <w:rPr>
      <w:rFonts w:ascii="Lucida Bright" w:eastAsia="Times New Roman" w:hAnsi="Lucida Bright" w:cs="Lucida Bright"/>
      <w:sz w:val="20"/>
      <w:szCs w:val="20"/>
    </w:rPr>
  </w:style>
  <w:style w:type="character" w:customStyle="1" w:styleId="EndnoteTextChar1">
    <w:name w:val="Endnote Text Char1"/>
    <w:link w:val="EndnoteText"/>
    <w:uiPriority w:val="99"/>
    <w:semiHidden/>
    <w:locked/>
    <w:rsid w:val="00AA716C"/>
    <w:rPr>
      <w:rFonts w:ascii="Lucida Bright" w:eastAsia="Times New Roman" w:hAnsi="Lucida Bright" w:cs="Lucida Bright"/>
      <w:sz w:val="20"/>
      <w:szCs w:val="20"/>
    </w:rPr>
  </w:style>
  <w:style w:type="character" w:styleId="EndnoteReference">
    <w:name w:val="endnote reference"/>
    <w:uiPriority w:val="99"/>
    <w:semiHidden/>
    <w:rsid w:val="00AA716C"/>
    <w:rPr>
      <w:rFonts w:cs="Times New Roman"/>
      <w:vertAlign w:val="superscript"/>
    </w:rPr>
  </w:style>
  <w:style w:type="paragraph" w:customStyle="1" w:styleId="Default">
    <w:name w:val="Default"/>
    <w:rsid w:val="00AA716C"/>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39"/>
    <w:rsid w:val="00AA7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acr.org/Quality-Safety/Standards-Guidelines/Practice-Guidelines-by-Modality/Nuclear-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996</Words>
  <Characters>5678</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Measure 5:  Use of Quantitative Criteria for Oncologic FDG PET Imaging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Swain-Eng</dc:creator>
  <cp:keywords/>
  <dc:description/>
  <cp:lastModifiedBy>Rebecca Swain-Eng</cp:lastModifiedBy>
  <cp:revision>1</cp:revision>
  <dcterms:created xsi:type="dcterms:W3CDTF">2018-04-24T16:50:00Z</dcterms:created>
  <dcterms:modified xsi:type="dcterms:W3CDTF">2018-04-24T17:30:00Z</dcterms:modified>
</cp:coreProperties>
</file>