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before="0" w:line="320"/>
        <w:ind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Пермский национальный исследовательский политехнический университет</w:t>
      </w:r>
    </w:p>
    <w:p>
      <w:pPr>
        <w:spacing w:after="0" w:before="0" w:line="320"/>
        <w:ind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Кафедра информационных технологий и автоматизированных систем</w:t>
      </w:r>
    </w:p>
    <w:p>
      <w:pPr>
        <w:spacing w:after="0" w:before="60" w:line="320"/>
        <w:ind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Направление 09.03.01 «Информатика и вычислительная техника»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before="0" w:line="360"/>
        <w:ind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36"/>
          <w:szCs w:val="36"/>
        </w:rPr>
        <w:t xml:space="preserve">СЦЕНАРИЙ ВИДЕОРОЛИКА</w:t>
      </w:r>
    </w:p>
    <w:p>
      <w:pPr>
        <w:spacing w:after="0" w:before="0" w:line="360"/>
        <w:ind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«EquationLearner — десктопное приложение для изучения нелинейных уравнений»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Выполнил: студент гр. ИВТ-25-2б</w:t>
      </w:r>
    </w:p>
    <w:p>
      <w:pPr>
        <w:spacing w:after="60"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Чайников Е.А.</w:t>
      </w:r>
    </w:p>
    <w:p>
      <w:pPr>
        <w:spacing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Проверила: Полякова О.А.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г. Пермь, 2026</w:t>
      </w:r>
    </w:p>
    <w:p>
      <w:r>
        <w:br w:type="page"/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СЦЕНАРИЙ ВИДЕОРОЛИКА — EquationLearner (5 минут)</w:t>
      </w:r>
    </w:p>
    <w:p>
      <w:pPr>
        <w:spacing w:after="30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Формат: левый столбец — текст для озвучивания, правый — действия на экране</w:t>
      </w:r>
    </w:p>
    <w:p>
      <w:pPr>
        <w:spacing w:after="100" w:before="320" w:line="360"/>
        <w:jc w:val="left"/>
      </w:pPr>
      <w:r>
        <w:rPr>
          <w:rFonts w:ascii="Times New Roman" w:cs="Times New Roman" w:eastAsia="Times New Roman" w:hAnsi="Times New Roman"/>
          <w:b/>
          <w:bCs/>
          <w:color w:val="1C3F5E"/>
          <w:sz w:val="28"/>
          <w:szCs w:val="28"/>
        </w:rPr>
        <w:t xml:space="preserve">0:00 – 0:40  |  ПРОБЛЕМА И ПОСТАНОВКА ЗАДАЧИ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055"/>
      </w:tblGrid>
      <w:tr>
        <w:tc>
          <w:tcPr>
            <w:tcW w:type="dxa" w:w="5300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Текст для озвучивания</w:t>
            </w:r>
          </w:p>
        </w:tc>
        <w:tc>
          <w:tcPr>
            <w:tcW w:type="dxa" w:w="4055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Действия на экране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«Привет. Меня зовут Чайников Евгений, группа ИВТ-25-2б. Тема лабораторной работы — классы и объекты, инкапсуляция. Я разработал приложение EquationLearner.»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Рабочий стол, приложение ещё не открыто.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«Проблема, которую я решал: студенту, изучающему нелинейные уравнения, недостаточно просто посмотреть формулу. Нужно видеть, как выглядит функция на графике, понимать алгоритм пошагово и уметь написать код. Существующие калькуляторы дают только ответ — без объяснения.»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Показываешь любой онлайн-калькулятор уравнений в браузере — только цифры без пояснений.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«Моё приложение решает эту проблему: пользователь вводит уравнение и получает полный разбор — текстовый анализ, интерактивный график, блок-схему алгоритма и готовый C++-код.»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Закрываешь браузер.</w:t>
            </w:r>
          </w:p>
        </w:tc>
      </w:tr>
    </w:tbl>
    <w:p>
      <w:pPr>
        <w:spacing w:after="100" w:before="320" w:line="360"/>
        <w:jc w:val="left"/>
      </w:pPr>
      <w:r>
        <w:rPr>
          <w:rFonts w:ascii="Times New Roman" w:cs="Times New Roman" w:eastAsia="Times New Roman" w:hAnsi="Times New Roman"/>
          <w:b/>
          <w:bCs/>
          <w:color w:val="1C3F5E"/>
          <w:sz w:val="28"/>
          <w:szCs w:val="28"/>
        </w:rPr>
        <w:t xml:space="preserve">0:40 – 1:40  |  UML-ДИАГРАММА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055"/>
      </w:tblGrid>
      <w:tr>
        <w:tc>
          <w:tcPr>
            <w:tcW w:type="dxa" w:w="5300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Текст для озвучивания</w:t>
            </w:r>
          </w:p>
        </w:tc>
        <w:tc>
          <w:tcPr>
            <w:tcW w:type="dxa" w:w="4055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Действия на экране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«Перейдём к архитектуре. Приложение построено на шести классах. Главный из них — ExpressionEvaluator. Вот его UML-диаграмма.»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Открываешь docs/ExpressionEvaluator.png на весь экран.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«Публичный интерфейс минимальный: setExpression принимает строку и разбирает её, evaluate вычисляет значение при заданном X, isValid и getError позволяют проверить состояние без исключений.»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Указываешь на публичную секцию (+).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«Всё остальное — приватное. Поля m_expr, m_pos, m_x, m_valid, m_error хранят состояние внутри объекта. Снаружи они недоступны — это и есть инкапсуляция.»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Указываешь на приватные поля (−).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«Приватные методы реализуют рекурсивный спуск: parseExpr — сложение и вычитание, parseTerm — умножение и деление, parsePower — степень, parseFactor — числа, переменные, функции.»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Указываешь на приватные методы по очереди.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«Остальные пять классов: GraphWidget рисует график через OpenGL, ExplanationWidget — блок-схему через QPainter, CodeHighlighter — подсветка синтаксиса, LLMClient — HTTP-клиент к API, MainWindow — главное окно. Все скрывают детали в приватной секции.»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Убираешь диаграмму.</w:t>
            </w:r>
          </w:p>
        </w:tc>
      </w:tr>
    </w:tbl>
    <w:p>
      <w:pPr>
        <w:spacing w:after="100" w:before="320" w:line="360"/>
        <w:jc w:val="left"/>
      </w:pPr>
      <w:r>
        <w:rPr>
          <w:rFonts w:ascii="Times New Roman" w:cs="Times New Roman" w:eastAsia="Times New Roman" w:hAnsi="Times New Roman"/>
          <w:b/>
          <w:bCs/>
          <w:color w:val="1C3F5E"/>
          <w:sz w:val="28"/>
          <w:szCs w:val="28"/>
        </w:rPr>
        <w:t xml:space="preserve">1:40 – 2:40  |  КЛЮЧЕВОЙ КОД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055"/>
      </w:tblGrid>
      <w:tr>
        <w:tc>
          <w:tcPr>
            <w:tcW w:type="dxa" w:w="5300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Текст для озвучивания</w:t>
            </w:r>
          </w:p>
        </w:tc>
        <w:tc>
          <w:tcPr>
            <w:tcW w:type="dxa" w:w="4055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Действия на экране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«Смотрим на код. Файл src/main.cpp — весь парсер, 130 строк чистого C++17, ноль зависимостей от Qt. Файл защищён pragma once и подключается в Qt-компоненты как заголовочный.»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Открываешь src/main.cpp в редакторе, виден весь файл.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«Метод setExpression — сначала препроцессинг: двойная звёздочка заменяется на крышку, это поддержка Python-подобного синтаксиса для степени. Затем запускается парсер, и если что-то пошло не так — исключение перехватывается и сохраняется в m_error.»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Скроллишь к setExpression, выделяешь цикл замены ** → ^.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«parseFactor — самый интересный метод. Обрабатывает унарный минус, скобки, числа, константы pi и e, переменную x и вызовы функций. Ключевая фишка — неявное умножение: если после числа идёт буква или скобка, parseTerm автоматически умножает. Можно писать 2x вместо 2*x.»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Скроллишь к parseFactor, выделяешь блок isalpha.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«GraphWidget — пример наследования. Наследует QOpenGLWidget, переопределяет initializeGL, paintGL, resizeGL и обработчики мыши. Публичный API — только два метода. Вся OpenGL-логика скрыта внутри.»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Открываешь qt/graphwidget.h, указываешь на public и private секции.</w:t>
            </w:r>
          </w:p>
        </w:tc>
      </w:tr>
    </w:tbl>
    <w:p>
      <w:pPr>
        <w:spacing w:after="100" w:before="320" w:line="360"/>
        <w:jc w:val="left"/>
      </w:pPr>
      <w:r>
        <w:rPr>
          <w:rFonts w:ascii="Times New Roman" w:cs="Times New Roman" w:eastAsia="Times New Roman" w:hAnsi="Times New Roman"/>
          <w:b/>
          <w:bCs/>
          <w:color w:val="1C3F5E"/>
          <w:sz w:val="28"/>
          <w:szCs w:val="28"/>
        </w:rPr>
        <w:t xml:space="preserve">2:40 – 4:30  |  ДЕМОНСТРАЦИЯ РАБОТЫ ПРОГРАММЫ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055"/>
      </w:tblGrid>
      <w:tr>
        <w:tc>
          <w:tcPr>
            <w:tcW w:type="dxa" w:w="5300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Текст для озвучивания</w:t>
            </w:r>
          </w:p>
        </w:tc>
        <w:tc>
          <w:tcPr>
            <w:tcW w:type="dxa" w:w="4055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Действия на экране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«Смотрим, как это работает. Запускаю приложение.»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Запускаешь EquationLearner.exe, виден весь интерфейс.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«В верхней строке — URL API, модель и ключ. Приложение работает с любым OpenAI-совместимым сервисом. Ввожу уравнение — x в кубе минус два x плюс один равно нулю. Метод — Авто.»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Указываешь на верхнюю строку. Вводишь x^3 - 2*x + 1 = 0.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«Нажимаю Анализировать. Запрос уходит к языковой модели асинхронно — интерфейс не зависает.»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Нажимаешь «Анализировать», ждёшь ответа.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«Первая вкладка — текстовый анализ. Модель объясняет тип уравнения, свойства, корни и ход решения.»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Прокручиваешь первую вкладку с текстом.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«Вторая вкладка — интерактивный OpenGL-график. Видны три пересечения с осью X — три корня. Масштабирую колесом, перетаскиваю зажатой кнопкой. Геометрия хранится в видеопамяти — всё плавно.»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Переключаешься на «График». Крутишь колесо. Перетаскиваешь. Указываешь на нули функции.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«Третья вкладка — блок-схема алгоритма решения, нарисованная через QPainter.»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Открываешь «Блок-схему», водишь мышью по блокам.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«Четвёртая вкладка — C++-код с подсветкой синтаксиса. Можно скопировать и сразу скомпилировать.»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Открываешь «Код», прокручиваешь.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«Пробую другое уравнение — синус x минус x пополам. Снова анализирую и смотрю график.»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Вводишь sin(x) - x/2 = 0, нажимаешь «Анализировать», переходишь на «График».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«Слева — история запросов, сохраняется между сессиями. Клик восстанавливает уравнение.»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Кликаешь по записи в истории слева.</w:t>
            </w:r>
          </w:p>
        </w:tc>
      </w:tr>
    </w:tbl>
    <w:p>
      <w:pPr>
        <w:spacing w:after="100" w:before="320" w:line="360"/>
        <w:jc w:val="left"/>
      </w:pPr>
      <w:r>
        <w:rPr>
          <w:rFonts w:ascii="Times New Roman" w:cs="Times New Roman" w:eastAsia="Times New Roman" w:hAnsi="Times New Roman"/>
          <w:b/>
          <w:bCs/>
          <w:color w:val="1C3F5E"/>
          <w:sz w:val="28"/>
          <w:szCs w:val="28"/>
        </w:rPr>
        <w:t xml:space="preserve">4:30 – 5:00  |  ИНСТРУМЕНТЫ И ДОСТИЖЕНИЯ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055"/>
      </w:tblGrid>
      <w:tr>
        <w:tc>
          <w:tcPr>
            <w:tcW w:type="dxa" w:w="5300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Текст для озвучивания</w:t>
            </w:r>
          </w:p>
        </w:tc>
        <w:tc>
          <w:tcPr>
            <w:tcW w:type="dxa" w:w="4055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Действия на экране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«Стек: C++17, Qt 6, OpenGL 3.3, CMake с Ninja, Git и GitHub. Видео записано в OBS Studio.»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Показываешь интерфейс приложения целиком.</w:t>
            </w:r>
          </w:p>
        </w:tc>
      </w:tr>
      <w:tr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«Главные достижения: OpenGL-рендерер с нуля с шейдерами и 4×MSAA, парсер с неявным умножением методом рекурсивного спуска, и универсальный LLM-клиент — меняешь URL и модель, и всё работает с любым API. Спасибо за внимание.»</w:t>
            </w:r>
          </w:p>
        </w:tc>
        <w:tc>
          <w:tcPr>
            <w:tcW w:type="dxa" w:w="40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Переключаешь вкладки — График, Блок-схема, Код — красивый финальный кадр.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ХРОНОМЕТРАЖ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55"/>
      </w:tblGrid>
      <w:tr>
        <w:tc>
          <w:tcPr>
            <w:tcW w:type="dxa" w:w="1900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Время</w:t>
            </w:r>
          </w:p>
        </w:tc>
        <w:tc>
          <w:tcPr>
            <w:tcW w:type="dxa" w:w="7455"/>
            <w:tcBorders>
              <w:top w:val="single" w:color="1C3F5E" w:sz="6"/>
              <w:left w:val="single" w:color="1C3F5E" w:sz="6"/>
              <w:bottom w:val="single" w:color="1C3F5E" w:sz="6"/>
              <w:right w:val="single" w:color="1C3F5E" w:sz="6"/>
            </w:tcBorders>
            <w:shd w:fill="1C3F5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Блок</w:t>
            </w:r>
          </w:p>
        </w:tc>
      </w:tr>
      <w:tr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0:00 – 0:40</w:t>
            </w:r>
          </w:p>
        </w:tc>
        <w:tc>
          <w:tcPr>
            <w:tcW w:type="dxa" w:w="74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Проблема и постановка задачи</w:t>
            </w:r>
          </w:p>
        </w:tc>
      </w:tr>
      <w:tr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0:40 – 1:40</w:t>
            </w:r>
          </w:p>
        </w:tc>
        <w:tc>
          <w:tcPr>
            <w:tcW w:type="dxa" w:w="74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UML-диаграмма</w:t>
            </w:r>
          </w:p>
        </w:tc>
      </w:tr>
      <w:tr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1:40 – 2:40</w:t>
            </w:r>
          </w:p>
        </w:tc>
        <w:tc>
          <w:tcPr>
            <w:tcW w:type="dxa" w:w="74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Ключевой код</w:t>
            </w:r>
          </w:p>
        </w:tc>
      </w:tr>
      <w:tr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2:40 – 4:30</w:t>
            </w:r>
          </w:p>
        </w:tc>
        <w:tc>
          <w:tcPr>
            <w:tcW w:type="dxa" w:w="74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Демонстрация работы программы</w:t>
            </w:r>
          </w:p>
        </w:tc>
      </w:tr>
      <w:tr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4:30 – 5:00</w:t>
            </w:r>
          </w:p>
        </w:tc>
        <w:tc>
          <w:tcPr>
            <w:tcW w:type="dxa" w:w="745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80"/>
              <w:ind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Инструменты и достижения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СОВЕТЫ ПЕРЕД ЗАПИСЬЮ</w:t>
      </w:r>
    </w:p>
    <w:p>
      <w:pPr>
        <w:spacing w:after="80" w:before="0" w:line="360"/>
        <w:ind w:left="560" w:hanging="28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Подготовь уравнения заранее: x^3 - 2*x + 1,  sin(x) - x/2,  exp(x) - 3*x  — не набирай вживую</w:t>
      </w:r>
    </w:p>
    <w:p>
      <w:pPr>
        <w:spacing w:after="80" w:before="0" w:line="360"/>
        <w:ind w:left="560" w:hanging="28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Открой docs/ExpressionEvaluator.png в просмотрщике и сверни — чтобы быстро развернуть на UML-блок</w:t>
      </w:r>
    </w:p>
    <w:p>
      <w:pPr>
        <w:spacing w:after="80" w:before="0" w:line="360"/>
        <w:ind w:left="560" w:hanging="28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Открой src/main.cpp и qt/graphwidget.h в редакторе заранее — не ищи файлы на камеру</w:t>
      </w:r>
    </w:p>
    <w:p>
      <w:pPr>
        <w:spacing w:after="80" w:before="0" w:line="360"/>
        <w:ind w:left="560" w:hanging="28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API-ключ вставь до начала записи, не показывай его на экране</w:t>
      </w:r>
    </w:p>
    <w:p>
      <w:pPr>
        <w:spacing w:after="80" w:before="0" w:line="360"/>
        <w:ind w:left="560" w:hanging="28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Говори чуть медленнее обычного — примерно 130 слов в минуту</w:t>
      </w:r>
    </w:p>
    <w:p>
      <w:pPr>
        <w:spacing w:after="80" w:before="0" w:line="360"/>
        <w:ind w:left="560" w:hanging="28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OBS: разрешение 1920×1080, запись в mp4, битрейт 8000 кбит/с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2026-05-23T23:55:55.367Z</dcterms:created>
  <dcterms:modified xsi:type="dcterms:W3CDTF">2026-05-23T23:55:55.367Z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