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419"/>
          <w:sz w:val="48"/>
          <w:szCs w:val="48"/>
        </w:rPr>
        <w:t xml:space="preserve">LINKEDIN CONTENT STRATEGY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Visual Research Portfolio Campaign</w:t>
      </w:r>
    </w:p>
    <w:p>
      <w:pPr>
        <w:pBdr>
          <w:bottom w:val="single" w:color="C0392B" w:sz="6" w:space="8"/>
        </w:pBdr>
        <w:spacing w:after="200"/>
        <w:jc w:val="center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419"/>
          <w:sz w:val="28"/>
          <w:szCs w:val="28"/>
        </w:rPr>
        <w:t xml:space="preserve">Armin Bayati, PhD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Research Fellow • Harvard Medical School &amp; Massachusetts General Hospital</w:t>
      </w: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arminbayati.com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4F3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4"/>
                <w:szCs w:val="44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Branded Images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4F3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4"/>
                <w:szCs w:val="44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Weeks of Content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4F3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4"/>
                <w:szCs w:val="44"/>
              </w:rPr>
              <w:t xml:space="preserve">2x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Posts Per Week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Strategy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a 10-week LinkedIn content campaign designed to showcase your research portfolio, drive traffic to arminbayati.com, and position you as a visible leader in iPSC neuroscience, disease modeling, and translational research.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Posting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twice per week: Monday and Thursday. Monday posts introduce a research theme with striking visuals. Thursday posts go deeper into methodology or results.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per week (Mon + Thu)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Enough for visibility without audience fatigue. LinkedIn algorithm favors consistent posting.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Times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8–10 AM, Thu 8–10 AM (EST)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engagement for biotech/pharma professionals. Catches morning commute + desk arrivals.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Mix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visual data, 20% methodology, 20% career/portfolio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with striking images. Intersperse technique posts and personal reflection.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per post max (see each post)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5 reduces reach. Mix broad (#Neuroscience) with niche (#iPSCNeurons).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post links to relevant page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traffic to specific portfolio pages, not just the homepage.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weeks (20 posts total)</w:t>
            </w:r>
          </w:p>
        </w:tc>
        <w:tc>
          <w:tcPr>
            <w:tcW w:type="dxa" w:w="358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full portfolio breadth. Can be recycled quarterly with updated captions.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 Themes &amp; Rotation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week pairs two complementary themes to maintain variety while building a coherent narrative arc across your research story.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 Theme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 Theme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+ Portfolio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Parkinson’s Disease Model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Broad network + neuroscience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Microscopy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Super-Resolution (STED)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Microscopists + cell biologists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Discovery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SARS-CoV-2 Antiviral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Pharma + virology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Lysosomal Biology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Nanogold Trafficking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Cell biologists + PD researchers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Neuronal Networks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Vivo Ultrastructure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Neuroscience community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RT-qPCR Data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Autophagy &amp; Stress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Molecular biology + iPSC community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iPSC Quality Control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Propagation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Stem cell researchers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Synaptic EM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Organelle Crosstalk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Neuroscience + cell biology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Proteomics Pipeline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Hiring managers + collaborators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 Profiling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Pseudovirus Assay</w:t>
            </w:r>
          </w:p>
        </w:tc>
        <w:tc>
          <w:tcPr>
            <w:tcW w:type="dxa" w:w="2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Immunology + virology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Engagement &amp; Growth Tactics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Before You Post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Optimize your LinkedIn profile: headline should reference iPSC neuroscience + Harvard/MGH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Featured section to link directly to arminbayati.com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About section to mention the interactive portfolio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with 20–30 researchers in your field before the campaign starts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Formatting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line must be a hook — question, surprising fact, or bold statement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line breaks liberally (LinkedIn truncates at ~3 lines before “...see more”)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 exactly 1 image per post (multi-image carousels for milestone posts)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every post with a direct link to the relevant portfolio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5 hashtags maximum, placed at the end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Engagement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Reply to every comment within 2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Like and comment on 5 posts from your network daily (before and after posting)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other researchers’ work 1x per week with genuine commentary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Join and participate in 2–3 relevant LinkedIn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collaborators and institutions when relevant (but don’t over-tag)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Growth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Connections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Impressions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 Visits</w:t>
            </w:r>
          </w:p>
        </w:tc>
      </w:tr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500–800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</w:t>
            </w:r>
          </w:p>
        </w:tc>
      </w:tr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1,000–2,000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80–120</w:t>
            </w:r>
          </w:p>
        </w:tc>
      </w:tr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2,500–4,000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150–250</w:t>
            </w:r>
          </w:p>
        </w:tc>
      </w:tr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4,000–7,000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300–500</w:t>
            </w:r>
          </w:p>
        </w:tc>
      </w:tr>
      <w:tr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6,000–10,000</w:t>
            </w:r>
          </w:p>
        </w:tc>
        <w:tc>
          <w:tcPr>
            <w:tcW w:type="dxa" w:w="234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500–800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Detailed Post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is the complete copy for all 20 posts. Each post includes the image filename, hashtags, and ready-to-paste text.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1: Launch Announcement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linkedin-assets/LI_01_ipsc_da_characterization.jpg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#iPSCNeurons #Parkinsons #NeuroscienceResearch #StemCells #HarvardMedicine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I’m excited to share my new interactive research portfolio — arminbayati.com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years of bench work across iPSC neuroscience, proteomics, microscopy, and drug discovery, I’ve built a visual walkthrough of my research journey.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Inside you’ll find: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Interactive schematics of iPSC differentiation pipelines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Confocal, STED, and electron microscopy galleries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RT-qPCR, proteomics, and flow cytometry datasets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Drug discovery screening results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 vivo ultrastructure from my Honours thesis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panel shows immunocytochemistry confirming dopaminergic neuron identity — DAT, GIRK2, TH, MAP2 — from iPSC-derived neurons at DIV 42.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Explore the full portfolio: arminbayati.com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2: Parkinson’s Disease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linkedin-assets/LI_02_dual_hit_model.jpg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#Parkinsons #AlphaSynuclein #NeuroinflammationResearch #iPSC #DiseaseModeling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model Parkinson’s disease in a dish?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dual-hit model combines pre-formed α-synuclein fibrils (PFFs) with IFN-γ neuroinflammation in iPSC-derived dopaminergic neurons.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result: Lewy body–like inclusions that recapitulate key features of patient pathology.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confocal image shows the dramatic difference between PFF-only and PFF + IFN-γ conditions — neuroinflammation acts as a critical accelerator of synucleinopathy.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it matters: most cell models use PFFs alone. Adding the inflammatory component creates a far more disease-relevant system for drug screening.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figure and full methodology: arminbayati.com/ipscs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3: Electron Microscopy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linkedin-assets/LI_04_em_lewy_body.jpg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#ElectronMicroscopy #LewyBody #Ultrastructure #Neurodegeneration #TEM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Sometimes the most powerful data comes from seeing things at 50,000x magnification.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transmission electron micrographs show Lewy body–like inclusions in iPSC-derived dopaminergic neurons — membrane-bound, fibrillar structures that mirror what’s found in patient brain tissue.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correlative light-electron microscopy (CLEM), we mapped fluorescent pSyn+ aggregates to their ultrastructural identity.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finding: 38% of inclusions were membrane-bound fibrillar structures. The rest ranged from amorphous aggregates to lysosomal and mitochondria-associated deposits.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microscopy gallery: arminbayati.com/microscopy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4: Super-Resolution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linkedin-assets/LI_08_sted_comparison.jpg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#STED #SuperResolution #Nanoscopy #CellBiology #Microscopy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Confocal says “there’s an aggregate.”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STED says “there are 3 sub-structures inside that aggregate.”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side-by-side shows why super-resolution matters. STED nanoscopy (~50 nm) resolves sub-lysosomal fibril architectures that confocal (~200 nm) simply cannot.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our iPSC Parkinson’s model, STED revealed that what appears as a single perinuclear aggregate in confocal is actually a cluster of distinct fibrillar deposits at different stages of maturation.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comparison and imaging platforms: arminbayati.com/microscopy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5: Drug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linkedin-assets/LI_09_drug_inclusion_reduction.jpg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#DrugDiscovery #Neurodegeneration #PhenotypicScreening #iPSCNeurons #Preclinical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we clear α-synuclein inclusions from living neurons?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time course shows progressive reduction of α-synuclein inclusion burden over 1, 4, and 8 days of compound treatment in iPSC-derived dopaminergic neurons.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key: activating autophagy and lysosomal clearance pathways. RT-qPCR confirmed upregulation of TFEB (lysosomal biogenesis master regulator) and NRF2 (oxidative stress response).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Western blots corroborated the imaging — reduced pSyn, increased LAMP1/LAMP2, elevated autophagy markers.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what translational neuroscience looks like: from patient iPSCs to disease modeling to therapeutic screening.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drug discovery pipeline: arminbayati.com/drug-discovery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6: SARS-CoV-2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linkedin-assets/LI_10_sars_antiviral.jpg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#SARSCoV2 #AntiviralResearch #DrugDiscovery #CK2Inhibitor #COVID19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During the pandemic, our lab pivoted to SARS-CoV-2 antiviral research.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identified casein kinase 2 (CK2) as a druggable host factor required for viral entry. CK2 inhibitors blocked spike protein binding, endocytosis, replication, and cell-to-cell transmission.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structure-activity relationship was striking: compound potency against CK2 directly predicted antiviral efficacy (R² = 0.68).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schematic maps every intervention point in the viral lifecycle — from receptor binding through exosomal transmission.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antiviral screening data: arminbayati.com/drug-discovery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7: Lysosomal Biology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linkedin-assets/LI_11_lysosomal_rupture.jpg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#Lysosome #CellBiology #Neurodegeneration #AlphaSynuclein #ElectronMicroscopy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Lysosomes are supposed to degrade α-synuclein fibrils. But what happens when fibrils fight back?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electron micrographs capture the moment — PFFs breaching lysosomal membranes and leaking into the cytosol.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nanogold-labeled fibrils, we tracked the full trafficking pathway: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Surface binding → macropinocytosis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Macropinosome → multivesicular body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MVB → lysosome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Lysosomal rupture → cytosolic seeding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Galectin-3 puncta confirmed membrane damage. GBA knockout neurons showed it even worse — enlarged, PFF-laden lysosomes unable to clear their cargo.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Lysosomal biology deep dive: arminbayati.com/genetics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8: Nanogold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linkedin-assets/LI_12_nanogold_tracking.jpg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#IntracellularTrafficking #Endocytosis #NanogoldLabeling #TEM #NeuroscienceResearch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does a 10 nm gold particle help us understand Parkinson’s disease?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conjugating nanogold to pre-formed α-synuclein fibrils, we can track their journey through the cell at ultrastructural resolution.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EM series shows the complete trafficking pathway: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(i) Surface binding via macropinocytosis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(ii–iii) Internalization into macropinosomes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(iv–v) Delivery to lysosomes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nanogold approach lets us correlate confocal fluorescence with EM ultrastructure — bridging the gap between imaging modalities.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trafficking schematic: arminbayati.com/cellular-assays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9: Neuronal Networks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linkedin-assets/LI_07_neuronal_network.jpg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#NeuronalCulture #iPSC #Confocal #CellCulture #Neuroscience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There’s something beautiful about a mature iPSC neuronal network.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4-channel overlay shows: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Vimentin (intermediate filaments)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PFF-488 (α-synuclein fibrils)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γ-Tubulin (centrosomes)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TUJ1 (neuronal βIII-tubulin)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DIV 42, these iPSC-derived cultures form dense, interconnected networks with spontaneous electrical activity measurable by microelectrode arrays.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Multiplexed imaging like this helps us quantify not just inclusion burden, but network integrity, neurite density, and organelle distribution simultaneously.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characterization data: arminbayati.com/ipscs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10: In Vivo Ultrastructure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linkedin-assets/LI_16_invivo_pseudocolor.jpg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#InVivo #ElectronMicroscopy #Ischemia #BrainResearch #Neuropathology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research journey started with in vivo ultrastructural analysis of ischemic brain injury.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pseudocolored TEM shows the cellular landscape of mouse somatosensory cortex after stroke: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Blue: neurons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Yellow: astrocytes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Red: mitochondria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the peri-infarct zone, you can see the graded damage — from healthy contralateral neurons to progressively degenerating cells approaching the necrotic core.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Honours thesis quantified synaptic density, mitochondrial morphology, and astrocytic responses across these zones at EM resolution.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vivo gallery: arminbayati.com/in-vivo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11: RT-qPCR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linkedin-assets/LI_03_lewy_body_schematic.jpg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#qPCR #GeneExpression #iPSCNeurons #Parkinsons #Biomarkers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molecular fingerprint of a dopaminergic neuron.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RT-qPCR across 6 key markers — TH, DAT, NURR1, MAP2, TUBB3, FOXA2 — confirms dopaminergic identity in iPSC-derived neurons from 3 genetic backgrounds.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findings: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SNCA Triplication lines show ~35% reduced TH and DAT expression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GBA-N370S shows intermediate downregulation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FOXA2 (floor plate marker) drops significantly under PFF+IFN-γ stress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expression profiles validate that our disease models recapitulate the transcriptional vulnerability seen in patient neurons.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qPCR charts: arminbayati.com/ipscs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12: Autophagy &amp; Stress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linkedin-assets/LI_14_autophagy_ifn.jpg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#Autophagy #Neuroinflammation #LysosomalStorage #CellStress #iPSC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Autophagy impairment is one of the earliest cellular events in Parkinson’s disease.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confocal time course (Day 2 to Day 21) tracks LC3B and PFF signals under two conditions: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PFF only: gradual autophagy engagement, partial clearance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PFF + IFN-γ: progressive autophagy failure, inclusion accumulation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Day 21, dual-hit neurons show massive LC3B accumulation co-localized with PFF aggregates — indicating stalled autophagic flux.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why targeting autophagy activation is a promising therapeutic strategy for synucleinopathies.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assay data: arminbayati.com/cellular-assays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13: iPSC QC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linkedin-assets/LI_13_ipsc_qc.jpg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#iPSC #StemCells #QualityControl #CellTherapy #Pluripotency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control is the backbone of iPSC research.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experiment, every iPSC line goes through rigorous validation: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Phase contrast morphology — tight colonies, defined edges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Pluripotency ICC — OCT4, NANOG, TRA-1-60, SSEA-4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Karyotyping — no chromosomal abnormalities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Mycoplasma testing — negative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I’ve generated and banked over 20 iPSC lines from 9 donors at the EDDU (McGill) — some of the most homogeneous cultures in the field.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Cell line details and differentiation protocols: arminbayati.com/ipscs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14: Disease Propagation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linkedin-assets/LI_15_disease_propagation.jpg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#PrionLike #AlphaSynuclein #Exosomes #NeuroscienceResearch #CellBiology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α-Synuclein doesn’t just aggregate — it spreads.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schematic maps the prion-like propagation pathway we characterized: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Macropinocytosis of PFFs at the cell surface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Endosomal sorting into multivesicular bodies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Lysosomal processing (and failure)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Exosomal release of pathological seeds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Uptake by naïve recipient neurons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nanogold-labeled PFFs and CD63-GFP exosome reporters, we tracked every step at both confocal and EM resolution.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endocytosis schematic: arminbayati.com/cellular-assays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15: Synaptic 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linkedin-assets/LI_17_synapse_em.jpg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#Synapse #Ultrastructure #Neuroscience #ElectronMicroscopy #BrainResearch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synapse at 50,000x.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pseudocolored TEM shows pre-synaptic (green) and post-synaptic (blue) structures in mouse somatosensory cortex.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my Honours thesis, I quantified: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Synaptic vesicle density per terminal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Active zone length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Post-synaptic density thickness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Mitochondrial proximity to release sites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parameters were compared between healthy contralateral cortex and peri-infarct zones after ischemic stroke, revealing graded synaptic degeneration as a function of distance from the infarct core.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synaptic analysis: arminbayati.com/in-vivo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16: Organelle Crosstalk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linkedin-assets/LI_20_mito_lyso_pff.jpg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#Mitochondria #Lysosome #Organelle #CellBiology #Neurodegeneration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Mitochondria, lysosomes, and α-synuclein fibrils: a three-way collision.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triple-stain overlay (Tom20 / LAMP1 / PFF) reveals organelle interactions that drive neuronal dysfunction: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Tom20 marks mitochondria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LAMP1 marks lysosomes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PFF-488 marks α-synuclein fibrils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PFF-treated neurons, we see fibril accumulation at mitochondria-lysosome contact sites — suggesting a mechanism where lysosomal failure redirects pathological cargo toward mitochondrial membranes.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has implications for understanding why mitochondrial dysfunction is such a consistent feature of Parkinson’s disease.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organelle biology: arminbayati.com/cellular-assays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17: Proteomics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linkedin-assets/LI_06_clem_inclusion.jpg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#Proteomics #TMT #MassSpec #MultiOmics #SystemsBiology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proteins to pathways: how multi-omics reveals disease mechanisms.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proteomics pipeline integrates: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TMT-based quantitative proteomics (&gt;7,000 proteins)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Single-cell RNA-seq (10x Chromium)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Bulk RNA-seq with DESeq2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GSEA pathway enrichment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finding: lysosomal, autophagy, and IFN-γ response pathways were the most significantly dysregulated in our Parkinson’s model.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interactive multi-omics pipeline schematic on my site lets you explore every step — from sample prep through bioinformatics integration.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proteomics data: arminbayati.com/proteomics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18: 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linkedin-assets/LI_05_confocal_pff.jpg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#ResearchSkills #LabSkills #Microscopy #Neuroscience #AcademicPortfolio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 a visual portfolio of your research skills isn’t just about self-promotion — it’s about showing, not telling.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I describe my microscopy experience, I can now point to: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Confocal galleries with 50+ figures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Super-resolution (STED, Airyscan) comparisons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Electron microscopy ultrastructure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Live-cell IncuCyte time courses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CLEM correlative imaging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anyone in research considering building an interactive portfolio: it’s worth the investment. It transforms a static CV into a living demonstration of your capabilities.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full portfolio: arminbayati.com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Post 19: Immune Profiling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 — Monday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linkedin-assets/LI_19_antibody_profiling.jpg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#Immunology #AntibodyProfiling #CancerImmunology #FlowCytometry #CellBiology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antibody profiling: the foundation of reliable immunostaining.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running a single experiment, I validate every antibody against: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Known positive/negative cell lines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Multiple fixation conditions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Titration curves for optimal signal-to-noise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Orthogonal confirmation (Western blot, flow)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panel shows Rab endosomal marker characterization and EEA1 vs LAMP1 colocalization analysis in iPSC-derived neurons.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difference between good and great microscopy data starts long before you touch the microscope.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Microscopy methods: arminbayati.com/microscopy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Post 20: Pseudovirus Assay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10 — Thursday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File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linkedin-assets/LI_18_pseudovirus_gfp.jpg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Hashtags</w:t>
            </w:r>
          </w:p>
        </w:tc>
        <w:tc>
          <w:tcPr>
            <w:tcW w:type="dxa" w:w="7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#Virology #PseudovirusAssay #DrugScreening #SARSCoV2 #BSL2</w:t>
            </w:r>
          </w:p>
        </w:tc>
      </w:tr>
    </w:tbl>
    <w:p>
      <w:pPr>
        <w:spacing w:after="80" w:before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D0C8" w:sz="1"/>
              <w:left w:val="single" w:color="C0392B" w:sz="4"/>
              <w:bottom w:val="single" w:color="D4D0C8" w:sz="1"/>
              <w:right w:val="single" w:color="D4D0C8" w:sz="1"/>
            </w:tcBorders>
            <w:shd w:fill="FA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antivirals without BSL-3: the pseudovirus approach.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SARS-CoV-2 pseudovirus particles (bearing spike protein on a lentiviral backbone with GFP reporter) let us screen antiviral compounds at BSL-2 biosafety.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Left: Untreated — robust GFP expression = successful viral entry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Right: CK2 inhibitor — near-complete suppression of entry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assay enabled us to screen &gt;200 compounds in 96-well format with Z’ factors consistently &gt;0.5.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Antiviral screening results: arminbayati.com/drug-discovery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Image Asset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20 branded images are saved in the linkedin-assets/ folder within your site directory. Each image is 1200×627px (LinkedIn optimal) with branded title bar, category tag, and footer with your name, affiliation, and website URL.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500"/>
        <w:gridCol w:w="2500"/>
      </w:tblGrid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0F14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Link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LI_01_ipsc_da_characterization.jpg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Announcement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LI_02_dual_hit_model.jpg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Parkinson’s Disease Model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ipscs.html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LI_04_em_lewy_body.jpg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Microscopy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microscopy.html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LI_08_sted_comparison.jpg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Super-Resolution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microscopy.html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LI_09_drug_inclusion_reduction.jpg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Discovery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drug-discovery.html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LI_10_sars_antiviral.jpg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SARS-CoV-2 Research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drug-discovery.html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LI_11_lysosomal_rupture.jpg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Lysosomal Biology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genetics.html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LI_12_nanogold_tracking.jpg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Nanogold Tracking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cellular-assays.html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LI_07_neuronal_network.jpg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Neuronal Networks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ipscs.html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LI_16_invivo_pseudocolor.jpg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Vivo Ultrastructure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in-vivo.html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LI_03_lewy_body_schematic.jpg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RT-qPCR Data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ipscs.html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LI_14_autophagy_ifn.jpg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Autophagy &amp; Stress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cellular-assays.html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LI_13_ipsc_qc.jpg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iPSC QC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ipscs.html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LI_15_disease_propagation.jpg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 Propagation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cellular-assays.html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LI_17_synapse_em.jpg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Synaptic EM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in-vivo.html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LI_20_mito_lyso_pff.jpg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Organelle Crosstalk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cellular-assays.html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LI_06_clem_inclusion.jpg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Proteomics Pipeline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proteomics.html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LI_05_confocal_pff.jpg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LI_19_antibody_profiling.jpg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Immune Profiling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microscopy.html</w:t>
            </w:r>
          </w:p>
        </w:tc>
      </w:tr>
      <w:tr>
        <w:tc>
          <w:tcPr>
            <w:tcW w:type="dxa" w:w="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LI_18_pseudovirus_gfp.jpg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Pseudovirus Assay</w:t>
            </w:r>
          </w:p>
        </w:tc>
        <w:tc>
          <w:tcPr>
            <w:tcW w:type="dxa" w:w="2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drug-discovery.html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Beyond Week 10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Content Recycling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initial 10-week campaign, recycle high-performing posts with updated captions. Change the hook, add new results, or tie to current events (publications, conferences, news).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New Content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Publication announcements with figure highlights from the paper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Conference posters and presentations (share 1–2 key slides)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Behind-the-scenes lab content (sample prep, instrument 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Methodology explainers (e.g., “How STED nanoscopy works”)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Collaboration spotlights (tag co-authors and labs)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Career reflections (PhD journey, postdoc transition, advice)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Interactive figure demos (screen recordings of the website)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Analytics to Track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LinkedIn: impressions, engagement rate, profile views, follower growth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Website: Google Analytics pageviews, referral source = LinkedIn, session duration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Content: which themes get highest engagement (save rate matters most for reach)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</w:rPr>
        <w:t xml:space="preserve">Recommended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Buffer or Hootsuite: schedule posts in advance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Canva: quick touch-ups on branded images if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Analytics: track arminbayati.com traffic from LinkedIn referrals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LinkedIn Analytics: built-in dashboard for post performance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LINKEDIN CONTENT STRATEGY</w:t>
    </w:r>
    <w:r>
      <w:rPr>
        <w:rFonts w:ascii="Arial" w:cs="Arial" w:eastAsia="Arial" w:hAnsi="Arial"/>
        <w:color w:val="C0392B"/>
        <w:sz w:val="16"/>
        <w:szCs w:val="16"/>
      </w:rPr>
      <w:t xml:space="preserve">	arminbayati.com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4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14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2026-03-08T19:06:33.466Z</dcterms:created>
  <dcterms:modified xsi:type="dcterms:W3CDTF">2026-03-08T19:06:33.467Z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