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C0392B"/>
          <w:spacing w:val="200"/>
          <w:sz w:val="20"/>
          <w:szCs w:val="20"/>
        </w:rPr>
        <w:t xml:space="preserve">LINKEDIN CONTENT STRATEGY</w:t>
      </w:r>
    </w:p>
    <w:p>
      <w:pPr>
        <w:spacing w:after="200"/>
        <w:jc w:val="center"/>
      </w:pPr>
      <w:r>
        <w:rPr>
          <w:rFonts w:ascii="Arial" w:cs="Arial" w:eastAsia="Arial" w:hAnsi="Arial"/>
          <w:b/>
          <w:bCs/>
          <w:color w:val="0F1419"/>
          <w:sz w:val="44"/>
          <w:szCs w:val="44"/>
        </w:rPr>
        <w:t xml:space="preserve">Practical Cell Biology for Scientists</w:t>
      </w:r>
    </w:p>
    <w:p>
      <w:pPr>
        <w:spacing w:after="120"/>
        <w:jc w:val="center"/>
      </w:pPr>
      <w:r>
        <w:rPr>
          <w:rFonts w:ascii="Arial" w:cs="Arial" w:eastAsia="Arial" w:hAnsi="Arial"/>
          <w:color w:val="6B7280"/>
          <w:sz w:val="24"/>
          <w:szCs w:val="24"/>
        </w:rPr>
        <w:t xml:space="preserve">Experimental tips, troubleshooting guides, and method deep-dives</w:t>
      </w:r>
    </w:p>
    <w:p>
      <w:pPr>
        <w:spacing w:after="400"/>
        <w:jc w:val="center"/>
      </w:pPr>
      <w:r>
        <w:rPr>
          <w:rFonts w:ascii="Arial" w:cs="Arial" w:eastAsia="Arial" w:hAnsi="Arial"/>
          <w:color w:val="6B7280"/>
          <w:sz w:val="22"/>
          <w:szCs w:val="22"/>
        </w:rPr>
        <w:t xml:space="preserve">Armin Bayati, PhD  |  Harvard Medical School &amp; Massachusetts General Hospital</w:t>
      </w:r>
    </w:p>
    <w:p>
      <w:pPr>
        <w:pBdr>
          <w:top w:val="single" w:color="C0392B" w:sz="6" w:space="12"/>
        </w:pBdr>
        <w:spacing w:before="200"/>
        <w:jc w:val="center"/>
      </w:pPr>
      <w:r>
        <w:rPr>
          <w:rFonts w:ascii="Arial" w:cs="Arial" w:eastAsia="Arial" w:hAnsi="Arial"/>
          <w:color w:val="6B7280"/>
          <w:sz w:val="20"/>
          <w:szCs w:val="20"/>
        </w:rPr>
        <w:t xml:space="preserve">10 Weeks  |  3 Posts/Week  |  30 Educational Posts  |  arminbayati.com</w:t>
      </w:r>
    </w:p>
    <w:p>
      <w:r>
        <w:br w:type="page"/>
      </w:r>
    </w:p>
    <w:p>
      <w:pPr>
        <w:pStyle w:val="Heading1"/>
      </w:pPr>
      <w:r>
        <w:t xml:space="preserve">Strategy Overview</w:t>
      </w:r>
    </w:p>
    <w:p>
      <w:pPr>
        <w:pStyle w:val="Heading2"/>
      </w:pPr>
      <w:r>
        <w:t xml:space="preserve">Core Philosophy</w:t>
      </w:r>
    </w:p>
    <w:p>
      <w:pPr>
        <w:spacing w:after="200"/>
      </w:pPr>
      <w:r>
        <w:t xml:space="preserve">Every post delivers practical value to scientists doing their own experiments. The content provides real troubleshooting advice, method guides, experimental design tips, and conceptual frameworks. The website (arminbayati.com) is mentioned at the end as a resource, not as the primary pitch. This builds genuine authority and organic traffic.</w:t>
      </w:r>
    </w:p>
    <w:p>
      <w:pPr>
        <w:pStyle w:val="Heading2"/>
      </w:pPr>
      <w:r>
        <w:t xml:space="preserve">Target Audience</w:t>
      </w:r>
    </w:p>
    <w:p>
      <w:pPr>
        <w:pStyle w:val="ListParagraph"/>
        <w:numPr>
          <w:ilvl w:val="0"/>
          <w:numId w:val="2"/>
        </w:numPr>
        <w:spacing w:after="80"/>
      </w:pPr>
      <w:r>
        <w:t xml:space="preserve">PhD students and postdocs running cell biology experiments</w:t>
      </w:r>
    </w:p>
    <w:p>
      <w:pPr>
        <w:pStyle w:val="ListParagraph"/>
        <w:numPr>
          <w:ilvl w:val="0"/>
          <w:numId w:val="2"/>
        </w:numPr>
        <w:spacing w:after="80"/>
      </w:pPr>
      <w:r>
        <w:t xml:space="preserve">Research associates and lab managers troubleshooting protocols</w:t>
      </w:r>
    </w:p>
    <w:p>
      <w:pPr>
        <w:pStyle w:val="ListParagraph"/>
        <w:numPr>
          <w:ilvl w:val="0"/>
          <w:numId w:val="2"/>
        </w:numPr>
        <w:spacing w:after="80"/>
      </w:pPr>
      <w:r>
        <w:t xml:space="preserve">Principal investigators looking for new methods for their labs</w:t>
      </w:r>
    </w:p>
    <w:p>
      <w:pPr>
        <w:pStyle w:val="ListParagraph"/>
        <w:numPr>
          <w:ilvl w:val="0"/>
          <w:numId w:val="2"/>
        </w:numPr>
        <w:spacing w:after="200"/>
      </w:pPr>
      <w:r>
        <w:t xml:space="preserve">Industry scientists in drug discovery and cell therapy</w:t>
      </w:r>
    </w:p>
    <w:p>
      <w:pPr>
        <w:pStyle w:val="Heading2"/>
      </w:pPr>
      <w:r>
        <w:t xml:space="preserve">Content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0F1419" w:val="clear"/>
            <w:tcMar>
              <w:top w:type="dxa" w:w="80"/>
              <w:left w:type="dxa" w:w="120"/>
              <w:bottom w:type="dxa" w:w="80"/>
              <w:right w:type="dxa" w:w="120"/>
            </w:tcMar>
          </w:tcPr>
          <w:p>
            <w:r>
              <w:rPr>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0F1419" w:val="clear"/>
            <w:tcMar>
              <w:top w:type="dxa" w:w="80"/>
              <w:left w:type="dxa" w:w="120"/>
              <w:bottom w:type="dxa" w:w="80"/>
              <w:right w:type="dxa" w:w="120"/>
            </w:tcMar>
          </w:tcPr>
          <w:p>
            <w:r>
              <w:rPr>
                <w:b/>
                <w:bCs/>
                <w:color w:val="FFFFFF"/>
                <w:sz w:val="20"/>
                <w:szCs w:val="20"/>
              </w:rPr>
              <w:t xml:space="preserve">Posts</w:t>
            </w:r>
          </w:p>
        </w:tc>
        <w:tc>
          <w:tcPr>
            <w:tcW w:type="dxa" w:w="5360"/>
            <w:tcBorders>
              <w:top w:val="single" w:color="CCCCCC" w:sz="1"/>
              <w:left w:val="single" w:color="CCCCCC" w:sz="1"/>
              <w:bottom w:val="single" w:color="CCCCCC" w:sz="1"/>
              <w:right w:val="single" w:color="CCCCCC" w:sz="1"/>
            </w:tcBorders>
            <w:shd w:fill="0F1419" w:val="clear"/>
            <w:tcMar>
              <w:top w:type="dxa" w:w="80"/>
              <w:left w:type="dxa" w:w="120"/>
              <w:bottom w:type="dxa" w:w="80"/>
              <w:right w:type="dxa" w:w="120"/>
            </w:tcMar>
          </w:tcPr>
          <w:p>
            <w:r>
              <w:rPr>
                <w:b/>
                <w:bCs/>
                <w:color w:val="FFFFFF"/>
                <w:sz w:val="20"/>
                <w:szCs w:val="20"/>
              </w:rPr>
              <w:t xml:space="preserve">Examples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Practical Methods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8</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Autophagy flux, lysosomal pH, subcellular fractionation, TMT proteomics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Troubleshooting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Lysosomal staining pitfalls, flow cytometry mistakes, Western blot interpretation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Experimental Design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Multi-hit models, drug screen optimization, scRNA-seq decision-making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Cell Biology Concepts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Rab GTPases, proteostasis network, organelle contacts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Techniques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Microscopy selection, protein trafficking, exosome isolation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Data Interpretation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Signaling stories, building convincing pathway evidence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Career &amp; Science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Personal research story connecting all themes</w:t>
            </w:r>
          </w:p>
        </w:tc>
      </w:tr>
    </w:tbl>
    <w:p>
      <w:pPr>
        <w:pStyle w:val="Heading2"/>
        <w:spacing w:before="300"/>
      </w:pPr>
      <w:r>
        <w:t xml:space="preserve">Posting Schedule</w:t>
      </w:r>
    </w:p>
    <w:p>
      <w:pPr>
        <w:spacing w:after="200"/>
      </w:pPr>
      <w:r>
        <w:t xml:space="preserve">3 posts per week: </w:t>
      </w:r>
      <w:r>
        <w:rPr>
          <w:b/>
          <w:bCs/>
        </w:rPr>
        <w:t xml:space="preserve">Monday, Wednesday, Friday</w:t>
      </w:r>
      <w:r>
        <w:t xml:space="preserve">. Best posting times: 7:30–8:30 AM EST. Each post includes a branded schematic image and concludes with a brief mention of arminbayati.com for the interactive version.</w:t>
      </w:r>
    </w:p>
    <w:p>
      <w:pPr>
        <w:pStyle w:val="Heading2"/>
      </w:pPr>
      <w:r>
        <w:t xml:space="preserve">Post Structure Formula</w:t>
      </w:r>
    </w:p>
    <w:p>
      <w:pPr>
        <w:pStyle w:val="ListParagraph"/>
        <w:numPr>
          <w:ilvl w:val="0"/>
          <w:numId w:val="3"/>
        </w:numPr>
        <w:spacing w:after="80"/>
      </w:pPr>
      <w:r>
        <w:rPr>
          <w:b/>
          <w:bCs/>
        </w:rPr>
        <w:t xml:space="preserve">Hook: </w:t>
      </w:r>
      <w:r>
        <w:t xml:space="preserve">Provocative statement or common misconception that stops the scroll.</w:t>
      </w:r>
    </w:p>
    <w:p>
      <w:pPr>
        <w:pStyle w:val="ListParagraph"/>
        <w:numPr>
          <w:ilvl w:val="0"/>
          <w:numId w:val="3"/>
        </w:numPr>
        <w:spacing w:after="80"/>
      </w:pPr>
      <w:r>
        <w:rPr>
          <w:b/>
          <w:bCs/>
        </w:rPr>
        <w:t xml:space="preserve">Problem: </w:t>
      </w:r>
      <w:r>
        <w:t xml:space="preserve">Why this matters for scientists running experiments.</w:t>
      </w:r>
    </w:p>
    <w:p>
      <w:pPr>
        <w:pStyle w:val="ListParagraph"/>
        <w:numPr>
          <w:ilvl w:val="0"/>
          <w:numId w:val="3"/>
        </w:numPr>
        <w:spacing w:after="80"/>
      </w:pPr>
      <w:r>
        <w:rPr>
          <w:b/>
          <w:bCs/>
        </w:rPr>
        <w:t xml:space="preserve">Practical advice: </w:t>
      </w:r>
      <w:r>
        <w:t xml:space="preserve">Specific, actionable tips they can use in their own lab.</w:t>
      </w:r>
    </w:p>
    <w:p>
      <w:pPr>
        <w:pStyle w:val="ListParagraph"/>
        <w:numPr>
          <w:ilvl w:val="0"/>
          <w:numId w:val="3"/>
        </w:numPr>
        <w:spacing w:after="80"/>
      </w:pPr>
      <w:r>
        <w:rPr>
          <w:b/>
          <w:bCs/>
        </w:rPr>
        <w:t xml:space="preserve">Website mention: </w:t>
      </w:r>
      <w:r>
        <w:t xml:space="preserve">Brief, natural reference to arminbayati.com at the end for the interactive version.</w:t>
      </w:r>
    </w:p>
    <w:p>
      <w:pPr>
        <w:pStyle w:val="ListParagraph"/>
        <w:numPr>
          <w:ilvl w:val="0"/>
          <w:numId w:val="3"/>
        </w:numPr>
        <w:spacing w:after="200"/>
      </w:pPr>
      <w:r>
        <w:rPr>
          <w:b/>
          <w:bCs/>
        </w:rPr>
        <w:t xml:space="preserve">Hashtags: </w:t>
      </w:r>
      <w:r>
        <w:t xml:space="preserve">3–5 relevant tags.</w:t>
      </w:r>
    </w:p>
    <w:p>
      <w:r>
        <w:br w:type="page"/>
      </w:r>
    </w:p>
    <w:p>
      <w:pPr>
        <w:pStyle w:val="Heading1"/>
      </w:pPr>
      <w:r>
        <w:t xml:space="preserve">10-Week Content Calendar</w:t>
      </w:r>
    </w:p>
    <w:p>
      <w:pPr>
        <w:pStyle w:val="Heading2"/>
      </w:pPr>
      <w:r>
        <w:t xml:space="preserve">Week 1: Foundations: Autophagy, Lysosomes &amp; Disease Models</w:t>
      </w:r>
    </w:p>
    <w:p>
      <w:pPr>
        <w:pStyle w:val="Heading3"/>
      </w:pPr>
      <w:r>
        <w:t xml:space="preserve">Monday — PRACTICAL METHODS</w:t>
      </w:r>
    </w:p>
    <w:p>
      <w:pPr>
        <w:spacing w:after="60"/>
      </w:pPr>
      <w:r>
        <w:rPr>
          <w:b/>
          <w:bCs/>
          <w:color w:val="6B7280"/>
          <w:sz w:val="20"/>
          <w:szCs w:val="20"/>
        </w:rPr>
        <w:t xml:space="preserve">Image: </w:t>
      </w:r>
      <w:r>
        <w:rPr>
          <w:color w:val="6B7280"/>
          <w:sz w:val="20"/>
          <w:szCs w:val="20"/>
        </w:rPr>
        <w:t xml:space="preserve">LI_S02_autophagy_lysosome.jpg</w:t>
      </w:r>
    </w:p>
    <w:p>
      <w:pPr>
        <w:spacing w:after="60"/>
      </w:pPr>
      <w:r>
        <w:rPr>
          <w:b/>
          <w:bCs/>
          <w:sz w:val="22"/>
          <w:szCs w:val="22"/>
        </w:rPr>
        <w:t xml:space="preserve">How to Actually Measure Autophagy Flux (Not Just LC3 Dots)</w:t>
      </w:r>
    </w:p>
    <w:p>
      <w:pPr>
        <w:pBdr>
          <w:left w:val="single" w:color="E8E6E1" w:sz="6" w:space="8"/>
        </w:pBdr>
        <w:spacing w:after="200"/>
        <w:ind w:left="240"/>
      </w:pPr>
      <w:r>
        <w:rPr>
          <w:sz w:val="20"/>
          <w:szCs w:val="20"/>
        </w:rPr>
        <w:t xml:space="preserve">If you’re quantifying LC3 puncta and calling it autophagy, you might be measuring the opposite of what you think.</w:t>
      </w:r>
      <w:r>
        <w:br/>
      </w:r>
      <w:r>
        <w:rPr>
          <w:sz w:val="20"/>
          <w:szCs w:val="20"/>
        </w:rPr>
        <w:t xml:space="preserve"/>
      </w:r>
      <w:r>
        <w:br/>
      </w:r>
      <w:r>
        <w:rPr>
          <w:sz w:val="20"/>
          <w:szCs w:val="20"/>
        </w:rPr>
        <w:t xml:space="preserve">LC3-II accumulation can mean increased autophagy initiation OR blocked degradation. Without flux controls, your data is ambiguous.</w:t>
      </w:r>
      <w:r>
        <w:br/>
      </w:r>
      <w:r>
        <w:rPr>
          <w:sz w:val="20"/>
          <w:szCs w:val="20"/>
        </w:rPr>
        <w:t xml:space="preserve"/>
      </w:r>
      <w:r>
        <w:br/>
      </w:r>
      <w:r>
        <w:rPr>
          <w:sz w:val="20"/>
          <w:szCs w:val="20"/>
        </w:rPr>
        <w:t xml:space="preserve">Here’s how we handle it in our iPSC neuron cultures:</w:t>
      </w:r>
      <w:r>
        <w:br/>
      </w:r>
      <w:r>
        <w:rPr>
          <w:sz w:val="20"/>
          <w:szCs w:val="20"/>
        </w:rPr>
        <w:t xml:space="preserve">• Always compare basal vs. Bafilomycin A1-treated (blocks lysosomal degradation)</w:t>
      </w:r>
      <w:r>
        <w:br/>
      </w:r>
      <w:r>
        <w:rPr>
          <w:sz w:val="20"/>
          <w:szCs w:val="20"/>
        </w:rPr>
        <w:t xml:space="preserve">• Co-stain LC3 with p62/SQSTM1 — if both accumulate, flux is impaired</w:t>
      </w:r>
      <w:r>
        <w:br/>
      </w:r>
      <w:r>
        <w:rPr>
          <w:sz w:val="20"/>
          <w:szCs w:val="20"/>
        </w:rPr>
        <w:t xml:space="preserve">• Use tandem mRFP-GFP-LC3 reporters: yellow = autophagosome, red-only = autolysosome</w:t>
      </w:r>
      <w:r>
        <w:br/>
      </w:r>
      <w:r>
        <w:rPr>
          <w:sz w:val="20"/>
          <w:szCs w:val="20"/>
        </w:rPr>
        <w:t xml:space="preserve">• Time course matters — a single timepoint can miss the dynamics entirely</w:t>
      </w:r>
      <w:r>
        <w:br/>
      </w:r>
      <w:r>
        <w:rPr>
          <w:sz w:val="20"/>
          <w:szCs w:val="20"/>
        </w:rPr>
        <w:t xml:space="preserve"/>
      </w:r>
      <w:r>
        <w:br/>
      </w:r>
      <w:r>
        <w:rPr>
          <w:sz w:val="20"/>
          <w:szCs w:val="20"/>
        </w:rPr>
        <w:t xml:space="preserve">The ratio of LC3-II +BafA1 vs −BafA1 gives you the actual flux rate. Without this, you’re just looking at a snapshot.</w:t>
      </w:r>
      <w:r>
        <w:br/>
      </w:r>
      <w:r>
        <w:rPr>
          <w:sz w:val="20"/>
          <w:szCs w:val="20"/>
        </w:rPr>
        <w:t xml:space="preserve"/>
      </w:r>
      <w:r>
        <w:br/>
      </w:r>
      <w:r>
        <w:rPr>
          <w:sz w:val="20"/>
          <w:szCs w:val="20"/>
        </w:rPr>
        <w:t xml:space="preserve">We built an interactive schematic mapping the full autophagy-lysosome axis with all the assay decision points — check it out at arminbayati.com</w:t>
      </w:r>
      <w:r>
        <w:br/>
      </w:r>
      <w:r>
        <w:rPr>
          <w:sz w:val="20"/>
          <w:szCs w:val="20"/>
        </w:rPr>
        <w:t xml:space="preserve"/>
      </w:r>
      <w:r>
        <w:br/>
      </w:r>
      <w:r>
        <w:rPr>
          <w:sz w:val="20"/>
          <w:szCs w:val="20"/>
        </w:rPr>
        <w:t xml:space="preserve">#CellBiology #Autophagy #LabTips #ExperimentalDesign #iPSCNeurons</w:t>
      </w:r>
    </w:p>
    <w:p>
      <w:pPr>
        <w:pStyle w:val="Heading3"/>
      </w:pPr>
      <w:r>
        <w:t xml:space="preserve">Wednesday — TROUBLESHOOTING</w:t>
      </w:r>
    </w:p>
    <w:p>
      <w:pPr>
        <w:spacing w:after="60"/>
      </w:pPr>
      <w:r>
        <w:rPr>
          <w:b/>
          <w:bCs/>
          <w:color w:val="6B7280"/>
          <w:sz w:val="20"/>
          <w:szCs w:val="20"/>
        </w:rPr>
        <w:t xml:space="preserve">Image: </w:t>
      </w:r>
      <w:r>
        <w:rPr>
          <w:color w:val="6B7280"/>
          <w:sz w:val="20"/>
          <w:szCs w:val="20"/>
        </w:rPr>
        <w:t xml:space="preserve">LI_S01_endolysosomal_trafficking.jpg</w:t>
      </w:r>
    </w:p>
    <w:p>
      <w:pPr>
        <w:spacing w:after="60"/>
      </w:pPr>
      <w:r>
        <w:rPr>
          <w:b/>
          <w:bCs/>
          <w:sz w:val="22"/>
          <w:szCs w:val="22"/>
        </w:rPr>
        <w:t xml:space="preserve">Your Lysosomal Staining Is Probably Wrong. Here’s Why.</w:t>
      </w:r>
    </w:p>
    <w:p>
      <w:pPr>
        <w:pBdr>
          <w:left w:val="single" w:color="E8E6E1" w:sz="6" w:space="8"/>
        </w:pBdr>
        <w:spacing w:after="200"/>
        <w:ind w:left="240"/>
      </w:pPr>
      <w:r>
        <w:rPr>
          <w:sz w:val="20"/>
          <w:szCs w:val="20"/>
        </w:rPr>
        <w:t xml:space="preserve">LAMP1 does not equal functional lysosomes.</w:t>
      </w:r>
      <w:r>
        <w:br/>
      </w:r>
      <w:r>
        <w:rPr>
          <w:sz w:val="20"/>
          <w:szCs w:val="20"/>
        </w:rPr>
        <w:t xml:space="preserve"/>
      </w:r>
      <w:r>
        <w:br/>
      </w:r>
      <w:r>
        <w:rPr>
          <w:sz w:val="20"/>
          <w:szCs w:val="20"/>
        </w:rPr>
        <w:t xml:space="preserve">This is one of the most common misinterpretations in cell biology papers. LAMP1 marks the lysosomal membrane, but says nothing about whether the organelle is actually degrading cargo.</w:t>
      </w:r>
      <w:r>
        <w:br/>
      </w:r>
      <w:r>
        <w:rPr>
          <w:sz w:val="20"/>
          <w:szCs w:val="20"/>
        </w:rPr>
        <w:t xml:space="preserve"/>
      </w:r>
      <w:r>
        <w:br/>
      </w:r>
      <w:r>
        <w:rPr>
          <w:sz w:val="20"/>
          <w:szCs w:val="20"/>
        </w:rPr>
        <w:t xml:space="preserve">What I’ve learned from years of lysosomal work in iPSC neurons:</w:t>
      </w:r>
      <w:r>
        <w:br/>
      </w:r>
      <w:r>
        <w:rPr>
          <w:sz w:val="20"/>
          <w:szCs w:val="20"/>
        </w:rPr>
        <w:t xml:space="preserve">• LAMP1 decorates late endosomes AND lysosomes — it’s not lysosome-specific</w:t>
      </w:r>
      <w:r>
        <w:br/>
      </w:r>
      <w:r>
        <w:rPr>
          <w:sz w:val="20"/>
          <w:szCs w:val="20"/>
        </w:rPr>
        <w:t xml:space="preserve">• LysoTracker drops out at higher pH, so sick lysosomes look negative (not because they’re gone, but because they’re alkalinized)</w:t>
      </w:r>
      <w:r>
        <w:br/>
      </w:r>
      <w:r>
        <w:rPr>
          <w:sz w:val="20"/>
          <w:szCs w:val="20"/>
        </w:rPr>
        <w:t xml:space="preserve">• DQ-BSA or Magic Red are better for measuring actual degradative capacity</w:t>
      </w:r>
      <w:r>
        <w:br/>
      </w:r>
      <w:r>
        <w:rPr>
          <w:sz w:val="20"/>
          <w:szCs w:val="20"/>
        </w:rPr>
        <w:t xml:space="preserve">• Galectin-3 puncta = the real danger signal for lysosomal membrane damage</w:t>
      </w:r>
      <w:r>
        <w:br/>
      </w:r>
      <w:r>
        <w:rPr>
          <w:sz w:val="20"/>
          <w:szCs w:val="20"/>
        </w:rPr>
        <w:t xml:space="preserve"/>
      </w:r>
      <w:r>
        <w:br/>
      </w:r>
      <w:r>
        <w:rPr>
          <w:sz w:val="20"/>
          <w:szCs w:val="20"/>
        </w:rPr>
        <w:t xml:space="preserve">The best approach is layering 2–3 orthogonal assays. LAMP1 for presence, DQ-BSA for function, Galectin-3 for integrity.</w:t>
      </w:r>
      <w:r>
        <w:br/>
      </w:r>
      <w:r>
        <w:rPr>
          <w:sz w:val="20"/>
          <w:szCs w:val="20"/>
        </w:rPr>
        <w:t xml:space="preserve"/>
      </w:r>
      <w:r>
        <w:br/>
      </w:r>
      <w:r>
        <w:rPr>
          <w:sz w:val="20"/>
          <w:szCs w:val="20"/>
        </w:rPr>
        <w:t xml:space="preserve">I mapped the entire endolysosomal pathway with these assay nodes at arminbayati.com</w:t>
      </w:r>
      <w:r>
        <w:br/>
      </w:r>
      <w:r>
        <w:rPr>
          <w:sz w:val="20"/>
          <w:szCs w:val="20"/>
        </w:rPr>
        <w:t xml:space="preserve"/>
      </w:r>
      <w:r>
        <w:br/>
      </w:r>
      <w:r>
        <w:rPr>
          <w:sz w:val="20"/>
          <w:szCs w:val="20"/>
        </w:rPr>
        <w:t xml:space="preserve">#Lysosomes #CellBiology #Microscopy #LabTips #Troubleshooting</w:t>
      </w:r>
    </w:p>
    <w:p>
      <w:pPr>
        <w:pStyle w:val="Heading3"/>
      </w:pPr>
      <w:r>
        <w:t xml:space="preserve">Friday — EXPERIMENTAL DESIGN</w:t>
      </w:r>
    </w:p>
    <w:p>
      <w:pPr>
        <w:spacing w:after="60"/>
      </w:pPr>
      <w:r>
        <w:rPr>
          <w:b/>
          <w:bCs/>
          <w:color w:val="6B7280"/>
          <w:sz w:val="20"/>
          <w:szCs w:val="20"/>
        </w:rPr>
        <w:t xml:space="preserve">Image: </w:t>
      </w:r>
      <w:r>
        <w:rPr>
          <w:color w:val="6B7280"/>
          <w:sz w:val="20"/>
          <w:szCs w:val="20"/>
        </w:rPr>
        <w:t xml:space="preserve">LI_I01_dual_hit_model.jpg</w:t>
      </w:r>
    </w:p>
    <w:p>
      <w:pPr>
        <w:spacing w:after="60"/>
      </w:pPr>
      <w:r>
        <w:rPr>
          <w:b/>
          <w:bCs/>
          <w:sz w:val="22"/>
          <w:szCs w:val="22"/>
        </w:rPr>
        <w:t xml:space="preserve">Why Single-Insult Disease Models Keep Failing</w:t>
      </w:r>
    </w:p>
    <w:p>
      <w:pPr>
        <w:pBdr>
          <w:left w:val="single" w:color="E8E6E1" w:sz="6" w:space="8"/>
        </w:pBdr>
        <w:spacing w:after="200"/>
        <w:ind w:left="240"/>
      </w:pPr>
      <w:r>
        <w:rPr>
          <w:sz w:val="20"/>
          <w:szCs w:val="20"/>
        </w:rPr>
        <w:t xml:space="preserve">Most in vitro disease models use one insult. Most diseases involve multiple hits.</w:t>
      </w:r>
      <w:r>
        <w:br/>
      </w:r>
      <w:r>
        <w:rPr>
          <w:sz w:val="20"/>
          <w:szCs w:val="20"/>
        </w:rPr>
        <w:t xml:space="preserve"/>
      </w:r>
      <w:r>
        <w:br/>
      </w:r>
      <w:r>
        <w:rPr>
          <w:sz w:val="20"/>
          <w:szCs w:val="20"/>
        </w:rPr>
        <w:t xml:space="preserve">We spent 2 years trying to model Lewy body pathology with PFFs alone. We got small inclusions, minimal cell death, and results that didn’t match patient tissue. Sound familiar?</w:t>
      </w:r>
      <w:r>
        <w:br/>
      </w:r>
      <w:r>
        <w:rPr>
          <w:sz w:val="20"/>
          <w:szCs w:val="20"/>
        </w:rPr>
        <w:t xml:space="preserve"/>
      </w:r>
      <w:r>
        <w:br/>
      </w:r>
      <w:r>
        <w:rPr>
          <w:sz w:val="20"/>
          <w:szCs w:val="20"/>
        </w:rPr>
        <w:t xml:space="preserve">The breakthrough came when we added a second hit — IFN-γ — to model the neuroinflammatory component. The result: robust Lewy body–like inclusions, autophagy collapse, and neuronal death that actually recapitulates disease.</w:t>
      </w:r>
      <w:r>
        <w:br/>
      </w:r>
      <w:r>
        <w:rPr>
          <w:sz w:val="20"/>
          <w:szCs w:val="20"/>
        </w:rPr>
        <w:t xml:space="preserve"/>
      </w:r>
      <w:r>
        <w:br/>
      </w:r>
      <w:r>
        <w:rPr>
          <w:sz w:val="20"/>
          <w:szCs w:val="20"/>
        </w:rPr>
        <w:t xml:space="preserve">Key lessons for anyone building disease models:</w:t>
      </w:r>
      <w:r>
        <w:br/>
      </w:r>
      <w:r>
        <w:rPr>
          <w:sz w:val="20"/>
          <w:szCs w:val="20"/>
        </w:rPr>
        <w:t xml:space="preserve">• Patient tissue almost always shows multiple pathological processes</w:t>
      </w:r>
      <w:r>
        <w:br/>
      </w:r>
      <w:r>
        <w:rPr>
          <w:sz w:val="20"/>
          <w:szCs w:val="20"/>
        </w:rPr>
        <w:t xml:space="preserve">• Adding a second physiologically relevant insult often produces synergistic (not additive) effects</w:t>
      </w:r>
      <w:r>
        <w:br/>
      </w:r>
      <w:r>
        <w:rPr>
          <w:sz w:val="20"/>
          <w:szCs w:val="20"/>
        </w:rPr>
        <w:t xml:space="preserve">• Timing matters hugely — we add IFN-γ 24h after PFFs, not simultaneously</w:t>
      </w:r>
      <w:r>
        <w:br/>
      </w:r>
      <w:r>
        <w:rPr>
          <w:sz w:val="20"/>
          <w:szCs w:val="20"/>
        </w:rPr>
        <w:t xml:space="preserve">• Include single-hit controls to demonstrate synergy</w:t>
      </w:r>
      <w:r>
        <w:br/>
      </w:r>
      <w:r>
        <w:rPr>
          <w:sz w:val="20"/>
          <w:szCs w:val="20"/>
        </w:rPr>
        <w:t xml:space="preserve"/>
      </w:r>
      <w:r>
        <w:br/>
      </w:r>
      <w:r>
        <w:rPr>
          <w:sz w:val="20"/>
          <w:szCs w:val="20"/>
        </w:rPr>
        <w:t xml:space="preserve">If your model isn’t recapitulating what you see in patients, consider what you might be missing.</w:t>
      </w:r>
      <w:r>
        <w:br/>
      </w:r>
      <w:r>
        <w:rPr>
          <w:sz w:val="20"/>
          <w:szCs w:val="20"/>
        </w:rPr>
        <w:t xml:space="preserve"/>
      </w:r>
      <w:r>
        <w:br/>
      </w:r>
      <w:r>
        <w:rPr>
          <w:sz w:val="20"/>
          <w:szCs w:val="20"/>
        </w:rPr>
        <w:t xml:space="preserve">Full experimental timeline and endpoints mapped at arminbayati.com</w:t>
      </w:r>
      <w:r>
        <w:br/>
      </w:r>
      <w:r>
        <w:rPr>
          <w:sz w:val="20"/>
          <w:szCs w:val="20"/>
        </w:rPr>
        <w:t xml:space="preserve"/>
      </w:r>
      <w:r>
        <w:br/>
      </w:r>
      <w:r>
        <w:rPr>
          <w:sz w:val="20"/>
          <w:szCs w:val="20"/>
        </w:rPr>
        <w:t xml:space="preserve">#DiseaseModeling #CellBiology #ExperimentalDesign #iPSCNeurons #Neurodegeneration</w:t>
      </w:r>
    </w:p>
    <w:p>
      <w:pPr>
        <w:pStyle w:val="Heading2"/>
      </w:pPr>
      <w:r>
        <w:t xml:space="preserve">Week 2: Protein Quality Control &amp; Trafficking</w:t>
      </w:r>
    </w:p>
    <w:p>
      <w:pPr>
        <w:pStyle w:val="Heading3"/>
      </w:pPr>
      <w:r>
        <w:t xml:space="preserve">Monday — CELL HEALTH</w:t>
      </w:r>
    </w:p>
    <w:p>
      <w:pPr>
        <w:spacing w:after="60"/>
      </w:pPr>
      <w:r>
        <w:rPr>
          <w:b/>
          <w:bCs/>
          <w:color w:val="6B7280"/>
          <w:sz w:val="20"/>
          <w:szCs w:val="20"/>
        </w:rPr>
        <w:t xml:space="preserve">Image: </w:t>
      </w:r>
      <w:r>
        <w:rPr>
          <w:color w:val="6B7280"/>
          <w:sz w:val="20"/>
          <w:szCs w:val="20"/>
        </w:rPr>
        <w:t xml:space="preserve">LI_S05_lysosomal_biology.jpg</w:t>
      </w:r>
    </w:p>
    <w:p>
      <w:pPr>
        <w:spacing w:after="60"/>
      </w:pPr>
      <w:r>
        <w:rPr>
          <w:b/>
          <w:bCs/>
          <w:sz w:val="22"/>
          <w:szCs w:val="22"/>
        </w:rPr>
        <w:t xml:space="preserve">6 Signs Your Cells Have Lysosomal Stress (That You Might Be Missing)</w:t>
      </w:r>
    </w:p>
    <w:p>
      <w:pPr>
        <w:pBdr>
          <w:left w:val="single" w:color="E8E6E1" w:sz="6" w:space="8"/>
        </w:pBdr>
        <w:spacing w:after="200"/>
        <w:ind w:left="240"/>
      </w:pPr>
      <w:r>
        <w:rPr>
          <w:sz w:val="20"/>
          <w:szCs w:val="20"/>
        </w:rPr>
        <w:t xml:space="preserve">Lysosomal stress is one of the most underdiagnosed problems in cell culture. Here are the signs:</w:t>
      </w:r>
      <w:r>
        <w:br/>
      </w:r>
      <w:r>
        <w:rPr>
          <w:sz w:val="20"/>
          <w:szCs w:val="20"/>
        </w:rPr>
        <w:t xml:space="preserve"/>
      </w:r>
      <w:r>
        <w:br/>
      </w:r>
      <w:r>
        <w:rPr>
          <w:sz w:val="20"/>
          <w:szCs w:val="20"/>
        </w:rPr>
        <w:t xml:space="preserve">1. Enlarged vacuoles on phase contrast — if your cells look “vacuolated,” those are often swollen lysosomes</w:t>
      </w:r>
      <w:r>
        <w:br/>
      </w:r>
      <w:r>
        <w:rPr>
          <w:sz w:val="20"/>
          <w:szCs w:val="20"/>
        </w:rPr>
        <w:t xml:space="preserve">2. LysoTracker intensity drops — counterintuitive, but damaged lysosomes lose their pH gradient</w:t>
      </w:r>
      <w:r>
        <w:br/>
      </w:r>
      <w:r>
        <w:rPr>
          <w:sz w:val="20"/>
          <w:szCs w:val="20"/>
        </w:rPr>
        <w:t xml:space="preserve">3. Cathepsin activity decreases in the lysosomal fraction but INCREASES in the cytosol</w:t>
      </w:r>
      <w:r>
        <w:br/>
      </w:r>
      <w:r>
        <w:rPr>
          <w:sz w:val="20"/>
          <w:szCs w:val="20"/>
        </w:rPr>
        <w:t xml:space="preserve">4. TFEB is stuck in the cytoplasm instead of translocating to the nucleus</w:t>
      </w:r>
      <w:r>
        <w:br/>
      </w:r>
      <w:r>
        <w:rPr>
          <w:sz w:val="20"/>
          <w:szCs w:val="20"/>
        </w:rPr>
        <w:t xml:space="preserve">5. Galectin-3 forms puncta (recruiting to damaged membranes)</w:t>
      </w:r>
      <w:r>
        <w:br/>
      </w:r>
      <w:r>
        <w:rPr>
          <w:sz w:val="20"/>
          <w:szCs w:val="20"/>
        </w:rPr>
        <w:t xml:space="preserve">6. mTORC1 activity changes unpredictably (lysosomal surface = its signaling platform)</w:t>
      </w:r>
      <w:r>
        <w:br/>
      </w:r>
      <w:r>
        <w:rPr>
          <w:sz w:val="20"/>
          <w:szCs w:val="20"/>
        </w:rPr>
        <w:t xml:space="preserve"/>
      </w:r>
      <w:r>
        <w:br/>
      </w:r>
      <w:r>
        <w:rPr>
          <w:sz w:val="20"/>
          <w:szCs w:val="20"/>
        </w:rPr>
        <w:t xml:space="preserve">We see all of these in our PFF-treated iPSC neurons, and they appear in a reproducible temporal sequence. Vacuoles first (day 3–5), then LysoTracker loss (day 7–10), then cathepsin leakage (day 14+).</w:t>
      </w:r>
      <w:r>
        <w:br/>
      </w:r>
      <w:r>
        <w:rPr>
          <w:sz w:val="20"/>
          <w:szCs w:val="20"/>
        </w:rPr>
        <w:t xml:space="preserve"/>
      </w:r>
      <w:r>
        <w:br/>
      </w:r>
      <w:r>
        <w:rPr>
          <w:sz w:val="20"/>
          <w:szCs w:val="20"/>
        </w:rPr>
        <w:t xml:space="preserve">If you’re seeing any of these in your experiments, you may have a lysosomal problem worth investigating.</w:t>
      </w:r>
      <w:r>
        <w:br/>
      </w:r>
      <w:r>
        <w:rPr>
          <w:sz w:val="20"/>
          <w:szCs w:val="20"/>
        </w:rPr>
        <w:t xml:space="preserve"/>
      </w:r>
      <w:r>
        <w:br/>
      </w:r>
      <w:r>
        <w:rPr>
          <w:sz w:val="20"/>
          <w:szCs w:val="20"/>
        </w:rPr>
        <w:t xml:space="preserve">Interactive lysosomal biology schematic (healthy vs. disease toggle) at arminbayati.com</w:t>
      </w:r>
      <w:r>
        <w:br/>
      </w:r>
      <w:r>
        <w:rPr>
          <w:sz w:val="20"/>
          <w:szCs w:val="20"/>
        </w:rPr>
        <w:t xml:space="preserve"/>
      </w:r>
      <w:r>
        <w:br/>
      </w:r>
      <w:r>
        <w:rPr>
          <w:sz w:val="20"/>
          <w:szCs w:val="20"/>
        </w:rPr>
        <w:t xml:space="preserve">#LysosomalBiology #CellBiology #CellCulture #Troubleshooting #Organelles</w:t>
      </w:r>
    </w:p>
    <w:p>
      <w:pPr>
        <w:pStyle w:val="Heading3"/>
      </w:pPr>
      <w:r>
        <w:t xml:space="preserve">Wednesday — PRACTICAL METHODS</w:t>
      </w:r>
    </w:p>
    <w:p>
      <w:pPr>
        <w:spacing w:after="60"/>
      </w:pPr>
      <w:r>
        <w:rPr>
          <w:b/>
          <w:bCs/>
          <w:color w:val="6B7280"/>
          <w:sz w:val="20"/>
          <w:szCs w:val="20"/>
        </w:rPr>
        <w:t xml:space="preserve">Image: </w:t>
      </w:r>
      <w:r>
        <w:rPr>
          <w:color w:val="6B7280"/>
          <w:sz w:val="20"/>
          <w:szCs w:val="20"/>
        </w:rPr>
        <w:t xml:space="preserve">LI_S03_proteostasis_network.jpg</w:t>
      </w:r>
    </w:p>
    <w:p>
      <w:pPr>
        <w:spacing w:after="60"/>
      </w:pPr>
      <w:r>
        <w:rPr>
          <w:b/>
          <w:bCs/>
          <w:sz w:val="22"/>
          <w:szCs w:val="22"/>
        </w:rPr>
        <w:t xml:space="preserve">The Western Blot That Tells You Everything About Proteostasis</w:t>
      </w:r>
    </w:p>
    <w:p>
      <w:pPr>
        <w:pBdr>
          <w:left w:val="single" w:color="E8E6E1" w:sz="6" w:space="8"/>
        </w:pBdr>
        <w:spacing w:after="200"/>
        <w:ind w:left="240"/>
      </w:pPr>
      <w:r>
        <w:rPr>
          <w:sz w:val="20"/>
          <w:szCs w:val="20"/>
        </w:rPr>
        <w:t xml:space="preserve">You can assess your entire proteostasis network with 5 well-chosen Western blot targets.</w:t>
      </w:r>
      <w:r>
        <w:br/>
      </w:r>
      <w:r>
        <w:rPr>
          <w:sz w:val="20"/>
          <w:szCs w:val="20"/>
        </w:rPr>
        <w:t xml:space="preserve"/>
      </w:r>
      <w:r>
        <w:br/>
      </w:r>
      <w:r>
        <w:rPr>
          <w:sz w:val="20"/>
          <w:szCs w:val="20"/>
        </w:rPr>
        <w:t xml:space="preserve">Here’s the minimal panel we use:</w:t>
      </w:r>
      <w:r>
        <w:br/>
      </w:r>
      <w:r>
        <w:rPr>
          <w:sz w:val="20"/>
          <w:szCs w:val="20"/>
        </w:rPr>
        <w:t xml:space="preserve">• HSP70 + HSP90 — chaperone response (are your cells stressed?)</w:t>
      </w:r>
      <w:r>
        <w:br/>
      </w:r>
      <w:r>
        <w:rPr>
          <w:sz w:val="20"/>
          <w:szCs w:val="20"/>
        </w:rPr>
        <w:t xml:space="preserve">• Ubiquitin (K48-linked) — proteasome load (is the UPS overwhelmed?)</w:t>
      </w:r>
      <w:r>
        <w:br/>
      </w:r>
      <w:r>
        <w:rPr>
          <w:sz w:val="20"/>
          <w:szCs w:val="20"/>
        </w:rPr>
        <w:t xml:space="preserve">• LC3B-II/I ratio (+/− BafA1) — autophagy flux (see Monday’s post)</w:t>
      </w:r>
      <w:r>
        <w:br/>
      </w:r>
      <w:r>
        <w:rPr>
          <w:sz w:val="20"/>
          <w:szCs w:val="20"/>
        </w:rPr>
        <w:t xml:space="preserve">• p62/SQSTM1 — cargo receptor (integrates UPS + autophagy status)</w:t>
      </w:r>
      <w:r>
        <w:br/>
      </w:r>
      <w:r>
        <w:rPr>
          <w:sz w:val="20"/>
          <w:szCs w:val="20"/>
        </w:rPr>
        <w:t xml:space="preserve">• ATF4 — integrated stress response (ISR activation)</w:t>
      </w:r>
      <w:r>
        <w:br/>
      </w:r>
      <w:r>
        <w:rPr>
          <w:sz w:val="20"/>
          <w:szCs w:val="20"/>
        </w:rPr>
        <w:t xml:space="preserve"/>
      </w:r>
      <w:r>
        <w:br/>
      </w:r>
      <w:r>
        <w:rPr>
          <w:sz w:val="20"/>
          <w:szCs w:val="20"/>
        </w:rPr>
        <w:t xml:space="preserve">If HSP70 is up and p62 is accumulating but ubiquitin conjugates aren’t: your autophagy is failing.</w:t>
      </w:r>
      <w:r>
        <w:br/>
      </w:r>
      <w:r>
        <w:rPr>
          <w:sz w:val="20"/>
          <w:szCs w:val="20"/>
        </w:rPr>
        <w:t xml:space="preserve">If everything is up: your cells are in full proteotoxic crisis.</w:t>
      </w:r>
      <w:r>
        <w:br/>
      </w:r>
      <w:r>
        <w:rPr>
          <w:sz w:val="20"/>
          <w:szCs w:val="20"/>
        </w:rPr>
        <w:t xml:space="preserve">If only ATF4 is elevated: early stress, still compensated.</w:t>
      </w:r>
      <w:r>
        <w:br/>
      </w:r>
      <w:r>
        <w:rPr>
          <w:sz w:val="20"/>
          <w:szCs w:val="20"/>
        </w:rPr>
        <w:t xml:space="preserve"/>
      </w:r>
      <w:r>
        <w:br/>
      </w:r>
      <w:r>
        <w:rPr>
          <w:sz w:val="20"/>
          <w:szCs w:val="20"/>
        </w:rPr>
        <w:t xml:space="preserve">This takes one experiment and gives you a systems-level view. Way more informative than any single marker.</w:t>
      </w:r>
      <w:r>
        <w:br/>
      </w:r>
      <w:r>
        <w:rPr>
          <w:sz w:val="20"/>
          <w:szCs w:val="20"/>
        </w:rPr>
        <w:t xml:space="preserve"/>
      </w:r>
      <w:r>
        <w:br/>
      </w:r>
      <w:r>
        <w:rPr>
          <w:sz w:val="20"/>
          <w:szCs w:val="20"/>
        </w:rPr>
        <w:t xml:space="preserve">Full proteostasis network map with all the nodes and readouts at arminbayati.com</w:t>
      </w:r>
      <w:r>
        <w:br/>
      </w:r>
      <w:r>
        <w:rPr>
          <w:sz w:val="20"/>
          <w:szCs w:val="20"/>
        </w:rPr>
        <w:t xml:space="preserve"/>
      </w:r>
      <w:r>
        <w:br/>
      </w:r>
      <w:r>
        <w:rPr>
          <w:sz w:val="20"/>
          <w:szCs w:val="20"/>
        </w:rPr>
        <w:t xml:space="preserve">#Proteostasis #WesternBlot #CellBiology #LabTips #ProteinQualityControl</w:t>
      </w:r>
    </w:p>
    <w:p>
      <w:pPr>
        <w:pStyle w:val="Heading3"/>
      </w:pPr>
      <w:r>
        <w:t xml:space="preserve">Friday — TECHNIQUES</w:t>
      </w:r>
    </w:p>
    <w:p>
      <w:pPr>
        <w:spacing w:after="60"/>
      </w:pPr>
      <w:r>
        <w:rPr>
          <w:b/>
          <w:bCs/>
          <w:color w:val="6B7280"/>
          <w:sz w:val="20"/>
          <w:szCs w:val="20"/>
        </w:rPr>
        <w:t xml:space="preserve">Image: </w:t>
      </w:r>
      <w:r>
        <w:rPr>
          <w:color w:val="6B7280"/>
          <w:sz w:val="20"/>
          <w:szCs w:val="20"/>
        </w:rPr>
        <w:t xml:space="preserve">LI_I03_synuclein_propagation.jpg</w:t>
      </w:r>
    </w:p>
    <w:p>
      <w:pPr>
        <w:spacing w:after="60"/>
      </w:pPr>
      <w:r>
        <w:rPr>
          <w:b/>
          <w:bCs/>
          <w:sz w:val="22"/>
          <w:szCs w:val="22"/>
        </w:rPr>
        <w:t xml:space="preserve">How to Track Protein Uptake and Trafficking in Live Cells</w:t>
      </w:r>
    </w:p>
    <w:p>
      <w:pPr>
        <w:pBdr>
          <w:left w:val="single" w:color="E8E6E1" w:sz="6" w:space="8"/>
        </w:pBdr>
        <w:spacing w:after="200"/>
        <w:ind w:left="240"/>
      </w:pPr>
      <w:r>
        <w:rPr>
          <w:sz w:val="20"/>
          <w:szCs w:val="20"/>
        </w:rPr>
        <w:t xml:space="preserve">Studying how proteins enter cells and traffic through compartments is fundamental to cell biology. Here are the approaches that actually work:</w:t>
      </w:r>
      <w:r>
        <w:br/>
      </w:r>
      <w:r>
        <w:rPr>
          <w:sz w:val="20"/>
          <w:szCs w:val="20"/>
        </w:rPr>
        <w:t xml:space="preserve"/>
      </w:r>
      <w:r>
        <w:br/>
      </w:r>
      <w:r>
        <w:rPr>
          <w:sz w:val="20"/>
          <w:szCs w:val="20"/>
        </w:rPr>
        <w:t xml:space="preserve">For uptake kinetics:</w:t>
      </w:r>
      <w:r>
        <w:br/>
      </w:r>
      <w:r>
        <w:rPr>
          <w:sz w:val="20"/>
          <w:szCs w:val="20"/>
        </w:rPr>
        <w:t xml:space="preserve">• Fluorescent labeling (Alexa 488/647) — great for confocal, but check that labeling doesn’t alter protein behavior</w:t>
      </w:r>
      <w:r>
        <w:br/>
      </w:r>
      <w:r>
        <w:rPr>
          <w:sz w:val="20"/>
          <w:szCs w:val="20"/>
        </w:rPr>
        <w:t xml:space="preserve">• pHrodo dyes — brilliant for endosomal tracking because they fluoresce only at acidic pH</w:t>
      </w:r>
      <w:r>
        <w:br/>
      </w:r>
      <w:r>
        <w:rPr>
          <w:sz w:val="20"/>
          <w:szCs w:val="20"/>
        </w:rPr>
        <w:t xml:space="preserve">• Nanogold labeling — our go-to for EM-level trafficking studies</w:t>
      </w:r>
      <w:r>
        <w:br/>
      </w:r>
      <w:r>
        <w:rPr>
          <w:sz w:val="20"/>
          <w:szCs w:val="20"/>
        </w:rPr>
        <w:t xml:space="preserve"/>
      </w:r>
      <w:r>
        <w:br/>
      </w:r>
      <w:r>
        <w:rPr>
          <w:sz w:val="20"/>
          <w:szCs w:val="20"/>
        </w:rPr>
        <w:t xml:space="preserve">For compartment identification:</w:t>
      </w:r>
      <w:r>
        <w:br/>
      </w:r>
      <w:r>
        <w:rPr>
          <w:sz w:val="20"/>
          <w:szCs w:val="20"/>
        </w:rPr>
        <w:t xml:space="preserve">• Pulse-chase with co-staining: Rab5 (early endosome), Rab7 (late endosome), LAMP1 (lysosome)</w:t>
      </w:r>
      <w:r>
        <w:br/>
      </w:r>
      <w:r>
        <w:rPr>
          <w:sz w:val="20"/>
          <w:szCs w:val="20"/>
        </w:rPr>
        <w:t xml:space="preserve">• Inhibitor panel: Dynasore (clathrin), EIPA (macropinocytosis), Filipin (caveolae)</w:t>
      </w:r>
      <w:r>
        <w:br/>
      </w:r>
      <w:r>
        <w:rPr>
          <w:sz w:val="20"/>
          <w:szCs w:val="20"/>
        </w:rPr>
        <w:t xml:space="preserve">• Temperature blocks: 4°C stops all internalization, 20°C traps in early endosomes</w:t>
      </w:r>
      <w:r>
        <w:br/>
      </w:r>
      <w:r>
        <w:rPr>
          <w:sz w:val="20"/>
          <w:szCs w:val="20"/>
        </w:rPr>
        <w:t xml:space="preserve"/>
      </w:r>
      <w:r>
        <w:br/>
      </w:r>
      <w:r>
        <w:rPr>
          <w:sz w:val="20"/>
          <w:szCs w:val="20"/>
        </w:rPr>
        <w:t xml:space="preserve">The critical control most people forget: test uptake at 4°C. If your protein still “enters” cells at 4°C, it’s surface binding, not internalization.</w:t>
      </w:r>
      <w:r>
        <w:br/>
      </w:r>
      <w:r>
        <w:rPr>
          <w:sz w:val="20"/>
          <w:szCs w:val="20"/>
        </w:rPr>
        <w:t xml:space="preserve"/>
      </w:r>
      <w:r>
        <w:br/>
      </w:r>
      <w:r>
        <w:rPr>
          <w:sz w:val="20"/>
          <w:szCs w:val="20"/>
        </w:rPr>
        <w:t xml:space="preserve">We mapped the full uptake-to-lysosome pathway with method annotations at arminbayati.com</w:t>
      </w:r>
      <w:r>
        <w:br/>
      </w:r>
      <w:r>
        <w:rPr>
          <w:sz w:val="20"/>
          <w:szCs w:val="20"/>
        </w:rPr>
        <w:t xml:space="preserve"/>
      </w:r>
      <w:r>
        <w:br/>
      </w:r>
      <w:r>
        <w:rPr>
          <w:sz w:val="20"/>
          <w:szCs w:val="20"/>
        </w:rPr>
        <w:t xml:space="preserve">#CellBiology #ProteinTrafficking #LiveCellImaging #Endocytosis #LabMethods</w:t>
      </w:r>
    </w:p>
    <w:p>
      <w:pPr>
        <w:pStyle w:val="Heading2"/>
      </w:pPr>
      <w:r>
        <w:t xml:space="preserve">Week 3: Choosing the Right Techniques</w:t>
      </w:r>
    </w:p>
    <w:p>
      <w:pPr>
        <w:pStyle w:val="Heading3"/>
      </w:pPr>
      <w:r>
        <w:t xml:space="preserve">Monday — MICROSCOPY GUIDE</w:t>
      </w:r>
    </w:p>
    <w:p>
      <w:pPr>
        <w:spacing w:after="60"/>
      </w:pPr>
      <w:r>
        <w:rPr>
          <w:b/>
          <w:bCs/>
          <w:color w:val="6B7280"/>
          <w:sz w:val="20"/>
          <w:szCs w:val="20"/>
        </w:rPr>
        <w:t xml:space="preserve">Image: </w:t>
      </w:r>
      <w:r>
        <w:rPr>
          <w:color w:val="6B7280"/>
          <w:sz w:val="20"/>
          <w:szCs w:val="20"/>
        </w:rPr>
        <w:t xml:space="preserve">LI_S09_microscopy_ladder.jpg</w:t>
      </w:r>
    </w:p>
    <w:p>
      <w:pPr>
        <w:spacing w:after="60"/>
      </w:pPr>
      <w:r>
        <w:rPr>
          <w:b/>
          <w:bCs/>
          <w:sz w:val="22"/>
          <w:szCs w:val="22"/>
        </w:rPr>
        <w:t xml:space="preserve">Choosing the Right Microscope: A Decision Framework</w:t>
      </w:r>
    </w:p>
    <w:p>
      <w:pPr>
        <w:pBdr>
          <w:left w:val="single" w:color="E8E6E1" w:sz="6" w:space="8"/>
        </w:pBdr>
        <w:spacing w:after="200"/>
        <w:ind w:left="240"/>
      </w:pPr>
      <w:r>
        <w:rPr>
          <w:sz w:val="20"/>
          <w:szCs w:val="20"/>
        </w:rPr>
        <w:t xml:space="preserve">I’ve seen too many experiments fail because someone used the wrong microscope. Here’s how to choose:</w:t>
      </w:r>
      <w:r>
        <w:br/>
      </w:r>
      <w:r>
        <w:rPr>
          <w:sz w:val="20"/>
          <w:szCs w:val="20"/>
        </w:rPr>
        <w:t xml:space="preserve"/>
      </w:r>
      <w:r>
        <w:br/>
      </w:r>
      <w:r>
        <w:rPr>
          <w:sz w:val="20"/>
          <w:szCs w:val="20"/>
        </w:rPr>
        <w:t xml:space="preserve">Need to count cells or see gross morphology?</w:t>
      </w:r>
      <w:r>
        <w:br/>
      </w:r>
      <w:r>
        <w:rPr>
          <w:sz w:val="20"/>
          <w:szCs w:val="20"/>
        </w:rPr>
        <w:t xml:space="preserve">→ Widefield. Don’t waste confocal time on this.</w:t>
      </w:r>
      <w:r>
        <w:br/>
      </w:r>
      <w:r>
        <w:rPr>
          <w:sz w:val="20"/>
          <w:szCs w:val="20"/>
        </w:rPr>
        <w:t xml:space="preserve"/>
      </w:r>
      <w:r>
        <w:br/>
      </w:r>
      <w:r>
        <w:rPr>
          <w:sz w:val="20"/>
          <w:szCs w:val="20"/>
        </w:rPr>
        <w:t xml:space="preserve">Need subcellular localization of 2–4 markers?</w:t>
      </w:r>
      <w:r>
        <w:br/>
      </w:r>
      <w:r>
        <w:rPr>
          <w:sz w:val="20"/>
          <w:szCs w:val="20"/>
        </w:rPr>
        <w:t xml:space="preserve">→ Confocal. Set pinhole to 1 Airy unit, use sequential scanning to avoid bleedthrough.</w:t>
      </w:r>
      <w:r>
        <w:br/>
      </w:r>
      <w:r>
        <w:rPr>
          <w:sz w:val="20"/>
          <w:szCs w:val="20"/>
        </w:rPr>
        <w:t xml:space="preserve"/>
      </w:r>
      <w:r>
        <w:br/>
      </w:r>
      <w:r>
        <w:rPr>
          <w:sz w:val="20"/>
          <w:szCs w:val="20"/>
        </w:rPr>
        <w:t xml:space="preserve">Need to resolve structures &lt;200nm (individual fibrils, synaptic vesicles)?</w:t>
      </w:r>
      <w:r>
        <w:br/>
      </w:r>
      <w:r>
        <w:rPr>
          <w:sz w:val="20"/>
          <w:szCs w:val="20"/>
        </w:rPr>
        <w:t xml:space="preserve">→ STED or SIM. STED gives ~50nm resolution but photobleaches fast. SIM is gentler but ~100nm.</w:t>
      </w:r>
      <w:r>
        <w:br/>
      </w:r>
      <w:r>
        <w:rPr>
          <w:sz w:val="20"/>
          <w:szCs w:val="20"/>
        </w:rPr>
        <w:t xml:space="preserve"/>
      </w:r>
      <w:r>
        <w:br/>
      </w:r>
      <w:r>
        <w:rPr>
          <w:sz w:val="20"/>
          <w:szCs w:val="20"/>
        </w:rPr>
        <w:t xml:space="preserve">Need 3D architecture or ultrastructure?</w:t>
      </w:r>
      <w:r>
        <w:br/>
      </w:r>
      <w:r>
        <w:rPr>
          <w:sz w:val="20"/>
          <w:szCs w:val="20"/>
        </w:rPr>
        <w:t xml:space="preserve">→ Electron microscopy. TEM for thin sections, SEM for surface topology.</w:t>
      </w:r>
      <w:r>
        <w:br/>
      </w:r>
      <w:r>
        <w:rPr>
          <w:sz w:val="20"/>
          <w:szCs w:val="20"/>
        </w:rPr>
        <w:t xml:space="preserve"/>
      </w:r>
      <w:r>
        <w:br/>
      </w:r>
      <w:r>
        <w:rPr>
          <w:sz w:val="20"/>
          <w:szCs w:val="20"/>
        </w:rPr>
        <w:t xml:space="preserve">Need to connect fluorescence with ultrastructure?</w:t>
      </w:r>
      <w:r>
        <w:br/>
      </w:r>
      <w:r>
        <w:rPr>
          <w:sz w:val="20"/>
          <w:szCs w:val="20"/>
        </w:rPr>
        <w:t xml:space="preserve">→ CLEM (correlative light-electron microscopy). Gold standard but technically demanding.</w:t>
      </w:r>
      <w:r>
        <w:br/>
      </w:r>
      <w:r>
        <w:rPr>
          <w:sz w:val="20"/>
          <w:szCs w:val="20"/>
        </w:rPr>
        <w:t xml:space="preserve"/>
      </w:r>
      <w:r>
        <w:br/>
      </w:r>
      <w:r>
        <w:rPr>
          <w:sz w:val="20"/>
          <w:szCs w:val="20"/>
        </w:rPr>
        <w:t xml:space="preserve">The biggest mistake: using confocal when widefield + deconvolution would give you the same answer 10x faster.</w:t>
      </w:r>
      <w:r>
        <w:br/>
      </w:r>
      <w:r>
        <w:rPr>
          <w:sz w:val="20"/>
          <w:szCs w:val="20"/>
        </w:rPr>
        <w:t xml:space="preserve"/>
      </w:r>
      <w:r>
        <w:br/>
      </w:r>
      <w:r>
        <w:rPr>
          <w:sz w:val="20"/>
          <w:szCs w:val="20"/>
        </w:rPr>
        <w:t xml:space="preserve">Resolution comparison ladder with real examples from our lab at arminbayati.com</w:t>
      </w:r>
      <w:r>
        <w:br/>
      </w:r>
      <w:r>
        <w:rPr>
          <w:sz w:val="20"/>
          <w:szCs w:val="20"/>
        </w:rPr>
        <w:t xml:space="preserve"/>
      </w:r>
      <w:r>
        <w:br/>
      </w:r>
      <w:r>
        <w:rPr>
          <w:sz w:val="20"/>
          <w:szCs w:val="20"/>
        </w:rPr>
        <w:t xml:space="preserve">#Microscopy #CellImaging #LabTips #Confocal #ElectronMicroscopy #STED</w:t>
      </w:r>
    </w:p>
    <w:p>
      <w:pPr>
        <w:pStyle w:val="Heading3"/>
      </w:pPr>
      <w:r>
        <w:t xml:space="preserve">Wednesday — TROUBLESHOOTING</w:t>
      </w:r>
    </w:p>
    <w:p>
      <w:pPr>
        <w:spacing w:after="60"/>
      </w:pPr>
      <w:r>
        <w:rPr>
          <w:b/>
          <w:bCs/>
          <w:color w:val="6B7280"/>
          <w:sz w:val="20"/>
          <w:szCs w:val="20"/>
        </w:rPr>
        <w:t xml:space="preserve">Image: </w:t>
      </w:r>
      <w:r>
        <w:rPr>
          <w:color w:val="6B7280"/>
          <w:sz w:val="20"/>
          <w:szCs w:val="20"/>
        </w:rPr>
        <w:t xml:space="preserve">LI_S08_flow_cytometry.jpg</w:t>
      </w:r>
    </w:p>
    <w:p>
      <w:pPr>
        <w:spacing w:after="60"/>
      </w:pPr>
      <w:r>
        <w:rPr>
          <w:b/>
          <w:bCs/>
          <w:sz w:val="22"/>
          <w:szCs w:val="22"/>
        </w:rPr>
        <w:t xml:space="preserve">5 Flow Cytometry Mistakes That Are Ruining Your Data</w:t>
      </w:r>
    </w:p>
    <w:p>
      <w:pPr>
        <w:pBdr>
          <w:left w:val="single" w:color="E8E6E1" w:sz="6" w:space="8"/>
        </w:pBdr>
        <w:spacing w:after="200"/>
        <w:ind w:left="240"/>
      </w:pPr>
      <w:r>
        <w:rPr>
          <w:sz w:val="20"/>
          <w:szCs w:val="20"/>
        </w:rPr>
        <w:t xml:space="preserve">After running hundreds of flow panels, these are the mistakes I see most often:</w:t>
      </w:r>
      <w:r>
        <w:br/>
      </w:r>
      <w:r>
        <w:rPr>
          <w:sz w:val="20"/>
          <w:szCs w:val="20"/>
        </w:rPr>
        <w:t xml:space="preserve"/>
      </w:r>
      <w:r>
        <w:br/>
      </w:r>
      <w:r>
        <w:rPr>
          <w:sz w:val="20"/>
          <w:szCs w:val="20"/>
        </w:rPr>
        <w:t xml:space="preserve">1. No single-stain compensation controls</w:t>
      </w:r>
      <w:r>
        <w:br/>
      </w:r>
      <w:r>
        <w:rPr>
          <w:sz w:val="20"/>
          <w:szCs w:val="20"/>
        </w:rPr>
        <w:t xml:space="preserve">If you’re using comp beads instead of cells, your compensation may be wrong. Beads and cells autofluoresce differently. Use cells when possible.</w:t>
      </w:r>
      <w:r>
        <w:br/>
      </w:r>
      <w:r>
        <w:rPr>
          <w:sz w:val="20"/>
          <w:szCs w:val="20"/>
        </w:rPr>
        <w:t xml:space="preserve"/>
      </w:r>
      <w:r>
        <w:br/>
      </w:r>
      <w:r>
        <w:rPr>
          <w:sz w:val="20"/>
          <w:szCs w:val="20"/>
        </w:rPr>
        <w:t xml:space="preserve">2. Gating on unstained instead of FMO</w:t>
      </w:r>
      <w:r>
        <w:br/>
      </w:r>
      <w:r>
        <w:rPr>
          <w:sz w:val="20"/>
          <w:szCs w:val="20"/>
        </w:rPr>
        <w:t xml:space="preserve">Unstained controls don’t account for spectral spillover. FMOs (fluorescence-minus-one) show you where your positive gate actually belongs.</w:t>
      </w:r>
      <w:r>
        <w:br/>
      </w:r>
      <w:r>
        <w:rPr>
          <w:sz w:val="20"/>
          <w:szCs w:val="20"/>
        </w:rPr>
        <w:t xml:space="preserve"/>
      </w:r>
      <w:r>
        <w:br/>
      </w:r>
      <w:r>
        <w:rPr>
          <w:sz w:val="20"/>
          <w:szCs w:val="20"/>
        </w:rPr>
        <w:t xml:space="preserve">3. Too many fluorochromes in the same spectral neighborhood</w:t>
      </w:r>
      <w:r>
        <w:br/>
      </w:r>
      <w:r>
        <w:rPr>
          <w:sz w:val="20"/>
          <w:szCs w:val="20"/>
        </w:rPr>
        <w:t xml:space="preserve">PE, PE-CF594, PE-Cy5 all overlap. Either spread them across different markers or accept you’ll need aggressive compensation.</w:t>
      </w:r>
      <w:r>
        <w:br/>
      </w:r>
      <w:r>
        <w:rPr>
          <w:sz w:val="20"/>
          <w:szCs w:val="20"/>
        </w:rPr>
        <w:t xml:space="preserve"/>
      </w:r>
      <w:r>
        <w:br/>
      </w:r>
      <w:r>
        <w:rPr>
          <w:sz w:val="20"/>
          <w:szCs w:val="20"/>
        </w:rPr>
        <w:t xml:space="preserve">4. Not collecting enough events for rare populations</w:t>
      </w:r>
      <w:r>
        <w:br/>
      </w:r>
      <w:r>
        <w:rPr>
          <w:sz w:val="20"/>
          <w:szCs w:val="20"/>
        </w:rPr>
        <w:t xml:space="preserve">If your population is 0.5% of total, you need &gt;100,000 events minimum to get statistically meaningful counts.</w:t>
      </w:r>
      <w:r>
        <w:br/>
      </w:r>
      <w:r>
        <w:rPr>
          <w:sz w:val="20"/>
          <w:szCs w:val="20"/>
        </w:rPr>
        <w:t xml:space="preserve"/>
      </w:r>
      <w:r>
        <w:br/>
      </w:r>
      <w:r>
        <w:rPr>
          <w:sz w:val="20"/>
          <w:szCs w:val="20"/>
        </w:rPr>
        <w:t xml:space="preserve">5. Forgetting viability dye</w:t>
      </w:r>
      <w:r>
        <w:br/>
      </w:r>
      <w:r>
        <w:rPr>
          <w:sz w:val="20"/>
          <w:szCs w:val="20"/>
        </w:rPr>
        <w:t xml:space="preserve">Dead cells bind everything nonspecifically. Always include a fixable viability dye (Zombie, LIVE/DEAD) and gate them out FIRST.</w:t>
      </w:r>
      <w:r>
        <w:br/>
      </w:r>
      <w:r>
        <w:rPr>
          <w:sz w:val="20"/>
          <w:szCs w:val="20"/>
        </w:rPr>
        <w:t xml:space="preserve"/>
      </w:r>
      <w:r>
        <w:br/>
      </w:r>
      <w:r>
        <w:rPr>
          <w:sz w:val="20"/>
          <w:szCs w:val="20"/>
        </w:rPr>
        <w:t xml:space="preserve">Our panel design workflow with fluorochrome selection matrix at arminbayati.com</w:t>
      </w:r>
      <w:r>
        <w:br/>
      </w:r>
      <w:r>
        <w:rPr>
          <w:sz w:val="20"/>
          <w:szCs w:val="20"/>
        </w:rPr>
        <w:t xml:space="preserve"/>
      </w:r>
      <w:r>
        <w:br/>
      </w:r>
      <w:r>
        <w:rPr>
          <w:sz w:val="20"/>
          <w:szCs w:val="20"/>
        </w:rPr>
        <w:t xml:space="preserve">#FlowCytometry #FACS #LabTips #Immunology #CellBiology #Troubleshooting</w:t>
      </w:r>
    </w:p>
    <w:p>
      <w:pPr>
        <w:pStyle w:val="Heading3"/>
      </w:pPr>
      <w:r>
        <w:t xml:space="preserve">Friday — EXPERIMENTAL DESIGN</w:t>
      </w:r>
    </w:p>
    <w:p>
      <w:pPr>
        <w:spacing w:after="60"/>
      </w:pPr>
      <w:r>
        <w:rPr>
          <w:b/>
          <w:bCs/>
          <w:color w:val="6B7280"/>
          <w:sz w:val="20"/>
          <w:szCs w:val="20"/>
        </w:rPr>
        <w:t xml:space="preserve">Image: </w:t>
      </w:r>
      <w:r>
        <w:rPr>
          <w:color w:val="6B7280"/>
          <w:sz w:val="20"/>
          <w:szCs w:val="20"/>
        </w:rPr>
        <w:t xml:space="preserve">LI_S12_multiomics.jpg</w:t>
      </w:r>
    </w:p>
    <w:p>
      <w:pPr>
        <w:spacing w:after="60"/>
      </w:pPr>
      <w:r>
        <w:rPr>
          <w:b/>
          <w:bCs/>
          <w:sz w:val="22"/>
          <w:szCs w:val="22"/>
        </w:rPr>
        <w:t xml:space="preserve">How to Design a Multi-Omics Experiment Without Wasting Samples</w:t>
      </w:r>
    </w:p>
    <w:p>
      <w:pPr>
        <w:pBdr>
          <w:left w:val="single" w:color="E8E6E1" w:sz="6" w:space="8"/>
        </w:pBdr>
        <w:spacing w:after="200"/>
        <w:ind w:left="240"/>
      </w:pPr>
      <w:r>
        <w:rPr>
          <w:sz w:val="20"/>
          <w:szCs w:val="20"/>
        </w:rPr>
        <w:t xml:space="preserve">Multi-omics sounds powerful. But bad experimental design produces multi-omics noise, not signal.</w:t>
      </w:r>
      <w:r>
        <w:br/>
      </w:r>
      <w:r>
        <w:rPr>
          <w:sz w:val="20"/>
          <w:szCs w:val="20"/>
        </w:rPr>
        <w:t xml:space="preserve"/>
      </w:r>
      <w:r>
        <w:br/>
      </w:r>
      <w:r>
        <w:rPr>
          <w:sz w:val="20"/>
          <w:szCs w:val="20"/>
        </w:rPr>
        <w:t xml:space="preserve">Lessons from our TMT proteomics + scRNA-seq integration:</w:t>
      </w:r>
      <w:r>
        <w:br/>
      </w:r>
      <w:r>
        <w:rPr>
          <w:sz w:val="20"/>
          <w:szCs w:val="20"/>
        </w:rPr>
        <w:t xml:space="preserve"/>
      </w:r>
      <w:r>
        <w:br/>
      </w:r>
      <w:r>
        <w:rPr>
          <w:sz w:val="20"/>
          <w:szCs w:val="20"/>
        </w:rPr>
        <w:t xml:space="preserve">Sample preparation is everything:</w:t>
      </w:r>
      <w:r>
        <w:br/>
      </w:r>
      <w:r>
        <w:rPr>
          <w:sz w:val="20"/>
          <w:szCs w:val="20"/>
        </w:rPr>
        <w:t xml:space="preserve">• Match your biological replicates across all platforms (same passage, same treatment batch)</w:t>
      </w:r>
      <w:r>
        <w:br/>
      </w:r>
      <w:r>
        <w:rPr>
          <w:sz w:val="20"/>
          <w:szCs w:val="20"/>
        </w:rPr>
        <w:t xml:space="preserve">• Subcellular fractionation for proteomics gives you compartment-level resolution — whole-cell lysates miss organelle-specific changes</w:t>
      </w:r>
      <w:r>
        <w:br/>
      </w:r>
      <w:r>
        <w:rPr>
          <w:sz w:val="20"/>
          <w:szCs w:val="20"/>
        </w:rPr>
        <w:t xml:space="preserve">• For scRNA-seq: viability &gt;85% or your data is contaminated with dying cell signatures</w:t>
      </w:r>
      <w:r>
        <w:br/>
      </w:r>
      <w:r>
        <w:rPr>
          <w:sz w:val="20"/>
          <w:szCs w:val="20"/>
        </w:rPr>
        <w:t xml:space="preserve"/>
      </w:r>
      <w:r>
        <w:br/>
      </w:r>
      <w:r>
        <w:rPr>
          <w:sz w:val="20"/>
          <w:szCs w:val="20"/>
        </w:rPr>
        <w:t xml:space="preserve">Integration pitfalls:</w:t>
      </w:r>
      <w:r>
        <w:br/>
      </w:r>
      <w:r>
        <w:rPr>
          <w:sz w:val="20"/>
          <w:szCs w:val="20"/>
        </w:rPr>
        <w:t xml:space="preserve">• mRNA ≠ protein for ~60% of genes. Don’t expect perfect correlation.</w:t>
      </w:r>
      <w:r>
        <w:br/>
      </w:r>
      <w:r>
        <w:rPr>
          <w:sz w:val="20"/>
          <w:szCs w:val="20"/>
        </w:rPr>
        <w:t xml:space="preserve">• Batch effects across platforms are real. Design your experiment to distinguish biology from batch.</w:t>
      </w:r>
      <w:r>
        <w:br/>
      </w:r>
      <w:r>
        <w:rPr>
          <w:sz w:val="20"/>
          <w:szCs w:val="20"/>
        </w:rPr>
        <w:t xml:space="preserve">• Start with pathway-level integration, not gene-level. Pathways are more robust across platforms.</w:t>
      </w:r>
      <w:r>
        <w:br/>
      </w:r>
      <w:r>
        <w:rPr>
          <w:sz w:val="20"/>
          <w:szCs w:val="20"/>
        </w:rPr>
        <w:t xml:space="preserve"/>
      </w:r>
      <w:r>
        <w:br/>
      </w:r>
      <w:r>
        <w:rPr>
          <w:sz w:val="20"/>
          <w:szCs w:val="20"/>
        </w:rPr>
        <w:t xml:space="preserve">The cheapest multi-omics experiment is the one you design properly from the start.</w:t>
      </w:r>
      <w:r>
        <w:br/>
      </w:r>
      <w:r>
        <w:rPr>
          <w:sz w:val="20"/>
          <w:szCs w:val="20"/>
        </w:rPr>
        <w:t xml:space="preserve"/>
      </w:r>
      <w:r>
        <w:br/>
      </w:r>
      <w:r>
        <w:rPr>
          <w:sz w:val="20"/>
          <w:szCs w:val="20"/>
        </w:rPr>
        <w:t xml:space="preserve">Our full integration pipeline and design checklist at arminbayati.com</w:t>
      </w:r>
      <w:r>
        <w:br/>
      </w:r>
      <w:r>
        <w:rPr>
          <w:sz w:val="20"/>
          <w:szCs w:val="20"/>
        </w:rPr>
        <w:t xml:space="preserve"/>
      </w:r>
      <w:r>
        <w:br/>
      </w:r>
      <w:r>
        <w:rPr>
          <w:sz w:val="20"/>
          <w:szCs w:val="20"/>
        </w:rPr>
        <w:t xml:space="preserve">#MultiOmics #Proteomics #scRNAseq #ExperimentalDesign #Bioinformatics</w:t>
      </w:r>
    </w:p>
    <w:p>
      <w:pPr>
        <w:pStyle w:val="Heading2"/>
      </w:pPr>
      <w:r>
        <w:t xml:space="preserve">Week 4: Membrane Biology &amp; Organelle Interactions</w:t>
      </w:r>
    </w:p>
    <w:p>
      <w:pPr>
        <w:pStyle w:val="Heading3"/>
      </w:pPr>
      <w:r>
        <w:t xml:space="preserve">Monday — CELL BIOLOGY CONCEPTS</w:t>
      </w:r>
    </w:p>
    <w:p>
      <w:pPr>
        <w:spacing w:after="60"/>
      </w:pPr>
      <w:r>
        <w:rPr>
          <w:b/>
          <w:bCs/>
          <w:color w:val="6B7280"/>
          <w:sz w:val="20"/>
          <w:szCs w:val="20"/>
        </w:rPr>
        <w:t xml:space="preserve">Image: </w:t>
      </w:r>
      <w:r>
        <w:rPr>
          <w:color w:val="6B7280"/>
          <w:sz w:val="20"/>
          <w:szCs w:val="20"/>
        </w:rPr>
        <w:t xml:space="preserve">LI_S04_membrane_dynamics.jpg</w:t>
      </w:r>
    </w:p>
    <w:p>
      <w:pPr>
        <w:spacing w:after="60"/>
      </w:pPr>
      <w:r>
        <w:rPr>
          <w:b/>
          <w:bCs/>
          <w:sz w:val="22"/>
          <w:szCs w:val="22"/>
        </w:rPr>
        <w:t xml:space="preserve">Organelle Contact Sites Are Probably Affecting Your Experiment. Here’s How.</w:t>
      </w:r>
    </w:p>
    <w:p>
      <w:pPr>
        <w:pBdr>
          <w:left w:val="single" w:color="E8E6E1" w:sz="6" w:space="8"/>
        </w:pBdr>
        <w:spacing w:after="200"/>
        <w:ind w:left="240"/>
      </w:pPr>
      <w:r>
        <w:rPr>
          <w:sz w:val="20"/>
          <w:szCs w:val="20"/>
        </w:rPr>
        <w:t xml:space="preserve">If you’re studying calcium signaling, lipid metabolism, or apoptosis, organelle contact sites are already in your data — whether you’re measuring them or not.</w:t>
      </w:r>
      <w:r>
        <w:br/>
      </w:r>
      <w:r>
        <w:rPr>
          <w:sz w:val="20"/>
          <w:szCs w:val="20"/>
        </w:rPr>
        <w:t xml:space="preserve"/>
      </w:r>
      <w:r>
        <w:br/>
      </w:r>
      <w:r>
        <w:rPr>
          <w:sz w:val="20"/>
          <w:szCs w:val="20"/>
        </w:rPr>
        <w:t xml:space="preserve">ER-mitochondria contacts (MAMs):</w:t>
      </w:r>
      <w:r>
        <w:br/>
      </w:r>
      <w:r>
        <w:rPr>
          <w:sz w:val="20"/>
          <w:szCs w:val="20"/>
        </w:rPr>
        <w:t xml:space="preserve">• Control Ca²⁺ transfer that regulates mitochondrial ATP production</w:t>
      </w:r>
      <w:r>
        <w:br/>
      </w:r>
      <w:r>
        <w:rPr>
          <w:sz w:val="20"/>
          <w:szCs w:val="20"/>
        </w:rPr>
        <w:t xml:space="preserve">• If you disrupt them (by overexpressing VAPB or Mfn2 mutants), you change both calcium and metabolism simultaneously</w:t>
      </w:r>
      <w:r>
        <w:br/>
      </w:r>
      <w:r>
        <w:rPr>
          <w:sz w:val="20"/>
          <w:szCs w:val="20"/>
        </w:rPr>
        <w:t xml:space="preserve"/>
      </w:r>
      <w:r>
        <w:br/>
      </w:r>
      <w:r>
        <w:rPr>
          <w:sz w:val="20"/>
          <w:szCs w:val="20"/>
        </w:rPr>
        <w:t xml:space="preserve">ER-endosome contacts:</w:t>
      </w:r>
      <w:r>
        <w:br/>
      </w:r>
      <w:r>
        <w:rPr>
          <w:sz w:val="20"/>
          <w:szCs w:val="20"/>
        </w:rPr>
        <w:t xml:space="preserve">• Regulate cholesterol sensing via STARD3/ORP1L</w:t>
      </w:r>
      <w:r>
        <w:br/>
      </w:r>
      <w:r>
        <w:rPr>
          <w:sz w:val="20"/>
          <w:szCs w:val="20"/>
        </w:rPr>
        <w:t xml:space="preserve">• May explain why your cholesterol perturbation experiment had unexpected effects on endosomal trafficking</w:t>
      </w:r>
      <w:r>
        <w:br/>
      </w:r>
      <w:r>
        <w:rPr>
          <w:sz w:val="20"/>
          <w:szCs w:val="20"/>
        </w:rPr>
        <w:t xml:space="preserve"/>
      </w:r>
      <w:r>
        <w:br/>
      </w:r>
      <w:r>
        <w:rPr>
          <w:sz w:val="20"/>
          <w:szCs w:val="20"/>
        </w:rPr>
        <w:t xml:space="preserve">Lysosome-mitochondria contacts:</w:t>
      </w:r>
      <w:r>
        <w:br/>
      </w:r>
      <w:r>
        <w:rPr>
          <w:sz w:val="20"/>
          <w:szCs w:val="20"/>
        </w:rPr>
        <w:t xml:space="preserve">• Emerging as metabolic sensors</w:t>
      </w:r>
      <w:r>
        <w:br/>
      </w:r>
      <w:r>
        <w:rPr>
          <w:sz w:val="20"/>
          <w:szCs w:val="20"/>
        </w:rPr>
        <w:t xml:space="preserve">• Disrupted in most lysosomal storage disorders</w:t>
      </w:r>
      <w:r>
        <w:br/>
      </w:r>
      <w:r>
        <w:rPr>
          <w:sz w:val="20"/>
          <w:szCs w:val="20"/>
        </w:rPr>
        <w:t xml:space="preserve"/>
      </w:r>
      <w:r>
        <w:br/>
      </w:r>
      <w:r>
        <w:rPr>
          <w:sz w:val="20"/>
          <w:szCs w:val="20"/>
        </w:rPr>
        <w:t xml:space="preserve">To actually see these: proximity ligation assay (PLA) for endogenous contact markers, or split-GFP systems for live imaging.</w:t>
      </w:r>
      <w:r>
        <w:br/>
      </w:r>
      <w:r>
        <w:rPr>
          <w:sz w:val="20"/>
          <w:szCs w:val="20"/>
        </w:rPr>
        <w:t xml:space="preserve"/>
      </w:r>
      <w:r>
        <w:br/>
      </w:r>
      <w:r>
        <w:rPr>
          <w:sz w:val="20"/>
          <w:szCs w:val="20"/>
        </w:rPr>
        <w:t xml:space="preserve">Most importantly: if you’re knocking down a protein and seeing unexpected organelle phenotypes, check if it participates in a contact site.</w:t>
      </w:r>
      <w:r>
        <w:br/>
      </w:r>
      <w:r>
        <w:rPr>
          <w:sz w:val="20"/>
          <w:szCs w:val="20"/>
        </w:rPr>
        <w:t xml:space="preserve"/>
      </w:r>
      <w:r>
        <w:br/>
      </w:r>
      <w:r>
        <w:rPr>
          <w:sz w:val="20"/>
          <w:szCs w:val="20"/>
        </w:rPr>
        <w:t xml:space="preserve">Organelle contact site map with method recommendations at arminbayati.com</w:t>
      </w:r>
      <w:r>
        <w:br/>
      </w:r>
      <w:r>
        <w:rPr>
          <w:sz w:val="20"/>
          <w:szCs w:val="20"/>
        </w:rPr>
        <w:t xml:space="preserve"/>
      </w:r>
      <w:r>
        <w:br/>
      </w:r>
      <w:r>
        <w:rPr>
          <w:sz w:val="20"/>
          <w:szCs w:val="20"/>
        </w:rPr>
        <w:t xml:space="preserve">#OrganelleContacts #CellBiology #Mitochondria #ER #LabTips #MembraneBiology</w:t>
      </w:r>
    </w:p>
    <w:p>
      <w:pPr>
        <w:pStyle w:val="Heading3"/>
      </w:pPr>
      <w:r>
        <w:t xml:space="preserve">Wednesday — PRACTICAL METHODS</w:t>
      </w:r>
    </w:p>
    <w:p>
      <w:pPr>
        <w:spacing w:after="60"/>
      </w:pPr>
      <w:r>
        <w:rPr>
          <w:b/>
          <w:bCs/>
          <w:color w:val="6B7280"/>
          <w:sz w:val="20"/>
          <w:szCs w:val="20"/>
        </w:rPr>
        <w:t xml:space="preserve">Image: </w:t>
      </w:r>
      <w:r>
        <w:rPr>
          <w:color w:val="6B7280"/>
          <w:sz w:val="20"/>
          <w:szCs w:val="20"/>
        </w:rPr>
        <w:t xml:space="preserve">LI_S11_exosome_propagation.jpg</w:t>
      </w:r>
    </w:p>
    <w:p>
      <w:pPr>
        <w:spacing w:after="60"/>
      </w:pPr>
      <w:r>
        <w:rPr>
          <w:b/>
          <w:bCs/>
          <w:sz w:val="22"/>
          <w:szCs w:val="22"/>
        </w:rPr>
        <w:t xml:space="preserve">How to Isolate Exosomes Without Contaminating Your Results</w:t>
      </w:r>
    </w:p>
    <w:p>
      <w:pPr>
        <w:pBdr>
          <w:left w:val="single" w:color="E8E6E1" w:sz="6" w:space="8"/>
        </w:pBdr>
        <w:spacing w:after="200"/>
        <w:ind w:left="240"/>
      </w:pPr>
      <w:r>
        <w:rPr>
          <w:sz w:val="20"/>
          <w:szCs w:val="20"/>
        </w:rPr>
        <w:t xml:space="preserve">Exosome isolation is a field plagued by contamination. Here’s what actually matters:</w:t>
      </w:r>
      <w:r>
        <w:br/>
      </w:r>
      <w:r>
        <w:rPr>
          <w:sz w:val="20"/>
          <w:szCs w:val="20"/>
        </w:rPr>
        <w:t xml:space="preserve"/>
      </w:r>
      <w:r>
        <w:br/>
      </w:r>
      <w:r>
        <w:rPr>
          <w:sz w:val="20"/>
          <w:szCs w:val="20"/>
        </w:rPr>
        <w:t xml:space="preserve">Ultracentrifugation (100,000g):</w:t>
      </w:r>
      <w:r>
        <w:br/>
      </w:r>
      <w:r>
        <w:rPr>
          <w:sz w:val="20"/>
          <w:szCs w:val="20"/>
        </w:rPr>
        <w:t xml:space="preserve">• Still the standard, but co-pellets protein aggregates and lipoproteins</w:t>
      </w:r>
      <w:r>
        <w:br/>
      </w:r>
      <w:r>
        <w:rPr>
          <w:sz w:val="20"/>
          <w:szCs w:val="20"/>
        </w:rPr>
        <w:t xml:space="preserve">• Add a sucrose/iodixanol density gradient step to separate true exosomes (1.13–1.19 g/mL)</w:t>
      </w:r>
      <w:r>
        <w:br/>
      </w:r>
      <w:r>
        <w:rPr>
          <w:sz w:val="20"/>
          <w:szCs w:val="20"/>
        </w:rPr>
        <w:t xml:space="preserve"/>
      </w:r>
      <w:r>
        <w:br/>
      </w:r>
      <w:r>
        <w:rPr>
          <w:sz w:val="20"/>
          <w:szCs w:val="20"/>
        </w:rPr>
        <w:t xml:space="preserve">Size exclusion chromatography (SEC):</w:t>
      </w:r>
      <w:r>
        <w:br/>
      </w:r>
      <w:r>
        <w:rPr>
          <w:sz w:val="20"/>
          <w:szCs w:val="20"/>
        </w:rPr>
        <w:t xml:space="preserve">• qEV columns give cleaner preparations for downstream proteomics</w:t>
      </w:r>
      <w:r>
        <w:br/>
      </w:r>
      <w:r>
        <w:rPr>
          <w:sz w:val="20"/>
          <w:szCs w:val="20"/>
        </w:rPr>
        <w:t xml:space="preserve">• But lower yield — not great for functional assays requiring large amounts</w:t>
      </w:r>
      <w:r>
        <w:br/>
      </w:r>
      <w:r>
        <w:rPr>
          <w:sz w:val="20"/>
          <w:szCs w:val="20"/>
        </w:rPr>
        <w:t xml:space="preserve"/>
      </w:r>
      <w:r>
        <w:br/>
      </w:r>
      <w:r>
        <w:rPr>
          <w:sz w:val="20"/>
          <w:szCs w:val="20"/>
        </w:rPr>
        <w:t xml:space="preserve">Polymer precipitation (ExoQuick, etc.):</w:t>
      </w:r>
      <w:r>
        <w:br/>
      </w:r>
      <w:r>
        <w:rPr>
          <w:sz w:val="20"/>
          <w:szCs w:val="20"/>
        </w:rPr>
        <w:t xml:space="preserve">• Fast, high yield, but contaminates with non-vesicular material</w:t>
      </w:r>
      <w:r>
        <w:br/>
      </w:r>
      <w:r>
        <w:rPr>
          <w:sz w:val="20"/>
          <w:szCs w:val="20"/>
        </w:rPr>
        <w:t xml:space="preserve">• Fine for quick screens, never for publication-quality characterization</w:t>
      </w:r>
      <w:r>
        <w:br/>
      </w:r>
      <w:r>
        <w:rPr>
          <w:sz w:val="20"/>
          <w:szCs w:val="20"/>
        </w:rPr>
        <w:t xml:space="preserve"/>
      </w:r>
      <w:r>
        <w:br/>
      </w:r>
      <w:r>
        <w:rPr>
          <w:sz w:val="20"/>
          <w:szCs w:val="20"/>
        </w:rPr>
        <w:t xml:space="preserve">Validation you MUST do:</w:t>
      </w:r>
      <w:r>
        <w:br/>
      </w:r>
      <w:r>
        <w:rPr>
          <w:sz w:val="20"/>
          <w:szCs w:val="20"/>
        </w:rPr>
        <w:t xml:space="preserve">• NTA (nanoparticle tracking) for size distribution</w:t>
      </w:r>
      <w:r>
        <w:br/>
      </w:r>
      <w:r>
        <w:rPr>
          <w:sz w:val="20"/>
          <w:szCs w:val="20"/>
        </w:rPr>
        <w:t xml:space="preserve">• Western blot: CD63, CD81, TSG101 positive; calnexin negative (ER exclusion)</w:t>
      </w:r>
      <w:r>
        <w:br/>
      </w:r>
      <w:r>
        <w:rPr>
          <w:sz w:val="20"/>
          <w:szCs w:val="20"/>
        </w:rPr>
        <w:t xml:space="preserve">• TEM for morphology confirmation (cup-shaped artifacts are actually a drying artifact, not the real shape)</w:t>
      </w:r>
      <w:r>
        <w:br/>
      </w:r>
      <w:r>
        <w:rPr>
          <w:sz w:val="20"/>
          <w:szCs w:val="20"/>
        </w:rPr>
        <w:t xml:space="preserve"/>
      </w:r>
      <w:r>
        <w:br/>
      </w:r>
      <w:r>
        <w:rPr>
          <w:sz w:val="20"/>
          <w:szCs w:val="20"/>
        </w:rPr>
        <w:t xml:space="preserve">The dirty secret: most “exosome” papers use preparations that contain &lt;30% actual exosomes.</w:t>
      </w:r>
      <w:r>
        <w:br/>
      </w:r>
      <w:r>
        <w:rPr>
          <w:sz w:val="20"/>
          <w:szCs w:val="20"/>
        </w:rPr>
        <w:t xml:space="preserve"/>
      </w:r>
      <w:r>
        <w:br/>
      </w:r>
      <w:r>
        <w:rPr>
          <w:sz w:val="20"/>
          <w:szCs w:val="20"/>
        </w:rPr>
        <w:t xml:space="preserve">Our exosome pathway schematic with isolation decision tree at arminbayati.com</w:t>
      </w:r>
      <w:r>
        <w:br/>
      </w:r>
      <w:r>
        <w:rPr>
          <w:sz w:val="20"/>
          <w:szCs w:val="20"/>
        </w:rPr>
        <w:t xml:space="preserve"/>
      </w:r>
      <w:r>
        <w:br/>
      </w:r>
      <w:r>
        <w:rPr>
          <w:sz w:val="20"/>
          <w:szCs w:val="20"/>
        </w:rPr>
        <w:t xml:space="preserve">#Exosomes #ExtracellularVesicles #LabMethods #CellBiology #ProtocolTips</w:t>
      </w:r>
    </w:p>
    <w:p>
      <w:pPr>
        <w:pStyle w:val="Heading3"/>
      </w:pPr>
      <w:r>
        <w:t xml:space="preserve">Friday — QUALITY CONTROL</w:t>
      </w:r>
    </w:p>
    <w:p>
      <w:pPr>
        <w:spacing w:after="60"/>
      </w:pPr>
      <w:r>
        <w:rPr>
          <w:b/>
          <w:bCs/>
          <w:color w:val="6B7280"/>
          <w:sz w:val="20"/>
          <w:szCs w:val="20"/>
        </w:rPr>
        <w:t xml:space="preserve">Image: </w:t>
      </w:r>
      <w:r>
        <w:rPr>
          <w:color w:val="6B7280"/>
          <w:sz w:val="20"/>
          <w:szCs w:val="20"/>
        </w:rPr>
        <w:t xml:space="preserve">LI_I02_ipsc_lineage.jpg</w:t>
      </w:r>
    </w:p>
    <w:p>
      <w:pPr>
        <w:spacing w:after="60"/>
      </w:pPr>
      <w:r>
        <w:rPr>
          <w:b/>
          <w:bCs/>
          <w:sz w:val="22"/>
          <w:szCs w:val="22"/>
        </w:rPr>
        <w:t xml:space="preserve">iPSC Differentiation: The QC Steps Everyone Skips (But Shouldn’t)</w:t>
      </w:r>
    </w:p>
    <w:p>
      <w:pPr>
        <w:pBdr>
          <w:left w:val="single" w:color="E8E6E1" w:sz="6" w:space="8"/>
        </w:pBdr>
        <w:spacing w:after="200"/>
        <w:ind w:left="240"/>
      </w:pPr>
      <w:r>
        <w:rPr>
          <w:sz w:val="20"/>
          <w:szCs w:val="20"/>
        </w:rPr>
        <w:t xml:space="preserve">You spent 3 months differentiating iPSCs into neurons. How do you know they’re actually dopaminergic neurons and not just generic neural progenitors?</w:t>
      </w:r>
      <w:r>
        <w:br/>
      </w:r>
      <w:r>
        <w:rPr>
          <w:sz w:val="20"/>
          <w:szCs w:val="20"/>
        </w:rPr>
        <w:t xml:space="preserve"/>
      </w:r>
      <w:r>
        <w:br/>
      </w:r>
      <w:r>
        <w:rPr>
          <w:sz w:val="20"/>
          <w:szCs w:val="20"/>
        </w:rPr>
        <w:t xml:space="preserve">QC checkpoints that should be non-negotiable:</w:t>
      </w:r>
      <w:r>
        <w:br/>
      </w:r>
      <w:r>
        <w:rPr>
          <w:sz w:val="20"/>
          <w:szCs w:val="20"/>
        </w:rPr>
        <w:t xml:space="preserve"/>
      </w:r>
      <w:r>
        <w:br/>
      </w:r>
      <w:r>
        <w:rPr>
          <w:sz w:val="20"/>
          <w:szCs w:val="20"/>
        </w:rPr>
        <w:t xml:space="preserve">Pluripotency (before differentiation):</w:t>
      </w:r>
      <w:r>
        <w:br/>
      </w:r>
      <w:r>
        <w:rPr>
          <w:sz w:val="20"/>
          <w:szCs w:val="20"/>
        </w:rPr>
        <w:t xml:space="preserve">• OCT4/NANOG/SOX2 ICC — at least &gt;95% positive</w:t>
      </w:r>
      <w:r>
        <w:br/>
      </w:r>
      <w:r>
        <w:rPr>
          <w:sz w:val="20"/>
          <w:szCs w:val="20"/>
        </w:rPr>
        <w:t xml:space="preserve">• Karyotype — culture-acquired aneuploidies are more common than people admit</w:t>
      </w:r>
      <w:r>
        <w:br/>
      </w:r>
      <w:r>
        <w:rPr>
          <w:sz w:val="20"/>
          <w:szCs w:val="20"/>
        </w:rPr>
        <w:t xml:space="preserve">• Mycoplasma test — every thaw, no exceptions</w:t>
      </w:r>
      <w:r>
        <w:br/>
      </w:r>
      <w:r>
        <w:rPr>
          <w:sz w:val="20"/>
          <w:szCs w:val="20"/>
        </w:rPr>
        <w:t xml:space="preserve"/>
      </w:r>
      <w:r>
        <w:br/>
      </w:r>
      <w:r>
        <w:rPr>
          <w:sz w:val="20"/>
          <w:szCs w:val="20"/>
        </w:rPr>
        <w:t xml:space="preserve">Floor plate (day 11–15):</w:t>
      </w:r>
      <w:r>
        <w:br/>
      </w:r>
      <w:r>
        <w:rPr>
          <w:sz w:val="20"/>
          <w:szCs w:val="20"/>
        </w:rPr>
        <w:t xml:space="preserve">• FOXA2+/LMX1A+ should be &gt;80%</w:t>
      </w:r>
      <w:r>
        <w:br/>
      </w:r>
      <w:r>
        <w:rPr>
          <w:sz w:val="20"/>
          <w:szCs w:val="20"/>
        </w:rPr>
        <w:t xml:space="preserve">• If it’s &lt;60%, restart. Downstream neurons will be mixed.</w:t>
      </w:r>
      <w:r>
        <w:br/>
      </w:r>
      <w:r>
        <w:rPr>
          <w:sz w:val="20"/>
          <w:szCs w:val="20"/>
        </w:rPr>
        <w:t xml:space="preserve"/>
      </w:r>
      <w:r>
        <w:br/>
      </w:r>
      <w:r>
        <w:rPr>
          <w:sz w:val="20"/>
          <w:szCs w:val="20"/>
        </w:rPr>
        <w:t xml:space="preserve">Mature neurons (day 40+):</w:t>
      </w:r>
      <w:r>
        <w:br/>
      </w:r>
      <w:r>
        <w:rPr>
          <w:sz w:val="20"/>
          <w:szCs w:val="20"/>
        </w:rPr>
        <w:t xml:space="preserve">• TH/MAP2 double-positive = dopaminergic neuron identity</w:t>
      </w:r>
      <w:r>
        <w:br/>
      </w:r>
      <w:r>
        <w:rPr>
          <w:sz w:val="20"/>
          <w:szCs w:val="20"/>
        </w:rPr>
        <w:t xml:space="preserve">• GIRK2 = A9 subtype (the ones that die in Parkinson’s)</w:t>
      </w:r>
      <w:r>
        <w:br/>
      </w:r>
      <w:r>
        <w:rPr>
          <w:sz w:val="20"/>
          <w:szCs w:val="20"/>
        </w:rPr>
        <w:t xml:space="preserve">• Electrophysiology: should fire action potentials, show spontaneous activity</w:t>
      </w:r>
      <w:r>
        <w:br/>
      </w:r>
      <w:r>
        <w:rPr>
          <w:sz w:val="20"/>
          <w:szCs w:val="20"/>
        </w:rPr>
        <w:t xml:space="preserve">• DAT uptake assay: functional dopamine transporter</w:t>
      </w:r>
      <w:r>
        <w:br/>
      </w:r>
      <w:r>
        <w:rPr>
          <w:sz w:val="20"/>
          <w:szCs w:val="20"/>
        </w:rPr>
        <w:t xml:space="preserve"/>
      </w:r>
      <w:r>
        <w:br/>
      </w:r>
      <w:r>
        <w:rPr>
          <w:sz w:val="20"/>
          <w:szCs w:val="20"/>
        </w:rPr>
        <w:t xml:space="preserve">The most common failure: people report TH+ cells at day 25 and call them DA neurons. They’re not mature yet. Wait until day 40+ minimum.</w:t>
      </w:r>
      <w:r>
        <w:br/>
      </w:r>
      <w:r>
        <w:rPr>
          <w:sz w:val="20"/>
          <w:szCs w:val="20"/>
        </w:rPr>
        <w:t xml:space="preserve"/>
      </w:r>
      <w:r>
        <w:br/>
      </w:r>
      <w:r>
        <w:rPr>
          <w:sz w:val="20"/>
          <w:szCs w:val="20"/>
        </w:rPr>
        <w:t xml:space="preserve">Full differentiation pipeline with QC decision points at arminbayati.com</w:t>
      </w:r>
      <w:r>
        <w:br/>
      </w:r>
      <w:r>
        <w:rPr>
          <w:sz w:val="20"/>
          <w:szCs w:val="20"/>
        </w:rPr>
        <w:t xml:space="preserve"/>
      </w:r>
      <w:r>
        <w:br/>
      </w:r>
      <w:r>
        <w:rPr>
          <w:sz w:val="20"/>
          <w:szCs w:val="20"/>
        </w:rPr>
        <w:t xml:space="preserve">#iPSC #StemCells #QualityControl #DopaminergicNeurons #CellBiology #LabTips</w:t>
      </w:r>
    </w:p>
    <w:p>
      <w:pPr>
        <w:pStyle w:val="Heading2"/>
      </w:pPr>
      <w:r>
        <w:t xml:space="preserve">Week 5: Drug Screening &amp; Signaling</w:t>
      </w:r>
    </w:p>
    <w:p>
      <w:pPr>
        <w:pStyle w:val="Heading3"/>
      </w:pPr>
      <w:r>
        <w:t xml:space="preserve">Monday — DRUG SCREENING</w:t>
      </w:r>
    </w:p>
    <w:p>
      <w:pPr>
        <w:spacing w:after="60"/>
      </w:pPr>
      <w:r>
        <w:rPr>
          <w:b/>
          <w:bCs/>
          <w:color w:val="6B7280"/>
          <w:sz w:val="20"/>
          <w:szCs w:val="20"/>
        </w:rPr>
        <w:t xml:space="preserve">Image: </w:t>
      </w:r>
      <w:r>
        <w:rPr>
          <w:color w:val="6B7280"/>
          <w:sz w:val="20"/>
          <w:szCs w:val="20"/>
        </w:rPr>
        <w:t xml:space="preserve">LI_S10_drug_screening.jpg</w:t>
      </w:r>
    </w:p>
    <w:p>
      <w:pPr>
        <w:spacing w:after="60"/>
      </w:pPr>
      <w:r>
        <w:rPr>
          <w:b/>
          <w:bCs/>
          <w:sz w:val="22"/>
          <w:szCs w:val="22"/>
        </w:rPr>
        <w:t xml:space="preserve">Why Your Drug Screen Isn’t Finding Hits (And How to Fix It)</w:t>
      </w:r>
    </w:p>
    <w:p>
      <w:pPr>
        <w:pBdr>
          <w:left w:val="single" w:color="E8E6E1" w:sz="6" w:space="8"/>
        </w:pBdr>
        <w:spacing w:after="200"/>
        <w:ind w:left="240"/>
      </w:pPr>
      <w:r>
        <w:rPr>
          <w:sz w:val="20"/>
          <w:szCs w:val="20"/>
        </w:rPr>
        <w:t xml:space="preserve">Phenotypic screens fail for predictable reasons. Here are the ones I’ve learned the hard way:</w:t>
      </w:r>
      <w:r>
        <w:br/>
      </w:r>
      <w:r>
        <w:rPr>
          <w:sz w:val="20"/>
          <w:szCs w:val="20"/>
        </w:rPr>
        <w:t xml:space="preserve"/>
      </w:r>
      <w:r>
        <w:br/>
      </w:r>
      <w:r>
        <w:rPr>
          <w:sz w:val="20"/>
          <w:szCs w:val="20"/>
        </w:rPr>
        <w:t xml:space="preserve">Wrong readout:</w:t>
      </w:r>
      <w:r>
        <w:br/>
      </w:r>
      <w:r>
        <w:rPr>
          <w:sz w:val="20"/>
          <w:szCs w:val="20"/>
        </w:rPr>
        <w:t xml:space="preserve">• Cell viability (CellTiter-Glo) measures ATP, not disease relevance</w:t>
      </w:r>
      <w:r>
        <w:br/>
      </w:r>
      <w:r>
        <w:rPr>
          <w:sz w:val="20"/>
          <w:szCs w:val="20"/>
        </w:rPr>
        <w:t xml:space="preserve">• We switched to high-content imaging of inclusion burden — hit rate went up 5x</w:t>
      </w:r>
      <w:r>
        <w:br/>
      </w:r>
      <w:r>
        <w:rPr>
          <w:sz w:val="20"/>
          <w:szCs w:val="20"/>
        </w:rPr>
        <w:t xml:space="preserve">• Your readout should measure the actual disease phenotype, not a proxy</w:t>
      </w:r>
      <w:r>
        <w:br/>
      </w:r>
      <w:r>
        <w:rPr>
          <w:sz w:val="20"/>
          <w:szCs w:val="20"/>
        </w:rPr>
        <w:t xml:space="preserve"/>
      </w:r>
      <w:r>
        <w:br/>
      </w:r>
      <w:r>
        <w:rPr>
          <w:sz w:val="20"/>
          <w:szCs w:val="20"/>
        </w:rPr>
        <w:t xml:space="preserve">Wrong cell type:</w:t>
      </w:r>
      <w:r>
        <w:br/>
      </w:r>
      <w:r>
        <w:rPr>
          <w:sz w:val="20"/>
          <w:szCs w:val="20"/>
        </w:rPr>
        <w:t xml:space="preserve">• HEK293 overexpressing your target ≠ patient-derived neurons expressing it endogenously</w:t>
      </w:r>
      <w:r>
        <w:br/>
      </w:r>
      <w:r>
        <w:rPr>
          <w:sz w:val="20"/>
          <w:szCs w:val="20"/>
        </w:rPr>
        <w:t xml:space="preserve">• iPSC-derived cells are slower to screen but give translatable hits</w:t>
      </w:r>
      <w:r>
        <w:br/>
      </w:r>
      <w:r>
        <w:rPr>
          <w:sz w:val="20"/>
          <w:szCs w:val="20"/>
        </w:rPr>
        <w:t xml:space="preserve"/>
      </w:r>
      <w:r>
        <w:br/>
      </w:r>
      <w:r>
        <w:rPr>
          <w:sz w:val="20"/>
          <w:szCs w:val="20"/>
        </w:rPr>
        <w:t xml:space="preserve">Wrong timing:</w:t>
      </w:r>
      <w:r>
        <w:br/>
      </w:r>
      <w:r>
        <w:rPr>
          <w:sz w:val="20"/>
          <w:szCs w:val="20"/>
        </w:rPr>
        <w:t xml:space="preserve">• We test compound addition at different stages (pre-treatment, co-treatment, rescue)</w:t>
      </w:r>
      <w:r>
        <w:br/>
      </w:r>
      <w:r>
        <w:rPr>
          <w:sz w:val="20"/>
          <w:szCs w:val="20"/>
        </w:rPr>
        <w:t xml:space="preserve">• A compound that prevents aggregation might not clear existing aggregates</w:t>
      </w:r>
      <w:r>
        <w:br/>
      </w:r>
      <w:r>
        <w:rPr>
          <w:sz w:val="20"/>
          <w:szCs w:val="20"/>
        </w:rPr>
        <w:t xml:space="preserve"/>
      </w:r>
      <w:r>
        <w:br/>
      </w:r>
      <w:r>
        <w:rPr>
          <w:sz w:val="20"/>
          <w:szCs w:val="20"/>
        </w:rPr>
        <w:t xml:space="preserve">Wrong controls:</w:t>
      </w:r>
      <w:r>
        <w:br/>
      </w:r>
      <w:r>
        <w:rPr>
          <w:sz w:val="20"/>
          <w:szCs w:val="20"/>
        </w:rPr>
        <w:t xml:space="preserve">• DMSO tolerance curve first — some cell types hate &gt;0.1% DMSO</w:t>
      </w:r>
      <w:r>
        <w:br/>
      </w:r>
      <w:r>
        <w:rPr>
          <w:sz w:val="20"/>
          <w:szCs w:val="20"/>
        </w:rPr>
        <w:t xml:space="preserve">• Include a known active compound as positive control in EVERY plate</w:t>
      </w:r>
      <w:r>
        <w:br/>
      </w:r>
      <w:r>
        <w:rPr>
          <w:sz w:val="20"/>
          <w:szCs w:val="20"/>
        </w:rPr>
        <w:t xml:space="preserve">• Z’-factor &gt;0.5 or your assay isn’t robust enough for screening</w:t>
      </w:r>
      <w:r>
        <w:br/>
      </w:r>
      <w:r>
        <w:rPr>
          <w:sz w:val="20"/>
          <w:szCs w:val="20"/>
        </w:rPr>
        <w:t xml:space="preserve"/>
      </w:r>
      <w:r>
        <w:br/>
      </w:r>
      <w:r>
        <w:rPr>
          <w:sz w:val="20"/>
          <w:szCs w:val="20"/>
        </w:rPr>
        <w:t xml:space="preserve">Fix these before scaling up. A bad assay at high throughput just produces bad data faster.</w:t>
      </w:r>
      <w:r>
        <w:br/>
      </w:r>
      <w:r>
        <w:rPr>
          <w:sz w:val="20"/>
          <w:szCs w:val="20"/>
        </w:rPr>
        <w:t xml:space="preserve"/>
      </w:r>
      <w:r>
        <w:br/>
      </w:r>
      <w:r>
        <w:rPr>
          <w:sz w:val="20"/>
          <w:szCs w:val="20"/>
        </w:rPr>
        <w:t xml:space="preserve">Our drug screening cascade with decision gates at arminbayati.com</w:t>
      </w:r>
      <w:r>
        <w:br/>
      </w:r>
      <w:r>
        <w:rPr>
          <w:sz w:val="20"/>
          <w:szCs w:val="20"/>
        </w:rPr>
        <w:t xml:space="preserve"/>
      </w:r>
      <w:r>
        <w:br/>
      </w:r>
      <w:r>
        <w:rPr>
          <w:sz w:val="20"/>
          <w:szCs w:val="20"/>
        </w:rPr>
        <w:t xml:space="preserve">#DrugDiscovery #PhenotypicScreening #HCS #LabTips #CellBiology #Assays</w:t>
      </w:r>
    </w:p>
    <w:p>
      <w:pPr>
        <w:pStyle w:val="Heading3"/>
      </w:pPr>
      <w:r>
        <w:t xml:space="preserve">Wednesday — DRUG DISCOVERY</w:t>
      </w:r>
    </w:p>
    <w:p>
      <w:pPr>
        <w:spacing w:after="60"/>
      </w:pPr>
      <w:r>
        <w:rPr>
          <w:b/>
          <w:bCs/>
          <w:color w:val="6B7280"/>
          <w:sz w:val="20"/>
          <w:szCs w:val="20"/>
        </w:rPr>
        <w:t xml:space="preserve">Image: </w:t>
      </w:r>
      <w:r>
        <w:rPr>
          <w:color w:val="6B7280"/>
          <w:sz w:val="20"/>
          <w:szCs w:val="20"/>
        </w:rPr>
        <w:t xml:space="preserve">LI_I04_drug_pipeline.jpg</w:t>
      </w:r>
    </w:p>
    <w:p>
      <w:pPr>
        <w:spacing w:after="60"/>
      </w:pPr>
      <w:r>
        <w:rPr>
          <w:b/>
          <w:bCs/>
          <w:sz w:val="22"/>
          <w:szCs w:val="22"/>
        </w:rPr>
        <w:t xml:space="preserve">Hit Validation: The Step Where Most Drug Candidates Die</w:t>
      </w:r>
    </w:p>
    <w:p>
      <w:pPr>
        <w:pBdr>
          <w:left w:val="single" w:color="E8E6E1" w:sz="6" w:space="8"/>
        </w:pBdr>
        <w:spacing w:after="200"/>
        <w:ind w:left="240"/>
      </w:pPr>
      <w:r>
        <w:rPr>
          <w:sz w:val="20"/>
          <w:szCs w:val="20"/>
        </w:rPr>
        <w:t xml:space="preserve">You found a hit in your screen. Now what?</w:t>
      </w:r>
      <w:r>
        <w:br/>
      </w:r>
      <w:r>
        <w:rPr>
          <w:sz w:val="20"/>
          <w:szCs w:val="20"/>
        </w:rPr>
        <w:t xml:space="preserve"/>
      </w:r>
      <w:r>
        <w:br/>
      </w:r>
      <w:r>
        <w:rPr>
          <w:sz w:val="20"/>
          <w:szCs w:val="20"/>
        </w:rPr>
        <w:t xml:space="preserve">Before you celebrate, these validation steps will save you months of wasted effort:</w:t>
      </w:r>
      <w:r>
        <w:br/>
      </w:r>
      <w:r>
        <w:rPr>
          <w:sz w:val="20"/>
          <w:szCs w:val="20"/>
        </w:rPr>
        <w:t xml:space="preserve"/>
      </w:r>
      <w:r>
        <w:br/>
      </w:r>
      <w:r>
        <w:rPr>
          <w:sz w:val="20"/>
          <w:szCs w:val="20"/>
        </w:rPr>
        <w:t xml:space="preserve">Dose-response curve (8–10 points, half-log dilutions):</w:t>
      </w:r>
      <w:r>
        <w:br/>
      </w:r>
      <w:r>
        <w:rPr>
          <w:sz w:val="20"/>
          <w:szCs w:val="20"/>
        </w:rPr>
        <w:t xml:space="preserve">• If you don’t see a clean sigmoidal curve, it’s not a real hit</w:t>
      </w:r>
      <w:r>
        <w:br/>
      </w:r>
      <w:r>
        <w:rPr>
          <w:sz w:val="20"/>
          <w:szCs w:val="20"/>
        </w:rPr>
        <w:t xml:space="preserve">• EC50 should be &lt;10 µM for a starting point. &gt;50 µM is usually not developable</w:t>
      </w:r>
      <w:r>
        <w:br/>
      </w:r>
      <w:r>
        <w:rPr>
          <w:sz w:val="20"/>
          <w:szCs w:val="20"/>
        </w:rPr>
        <w:t xml:space="preserve"/>
      </w:r>
      <w:r>
        <w:br/>
      </w:r>
      <w:r>
        <w:rPr>
          <w:sz w:val="20"/>
          <w:szCs w:val="20"/>
        </w:rPr>
        <w:t xml:space="preserve">Counter-screens:</w:t>
      </w:r>
      <w:r>
        <w:br/>
      </w:r>
      <w:r>
        <w:rPr>
          <w:sz w:val="20"/>
          <w:szCs w:val="20"/>
        </w:rPr>
        <w:t xml:space="preserve">• Cytotoxicity (LDH release) — is your compound just killing cells?</w:t>
      </w:r>
      <w:r>
        <w:br/>
      </w:r>
      <w:r>
        <w:rPr>
          <w:sz w:val="20"/>
          <w:szCs w:val="20"/>
        </w:rPr>
        <w:t xml:space="preserve">• Autofluorescence check — especially for imaging-based screens</w:t>
      </w:r>
      <w:r>
        <w:br/>
      </w:r>
      <w:r>
        <w:rPr>
          <w:sz w:val="20"/>
          <w:szCs w:val="20"/>
        </w:rPr>
        <w:t xml:space="preserve">• Activity in parental cells (no disease phenotype) — rules out generic cytoprotection</w:t>
      </w:r>
      <w:r>
        <w:br/>
      </w:r>
      <w:r>
        <w:rPr>
          <w:sz w:val="20"/>
          <w:szCs w:val="20"/>
        </w:rPr>
        <w:t xml:space="preserve"/>
      </w:r>
      <w:r>
        <w:br/>
      </w:r>
      <w:r>
        <w:rPr>
          <w:sz w:val="20"/>
          <w:szCs w:val="20"/>
        </w:rPr>
        <w:t xml:space="preserve">Orthogonal confirmation:</w:t>
      </w:r>
      <w:r>
        <w:br/>
      </w:r>
      <w:r>
        <w:rPr>
          <w:sz w:val="20"/>
          <w:szCs w:val="20"/>
        </w:rPr>
        <w:t xml:space="preserve">• If your primary screen was imaging, confirm by Western blot or ELISA</w:t>
      </w:r>
      <w:r>
        <w:br/>
      </w:r>
      <w:r>
        <w:rPr>
          <w:sz w:val="20"/>
          <w:szCs w:val="20"/>
        </w:rPr>
        <w:t xml:space="preserve">• Different assay, same biology = confidence</w:t>
      </w:r>
      <w:r>
        <w:br/>
      </w:r>
      <w:r>
        <w:rPr>
          <w:sz w:val="20"/>
          <w:szCs w:val="20"/>
        </w:rPr>
        <w:t xml:space="preserve"/>
      </w:r>
      <w:r>
        <w:br/>
      </w:r>
      <w:r>
        <w:rPr>
          <w:sz w:val="20"/>
          <w:szCs w:val="20"/>
        </w:rPr>
        <w:t xml:space="preserve">Mechanism:</w:t>
      </w:r>
      <w:r>
        <w:br/>
      </w:r>
      <w:r>
        <w:rPr>
          <w:sz w:val="20"/>
          <w:szCs w:val="20"/>
        </w:rPr>
        <w:t xml:space="preserve">• Is it target-dependent? CRISPR KO of putative target should ablate the effect</w:t>
      </w:r>
      <w:r>
        <w:br/>
      </w:r>
      <w:r>
        <w:rPr>
          <w:sz w:val="20"/>
          <w:szCs w:val="20"/>
        </w:rPr>
        <w:t xml:space="preserve">• Check for known off-target activities in ChEMBL/PubChem</w:t>
      </w:r>
      <w:r>
        <w:br/>
      </w:r>
      <w:r>
        <w:rPr>
          <w:sz w:val="20"/>
          <w:szCs w:val="20"/>
        </w:rPr>
        <w:t xml:space="preserve"/>
      </w:r>
      <w:r>
        <w:br/>
      </w:r>
      <w:r>
        <w:rPr>
          <w:sz w:val="20"/>
          <w:szCs w:val="20"/>
        </w:rPr>
        <w:t xml:space="preserve">The rule of thumb: for every 100 primary screen hits, about 5–10 survive to lead optimization.</w:t>
      </w:r>
      <w:r>
        <w:br/>
      </w:r>
      <w:r>
        <w:rPr>
          <w:sz w:val="20"/>
          <w:szCs w:val="20"/>
        </w:rPr>
        <w:t xml:space="preserve"/>
      </w:r>
      <w:r>
        <w:br/>
      </w:r>
      <w:r>
        <w:rPr>
          <w:sz w:val="20"/>
          <w:szCs w:val="20"/>
        </w:rPr>
        <w:t xml:space="preserve">Our complete hit-to-lead pipeline at arminbayati.com</w:t>
      </w:r>
      <w:r>
        <w:br/>
      </w:r>
      <w:r>
        <w:rPr>
          <w:sz w:val="20"/>
          <w:szCs w:val="20"/>
        </w:rPr>
        <w:t xml:space="preserve"/>
      </w:r>
      <w:r>
        <w:br/>
      </w:r>
      <w:r>
        <w:rPr>
          <w:sz w:val="20"/>
          <w:szCs w:val="20"/>
        </w:rPr>
        <w:t xml:space="preserve">#DrugDiscovery #HitValidation #MedicinalChemistry #CellBiology #ScreeningCascade</w:t>
      </w:r>
    </w:p>
    <w:p>
      <w:pPr>
        <w:pStyle w:val="Heading3"/>
      </w:pPr>
      <w:r>
        <w:t xml:space="preserve">Friday — DATA INTERPRETATION</w:t>
      </w:r>
    </w:p>
    <w:p>
      <w:pPr>
        <w:spacing w:after="60"/>
      </w:pPr>
      <w:r>
        <w:rPr>
          <w:b/>
          <w:bCs/>
          <w:color w:val="6B7280"/>
          <w:sz w:val="20"/>
          <w:szCs w:val="20"/>
        </w:rPr>
        <w:t xml:space="preserve">Image: </w:t>
      </w:r>
      <w:r>
        <w:rPr>
          <w:color w:val="6B7280"/>
          <w:sz w:val="20"/>
          <w:szCs w:val="20"/>
        </w:rPr>
        <w:t xml:space="preserve">LI_S06_signaling_crosstalk.jpg</w:t>
      </w:r>
    </w:p>
    <w:p>
      <w:pPr>
        <w:spacing w:after="60"/>
      </w:pPr>
      <w:r>
        <w:rPr>
          <w:b/>
          <w:bCs/>
          <w:sz w:val="22"/>
          <w:szCs w:val="22"/>
        </w:rPr>
        <w:t xml:space="preserve">When Your Western Blot Shows Pathway X but the Phenotype Says Pathway Y</w:t>
      </w:r>
    </w:p>
    <w:p>
      <w:pPr>
        <w:pBdr>
          <w:left w:val="single" w:color="E8E6E1" w:sz="6" w:space="8"/>
        </w:pBdr>
        <w:spacing w:after="200"/>
        <w:ind w:left="240"/>
      </w:pPr>
      <w:r>
        <w:rPr>
          <w:sz w:val="20"/>
          <w:szCs w:val="20"/>
        </w:rPr>
        <w:t xml:space="preserve">You knocked down Gene A. Your Western blot says STAT signaling is down. But the cells show an NF-κB-driven phenotype. What happened?</w:t>
      </w:r>
      <w:r>
        <w:br/>
      </w:r>
      <w:r>
        <w:rPr>
          <w:sz w:val="20"/>
          <w:szCs w:val="20"/>
        </w:rPr>
        <w:t xml:space="preserve"/>
      </w:r>
      <w:r>
        <w:br/>
      </w:r>
      <w:r>
        <w:rPr>
          <w:sz w:val="20"/>
          <w:szCs w:val="20"/>
        </w:rPr>
        <w:t xml:space="preserve">Signaling crosstalk. It’s the most common source of confusion in pathway analysis.</w:t>
      </w:r>
      <w:r>
        <w:br/>
      </w:r>
      <w:r>
        <w:rPr>
          <w:sz w:val="20"/>
          <w:szCs w:val="20"/>
        </w:rPr>
        <w:t xml:space="preserve"/>
      </w:r>
      <w:r>
        <w:br/>
      </w:r>
      <w:r>
        <w:rPr>
          <w:sz w:val="20"/>
          <w:szCs w:val="20"/>
        </w:rPr>
        <w:t xml:space="preserve">Here’s how to untangle it:</w:t>
      </w:r>
      <w:r>
        <w:br/>
      </w:r>
      <w:r>
        <w:rPr>
          <w:sz w:val="20"/>
          <w:szCs w:val="20"/>
        </w:rPr>
        <w:t xml:space="preserve"/>
      </w:r>
      <w:r>
        <w:br/>
      </w:r>
      <w:r>
        <w:rPr>
          <w:sz w:val="20"/>
          <w:szCs w:val="20"/>
        </w:rPr>
        <w:t xml:space="preserve">1. Check for pathway convergence: JAK/STAT and NF-κB share downstream targets (IRF1, SOCS3). Reducing one arm can disinhibit the other.</w:t>
      </w:r>
      <w:r>
        <w:br/>
      </w:r>
      <w:r>
        <w:rPr>
          <w:sz w:val="20"/>
          <w:szCs w:val="20"/>
        </w:rPr>
        <w:t xml:space="preserve"/>
      </w:r>
      <w:r>
        <w:br/>
      </w:r>
      <w:r>
        <w:rPr>
          <w:sz w:val="20"/>
          <w:szCs w:val="20"/>
        </w:rPr>
        <w:t xml:space="preserve">2. Use pathway-specific inhibitors alongside your KD:</w:t>
      </w:r>
      <w:r>
        <w:br/>
      </w:r>
      <w:r>
        <w:rPr>
          <w:sz w:val="20"/>
          <w:szCs w:val="20"/>
        </w:rPr>
        <w:t xml:space="preserve">• Ruxolitinib (JAK1/2) to block STAT</w:t>
      </w:r>
      <w:r>
        <w:br/>
      </w:r>
      <w:r>
        <w:rPr>
          <w:sz w:val="20"/>
          <w:szCs w:val="20"/>
        </w:rPr>
        <w:t xml:space="preserve">• BAY 11-7082 (IκK) to block NF-κB</w:t>
      </w:r>
      <w:r>
        <w:br/>
      </w:r>
      <w:r>
        <w:rPr>
          <w:sz w:val="20"/>
          <w:szCs w:val="20"/>
        </w:rPr>
        <w:t xml:space="preserve">• If the phenotype reverses with BAY but not Ruxo, it’s NF-κB-driven</w:t>
      </w:r>
      <w:r>
        <w:br/>
      </w:r>
      <w:r>
        <w:rPr>
          <w:sz w:val="20"/>
          <w:szCs w:val="20"/>
        </w:rPr>
        <w:t xml:space="preserve"/>
      </w:r>
      <w:r>
        <w:br/>
      </w:r>
      <w:r>
        <w:rPr>
          <w:sz w:val="20"/>
          <w:szCs w:val="20"/>
        </w:rPr>
        <w:t xml:space="preserve">3. Time course: signaling priorities shift over hours/days. STAT may dominate at 2h, NF-κB at 24h.</w:t>
      </w:r>
      <w:r>
        <w:br/>
      </w:r>
      <w:r>
        <w:rPr>
          <w:sz w:val="20"/>
          <w:szCs w:val="20"/>
        </w:rPr>
        <w:t xml:space="preserve"/>
      </w:r>
      <w:r>
        <w:br/>
      </w:r>
      <w:r>
        <w:rPr>
          <w:sz w:val="20"/>
          <w:szCs w:val="20"/>
        </w:rPr>
        <w:t xml:space="preserve">4. Subcellular fractionation: nuclear vs cytoplasmic p65 and STAT1 tell you which pathway is actually active in transcription, not just which proteins are phosphorylated.</w:t>
      </w:r>
      <w:r>
        <w:br/>
      </w:r>
      <w:r>
        <w:rPr>
          <w:sz w:val="20"/>
          <w:szCs w:val="20"/>
        </w:rPr>
        <w:t xml:space="preserve"/>
      </w:r>
      <w:r>
        <w:br/>
      </w:r>
      <w:r>
        <w:rPr>
          <w:sz w:val="20"/>
          <w:szCs w:val="20"/>
        </w:rPr>
        <w:t xml:space="preserve">The lesson: never rely on one readout for pathway assignment.</w:t>
      </w:r>
      <w:r>
        <w:br/>
      </w:r>
      <w:r>
        <w:rPr>
          <w:sz w:val="20"/>
          <w:szCs w:val="20"/>
        </w:rPr>
        <w:t xml:space="preserve"/>
      </w:r>
      <w:r>
        <w:br/>
      </w:r>
      <w:r>
        <w:rPr>
          <w:sz w:val="20"/>
          <w:szCs w:val="20"/>
        </w:rPr>
        <w:t xml:space="preserve">Our signaling crosstalk map with inhibitor and readout annotations at arminbayati.com</w:t>
      </w:r>
      <w:r>
        <w:br/>
      </w:r>
      <w:r>
        <w:rPr>
          <w:sz w:val="20"/>
          <w:szCs w:val="20"/>
        </w:rPr>
        <w:t xml:space="preserve"/>
      </w:r>
      <w:r>
        <w:br/>
      </w:r>
      <w:r>
        <w:rPr>
          <w:sz w:val="20"/>
          <w:szCs w:val="20"/>
        </w:rPr>
        <w:t xml:space="preserve">#CellSignaling #DataAnalysis #WesternBlot #Troubleshooting #CellBiology</w:t>
      </w:r>
    </w:p>
    <w:p>
      <w:pPr>
        <w:pStyle w:val="Heading2"/>
      </w:pPr>
      <w:r>
        <w:t xml:space="preserve">Week 6: Platform Technologies &amp; Assay Development</w:t>
      </w:r>
    </w:p>
    <w:p>
      <w:pPr>
        <w:pStyle w:val="Heading3"/>
      </w:pPr>
      <w:r>
        <w:t xml:space="preserve">Monday — PRACTICAL METHODS</w:t>
      </w:r>
    </w:p>
    <w:p>
      <w:pPr>
        <w:spacing w:after="60"/>
      </w:pPr>
      <w:r>
        <w:rPr>
          <w:b/>
          <w:bCs/>
          <w:color w:val="6B7280"/>
          <w:sz w:val="20"/>
          <w:szCs w:val="20"/>
        </w:rPr>
        <w:t xml:space="preserve">Image: </w:t>
      </w:r>
      <w:r>
        <w:rPr>
          <w:color w:val="6B7280"/>
          <w:sz w:val="20"/>
          <w:szCs w:val="20"/>
        </w:rPr>
        <w:t xml:space="preserve">LI_I05_cardio_platform.jpg</w:t>
      </w:r>
    </w:p>
    <w:p>
      <w:pPr>
        <w:spacing w:after="60"/>
      </w:pPr>
      <w:r>
        <w:rPr>
          <w:b/>
          <w:bCs/>
          <w:sz w:val="22"/>
          <w:szCs w:val="22"/>
        </w:rPr>
        <w:t xml:space="preserve">iPSC-Cardiomyocyte Maturation: How to Get Cells That Actually Beat Like Hearts</w:t>
      </w:r>
    </w:p>
    <w:p>
      <w:pPr>
        <w:pBdr>
          <w:left w:val="single" w:color="E8E6E1" w:sz="6" w:space="8"/>
        </w:pBdr>
        <w:spacing w:after="200"/>
        <w:ind w:left="240"/>
      </w:pPr>
      <w:r>
        <w:rPr>
          <w:sz w:val="20"/>
          <w:szCs w:val="20"/>
        </w:rPr>
        <w:t xml:space="preserve">iPSC-derived cardiomyocytes at day 15 are basically fetal. Here’s how to mature them:</w:t>
      </w:r>
      <w:r>
        <w:br/>
      </w:r>
      <w:r>
        <w:rPr>
          <w:sz w:val="20"/>
          <w:szCs w:val="20"/>
        </w:rPr>
        <w:t xml:space="preserve"/>
      </w:r>
      <w:r>
        <w:br/>
      </w:r>
      <w:r>
        <w:rPr>
          <w:sz w:val="20"/>
          <w:szCs w:val="20"/>
        </w:rPr>
        <w:t xml:space="preserve">The problem: standard differentiation gives you cardiomyocytes that beat irregularly, have disorganized sarcomeres, and rely on glycolysis instead of fatty acid oxidation. Not very heart-like.</w:t>
      </w:r>
      <w:r>
        <w:br/>
      </w:r>
      <w:r>
        <w:rPr>
          <w:sz w:val="20"/>
          <w:szCs w:val="20"/>
        </w:rPr>
        <w:t xml:space="preserve"/>
      </w:r>
      <w:r>
        <w:br/>
      </w:r>
      <w:r>
        <w:rPr>
          <w:sz w:val="20"/>
          <w:szCs w:val="20"/>
        </w:rPr>
        <w:t xml:space="preserve">Maturation strategies that work:</w:t>
      </w:r>
      <w:r>
        <w:br/>
      </w:r>
      <w:r>
        <w:rPr>
          <w:sz w:val="20"/>
          <w:szCs w:val="20"/>
        </w:rPr>
        <w:t xml:space="preserve">• Extended culture (day 60+) — simple but slow. MYH7/MYH6 ratio shifts toward adult</w:t>
      </w:r>
      <w:r>
        <w:br/>
      </w:r>
      <w:r>
        <w:rPr>
          <w:sz w:val="20"/>
          <w:szCs w:val="20"/>
        </w:rPr>
        <w:t xml:space="preserve">• Fatty acid supplementation (oleic + palmitic acid) — forces metabolic maturation</w:t>
      </w:r>
      <w:r>
        <w:br/>
      </w:r>
      <w:r>
        <w:rPr>
          <w:sz w:val="20"/>
          <w:szCs w:val="20"/>
        </w:rPr>
        <w:t xml:space="preserve">• Mechanical stimulation — cyclic stretch aligns sarcomeres</w:t>
      </w:r>
      <w:r>
        <w:br/>
      </w:r>
      <w:r>
        <w:rPr>
          <w:sz w:val="20"/>
          <w:szCs w:val="20"/>
        </w:rPr>
        <w:t xml:space="preserve">• Electrical pacing — 1 Hz for weeks improves calcium handling and conduction velocity</w:t>
      </w:r>
      <w:r>
        <w:br/>
      </w:r>
      <w:r>
        <w:rPr>
          <w:sz w:val="20"/>
          <w:szCs w:val="20"/>
        </w:rPr>
        <w:t xml:space="preserve">• 3D culture (EHTs) — probably the most physiological, but throughput drops</w:t>
      </w:r>
      <w:r>
        <w:br/>
      </w:r>
      <w:r>
        <w:rPr>
          <w:sz w:val="20"/>
          <w:szCs w:val="20"/>
        </w:rPr>
        <w:t xml:space="preserve"/>
      </w:r>
      <w:r>
        <w:br/>
      </w:r>
      <w:r>
        <w:rPr>
          <w:sz w:val="20"/>
          <w:szCs w:val="20"/>
        </w:rPr>
        <w:t xml:space="preserve">How we validate maturation:</w:t>
      </w:r>
      <w:r>
        <w:br/>
      </w:r>
      <w:r>
        <w:rPr>
          <w:sz w:val="20"/>
          <w:szCs w:val="20"/>
        </w:rPr>
        <w:t xml:space="preserve">• MEA for beating rate, field potential duration, conduction velocity</w:t>
      </w:r>
      <w:r>
        <w:br/>
      </w:r>
      <w:r>
        <w:rPr>
          <w:sz w:val="20"/>
          <w:szCs w:val="20"/>
        </w:rPr>
        <w:t xml:space="preserve">• Calcium imaging (Fura-2 or GCaMP) for transient kinetics</w:t>
      </w:r>
      <w:r>
        <w:br/>
      </w:r>
      <w:r>
        <w:rPr>
          <w:sz w:val="20"/>
          <w:szCs w:val="20"/>
        </w:rPr>
        <w:t xml:space="preserve">• TEM for sarcomere organization and mitochondrial density</w:t>
      </w:r>
      <w:r>
        <w:br/>
      </w:r>
      <w:r>
        <w:rPr>
          <w:sz w:val="20"/>
          <w:szCs w:val="20"/>
        </w:rPr>
        <w:t xml:space="preserve">• qPCR: TNNT2, MYH7, SCN5A, NKX2-5 expression levels</w:t>
      </w:r>
      <w:r>
        <w:br/>
      </w:r>
      <w:r>
        <w:rPr>
          <w:sz w:val="20"/>
          <w:szCs w:val="20"/>
        </w:rPr>
        <w:t xml:space="preserve"/>
      </w:r>
      <w:r>
        <w:br/>
      </w:r>
      <w:r>
        <w:rPr>
          <w:sz w:val="20"/>
          <w:szCs w:val="20"/>
        </w:rPr>
        <w:t xml:space="preserve">Don’t try to model adult cardiac disease in fetal cardiomyocytes. It doesn’t work.</w:t>
      </w:r>
      <w:r>
        <w:br/>
      </w:r>
      <w:r>
        <w:rPr>
          <w:sz w:val="20"/>
          <w:szCs w:val="20"/>
        </w:rPr>
        <w:t xml:space="preserve"/>
      </w:r>
      <w:r>
        <w:br/>
      </w:r>
      <w:r>
        <w:rPr>
          <w:sz w:val="20"/>
          <w:szCs w:val="20"/>
        </w:rPr>
        <w:t xml:space="preserve">Full cardiomyocyte platform schematic at arminbayati.com</w:t>
      </w:r>
      <w:r>
        <w:br/>
      </w:r>
      <w:r>
        <w:rPr>
          <w:sz w:val="20"/>
          <w:szCs w:val="20"/>
        </w:rPr>
        <w:t xml:space="preserve"/>
      </w:r>
      <w:r>
        <w:br/>
      </w:r>
      <w:r>
        <w:rPr>
          <w:sz w:val="20"/>
          <w:szCs w:val="20"/>
        </w:rPr>
        <w:t xml:space="preserve">#iPSC #Cardiomyocytes #CardiacResearch #CellBiology #CellMaturation #LabTips</w:t>
      </w:r>
    </w:p>
    <w:p>
      <w:pPr>
        <w:pStyle w:val="Heading3"/>
      </w:pPr>
      <w:r>
        <w:t xml:space="preserve">Wednesday — GENE EDITING</w:t>
      </w:r>
    </w:p>
    <w:p>
      <w:pPr>
        <w:spacing w:after="60"/>
      </w:pPr>
      <w:r>
        <w:rPr>
          <w:b/>
          <w:bCs/>
          <w:color w:val="6B7280"/>
          <w:sz w:val="20"/>
          <w:szCs w:val="20"/>
        </w:rPr>
        <w:t xml:space="preserve">Image: </w:t>
      </w:r>
      <w:r>
        <w:rPr>
          <w:color w:val="6B7280"/>
          <w:sz w:val="20"/>
          <w:szCs w:val="20"/>
        </w:rPr>
        <w:t xml:space="preserve">LI_I06_crispr_workflow.jpg</w:t>
      </w:r>
    </w:p>
    <w:p>
      <w:pPr>
        <w:spacing w:after="60"/>
      </w:pPr>
      <w:r>
        <w:rPr>
          <w:b/>
          <w:bCs/>
          <w:sz w:val="22"/>
          <w:szCs w:val="22"/>
        </w:rPr>
        <w:t xml:space="preserve">CRISPR in iPSCs: The Bottleneck Nobody Talks About</w:t>
      </w:r>
    </w:p>
    <w:p>
      <w:pPr>
        <w:pBdr>
          <w:left w:val="single" w:color="E8E6E1" w:sz="6" w:space="8"/>
        </w:pBdr>
        <w:spacing w:after="200"/>
        <w:ind w:left="240"/>
      </w:pPr>
      <w:r>
        <w:rPr>
          <w:sz w:val="20"/>
          <w:szCs w:val="20"/>
        </w:rPr>
        <w:t xml:space="preserve">CRISPR editing efficiency in iPSCs is usually fine. The real bottleneck is clonal isolation and validation.</w:t>
      </w:r>
      <w:r>
        <w:br/>
      </w:r>
      <w:r>
        <w:rPr>
          <w:sz w:val="20"/>
          <w:szCs w:val="20"/>
        </w:rPr>
        <w:t xml:space="preserve"/>
      </w:r>
      <w:r>
        <w:br/>
      </w:r>
      <w:r>
        <w:rPr>
          <w:sz w:val="20"/>
          <w:szCs w:val="20"/>
        </w:rPr>
        <w:t xml:space="preserve">Here’s what the protocol papers don’t emphasize enough:</w:t>
      </w:r>
      <w:r>
        <w:br/>
      </w:r>
      <w:r>
        <w:rPr>
          <w:sz w:val="20"/>
          <w:szCs w:val="20"/>
        </w:rPr>
        <w:t xml:space="preserve"/>
      </w:r>
      <w:r>
        <w:br/>
      </w:r>
      <w:r>
        <w:rPr>
          <w:sz w:val="20"/>
          <w:szCs w:val="20"/>
        </w:rPr>
        <w:t xml:space="preserve">Editing itself:</w:t>
      </w:r>
      <w:r>
        <w:br/>
      </w:r>
      <w:r>
        <w:rPr>
          <w:sz w:val="20"/>
          <w:szCs w:val="20"/>
        </w:rPr>
        <w:t xml:space="preserve">• RNP delivery &gt; plasmid for iPSCs (less toxicity, transient Cas9 expression)</w:t>
      </w:r>
      <w:r>
        <w:br/>
      </w:r>
      <w:r>
        <w:rPr>
          <w:sz w:val="20"/>
          <w:szCs w:val="20"/>
        </w:rPr>
        <w:t xml:space="preserve">• Electroporation settings matter more than you’d think — optimize for YOUR specific line</w:t>
      </w:r>
      <w:r>
        <w:br/>
      </w:r>
      <w:r>
        <w:rPr>
          <w:sz w:val="20"/>
          <w:szCs w:val="20"/>
        </w:rPr>
        <w:t xml:space="preserve">• HDR efficiency in iPSCs is typically 5–15%. Plan accordingly.</w:t>
      </w:r>
      <w:r>
        <w:br/>
      </w:r>
      <w:r>
        <w:rPr>
          <w:sz w:val="20"/>
          <w:szCs w:val="20"/>
        </w:rPr>
        <w:t xml:space="preserve"/>
      </w:r>
      <w:r>
        <w:br/>
      </w:r>
      <w:r>
        <w:rPr>
          <w:sz w:val="20"/>
          <w:szCs w:val="20"/>
        </w:rPr>
        <w:t xml:space="preserve">The real bottleneck — clonal isolation:</w:t>
      </w:r>
      <w:r>
        <w:br/>
      </w:r>
      <w:r>
        <w:rPr>
          <w:sz w:val="20"/>
          <w:szCs w:val="20"/>
        </w:rPr>
        <w:t xml:space="preserve">• Single-cell plating into 96-well plates. Expect ~30% survival with CloneR or similar</w:t>
      </w:r>
      <w:r>
        <w:br/>
      </w:r>
      <w:r>
        <w:rPr>
          <w:sz w:val="20"/>
          <w:szCs w:val="20"/>
        </w:rPr>
        <w:t xml:space="preserve">• Genotyping ~48 clones to find 2–3 homozygous knockins</w:t>
      </w:r>
      <w:r>
        <w:br/>
      </w:r>
      <w:r>
        <w:rPr>
          <w:sz w:val="20"/>
          <w:szCs w:val="20"/>
        </w:rPr>
        <w:t xml:space="preserve">• Timeline: 6–8 weeks from electroporation to expandable edited clones</w:t>
      </w:r>
      <w:r>
        <w:br/>
      </w:r>
      <w:r>
        <w:rPr>
          <w:sz w:val="20"/>
          <w:szCs w:val="20"/>
        </w:rPr>
        <w:t xml:space="preserve"/>
      </w:r>
      <w:r>
        <w:br/>
      </w:r>
      <w:r>
        <w:rPr>
          <w:sz w:val="20"/>
          <w:szCs w:val="20"/>
        </w:rPr>
        <w:t xml:space="preserve">QC you must not skip:</w:t>
      </w:r>
      <w:r>
        <w:br/>
      </w:r>
      <w:r>
        <w:rPr>
          <w:sz w:val="20"/>
          <w:szCs w:val="20"/>
        </w:rPr>
        <w:t xml:space="preserve">• Sanger sequencing at the target site + top 5 off-target sites (predicted by CRISPOR)</w:t>
      </w:r>
      <w:r>
        <w:br/>
      </w:r>
      <w:r>
        <w:rPr>
          <w:sz w:val="20"/>
          <w:szCs w:val="20"/>
        </w:rPr>
        <w:t xml:space="preserve">• Karyotype — subcloning selects for aneuploid cells that grow faster</w:t>
      </w:r>
      <w:r>
        <w:br/>
      </w:r>
      <w:r>
        <w:rPr>
          <w:sz w:val="20"/>
          <w:szCs w:val="20"/>
        </w:rPr>
        <w:t xml:space="preserve">• Pluripotency re-confirmation (at minimum: morphology + TRA-1-60)</w:t>
      </w:r>
      <w:r>
        <w:br/>
      </w:r>
      <w:r>
        <w:rPr>
          <w:sz w:val="20"/>
          <w:szCs w:val="20"/>
        </w:rPr>
        <w:t xml:space="preserve">• ALWAYS make isogenic controls (edit + unedited from same parent line)</w:t>
      </w:r>
      <w:r>
        <w:br/>
      </w:r>
      <w:r>
        <w:rPr>
          <w:sz w:val="20"/>
          <w:szCs w:val="20"/>
        </w:rPr>
        <w:t xml:space="preserve"/>
      </w:r>
      <w:r>
        <w:br/>
      </w:r>
      <w:r>
        <w:rPr>
          <w:sz w:val="20"/>
          <w:szCs w:val="20"/>
        </w:rPr>
        <w:t xml:space="preserve">Budget 4–6 months from design to validated edited line.</w:t>
      </w:r>
      <w:r>
        <w:br/>
      </w:r>
      <w:r>
        <w:rPr>
          <w:sz w:val="20"/>
          <w:szCs w:val="20"/>
        </w:rPr>
        <w:t xml:space="preserve"/>
      </w:r>
      <w:r>
        <w:br/>
      </w:r>
      <w:r>
        <w:rPr>
          <w:sz w:val="20"/>
          <w:szCs w:val="20"/>
        </w:rPr>
        <w:t xml:space="preserve">Our CRISPR workflow with all QC checkpoints at arminbayati.com</w:t>
      </w:r>
      <w:r>
        <w:br/>
      </w:r>
      <w:r>
        <w:rPr>
          <w:sz w:val="20"/>
          <w:szCs w:val="20"/>
        </w:rPr>
        <w:t xml:space="preserve"/>
      </w:r>
      <w:r>
        <w:br/>
      </w:r>
      <w:r>
        <w:rPr>
          <w:sz w:val="20"/>
          <w:szCs w:val="20"/>
        </w:rPr>
        <w:t xml:space="preserve">#CRISPR #GeneEditing #iPSC #IsogenicLines #LabTips #StemCells</w:t>
      </w:r>
    </w:p>
    <w:p>
      <w:pPr>
        <w:pStyle w:val="Heading3"/>
      </w:pPr>
      <w:r>
        <w:t xml:space="preserve">Friday — ASSAY DEVELOPMENT</w:t>
      </w:r>
    </w:p>
    <w:p>
      <w:pPr>
        <w:spacing w:after="60"/>
      </w:pPr>
      <w:r>
        <w:rPr>
          <w:b/>
          <w:bCs/>
          <w:color w:val="6B7280"/>
          <w:sz w:val="20"/>
          <w:szCs w:val="20"/>
        </w:rPr>
        <w:t xml:space="preserve">Image: </w:t>
      </w:r>
      <w:r>
        <w:rPr>
          <w:color w:val="6B7280"/>
          <w:sz w:val="20"/>
          <w:szCs w:val="20"/>
        </w:rPr>
        <w:t xml:space="preserve">LI_I07_immunooncology.jpg</w:t>
      </w:r>
    </w:p>
    <w:p>
      <w:pPr>
        <w:spacing w:after="60"/>
      </w:pPr>
      <w:r>
        <w:rPr>
          <w:b/>
          <w:bCs/>
          <w:sz w:val="22"/>
          <w:szCs w:val="22"/>
        </w:rPr>
        <w:t xml:space="preserve">Setting Up Tumor-Immune Co-Cultures: Practical Considerations</w:t>
      </w:r>
    </w:p>
    <w:p>
      <w:pPr>
        <w:pBdr>
          <w:left w:val="single" w:color="E8E6E1" w:sz="6" w:space="8"/>
        </w:pBdr>
        <w:spacing w:after="200"/>
        <w:ind w:left="240"/>
      </w:pPr>
      <w:r>
        <w:rPr>
          <w:sz w:val="20"/>
          <w:szCs w:val="20"/>
        </w:rPr>
        <w:t xml:space="preserve">Tumor-immune co-culture assays look simple on paper. In practice, they’re full of variables that can make or break your data.</w:t>
      </w:r>
      <w:r>
        <w:br/>
      </w:r>
      <w:r>
        <w:rPr>
          <w:sz w:val="20"/>
          <w:szCs w:val="20"/>
        </w:rPr>
        <w:t xml:space="preserve"/>
      </w:r>
      <w:r>
        <w:br/>
      </w:r>
      <w:r>
        <w:rPr>
          <w:sz w:val="20"/>
          <w:szCs w:val="20"/>
        </w:rPr>
        <w:t xml:space="preserve">Cell ratio matters enormously:</w:t>
      </w:r>
      <w:r>
        <w:br/>
      </w:r>
      <w:r>
        <w:rPr>
          <w:sz w:val="20"/>
          <w:szCs w:val="20"/>
        </w:rPr>
        <w:t xml:space="preserve">• E:T (effector:target) ratio determines whether you see killing or not</w:t>
      </w:r>
      <w:r>
        <w:br/>
      </w:r>
      <w:r>
        <w:rPr>
          <w:sz w:val="20"/>
          <w:szCs w:val="20"/>
        </w:rPr>
        <w:t xml:space="preserve">• We typically test 1:1, 5:1, 10:1, and 20:1</w:t>
      </w:r>
      <w:r>
        <w:br/>
      </w:r>
      <w:r>
        <w:rPr>
          <w:sz w:val="20"/>
          <w:szCs w:val="20"/>
        </w:rPr>
        <w:t xml:space="preserve">• The “right” ratio depends on your tumor line’s intrinsic resistance</w:t>
      </w:r>
      <w:r>
        <w:br/>
      </w:r>
      <w:r>
        <w:rPr>
          <w:sz w:val="20"/>
          <w:szCs w:val="20"/>
        </w:rPr>
        <w:t xml:space="preserve"/>
      </w:r>
      <w:r>
        <w:br/>
      </w:r>
      <w:r>
        <w:rPr>
          <w:sz w:val="20"/>
          <w:szCs w:val="20"/>
        </w:rPr>
        <w:t xml:space="preserve">Media is a hidden variable:</w:t>
      </w:r>
      <w:r>
        <w:br/>
      </w:r>
      <w:r>
        <w:rPr>
          <w:sz w:val="20"/>
          <w:szCs w:val="20"/>
        </w:rPr>
        <w:t xml:space="preserve">• T cells need IL-2 to survive. Tumor cells don’t care.</w:t>
      </w:r>
      <w:r>
        <w:br/>
      </w:r>
      <w:r>
        <w:rPr>
          <w:sz w:val="20"/>
          <w:szCs w:val="20"/>
        </w:rPr>
        <w:t xml:space="preserve">• Serum lot-to-lot variation affects both populations</w:t>
      </w:r>
      <w:r>
        <w:br/>
      </w:r>
      <w:r>
        <w:rPr>
          <w:sz w:val="20"/>
          <w:szCs w:val="20"/>
        </w:rPr>
        <w:t xml:space="preserve">• pH buffering: T cells are very sensitive to acidification from tumor metabolism</w:t>
      </w:r>
      <w:r>
        <w:br/>
      </w:r>
      <w:r>
        <w:rPr>
          <w:sz w:val="20"/>
          <w:szCs w:val="20"/>
        </w:rPr>
        <w:t xml:space="preserve"/>
      </w:r>
      <w:r>
        <w:br/>
      </w:r>
      <w:r>
        <w:rPr>
          <w:sz w:val="20"/>
          <w:szCs w:val="20"/>
        </w:rPr>
        <w:t xml:space="preserve">Readout choices:</w:t>
      </w:r>
      <w:r>
        <w:br/>
      </w:r>
      <w:r>
        <w:rPr>
          <w:sz w:val="20"/>
          <w:szCs w:val="20"/>
        </w:rPr>
        <w:t xml:space="preserve">• Real-time killing: IncuCyte with caspase-3/7 dye — kinetic data is much more informative than endpoint</w:t>
      </w:r>
      <w:r>
        <w:br/>
      </w:r>
      <w:r>
        <w:rPr>
          <w:sz w:val="20"/>
          <w:szCs w:val="20"/>
        </w:rPr>
        <w:t xml:space="preserve">• LDH release for endpoint cytotoxicity</w:t>
      </w:r>
      <w:r>
        <w:br/>
      </w:r>
      <w:r>
        <w:rPr>
          <w:sz w:val="20"/>
          <w:szCs w:val="20"/>
        </w:rPr>
        <w:t xml:space="preserve">• Flow for immune phenotyping: CD3, CD8, PD-1, Tim-3, Lag-3 for exhaustion profiling</w:t>
      </w:r>
      <w:r>
        <w:br/>
      </w:r>
      <w:r>
        <w:rPr>
          <w:sz w:val="20"/>
          <w:szCs w:val="20"/>
        </w:rPr>
        <w:t xml:space="preserve">• Supernatant cytokines: IFN-γ, TNF-α, granzyme B by ELISA or Luminex</w:t>
      </w:r>
      <w:r>
        <w:br/>
      </w:r>
      <w:r>
        <w:rPr>
          <w:sz w:val="20"/>
          <w:szCs w:val="20"/>
        </w:rPr>
        <w:t xml:space="preserve"/>
      </w:r>
      <w:r>
        <w:br/>
      </w:r>
      <w:r>
        <w:rPr>
          <w:sz w:val="20"/>
          <w:szCs w:val="20"/>
        </w:rPr>
        <w:t xml:space="preserve">The control everyone forgets: T cells alone (spontaneous death/activation) and tumor alone (baseline death).</w:t>
      </w:r>
      <w:r>
        <w:br/>
      </w:r>
      <w:r>
        <w:rPr>
          <w:sz w:val="20"/>
          <w:szCs w:val="20"/>
        </w:rPr>
        <w:t xml:space="preserve"/>
      </w:r>
      <w:r>
        <w:br/>
      </w:r>
      <w:r>
        <w:rPr>
          <w:sz w:val="20"/>
          <w:szCs w:val="20"/>
        </w:rPr>
        <w:t xml:space="preserve">Immuno-oncology platform schematic at arminbayati.com</w:t>
      </w:r>
      <w:r>
        <w:br/>
      </w:r>
      <w:r>
        <w:rPr>
          <w:sz w:val="20"/>
          <w:szCs w:val="20"/>
        </w:rPr>
        <w:t xml:space="preserve"/>
      </w:r>
      <w:r>
        <w:br/>
      </w:r>
      <w:r>
        <w:rPr>
          <w:sz w:val="20"/>
          <w:szCs w:val="20"/>
        </w:rPr>
        <w:t xml:space="preserve">#ImmunoOncology #CoC Culture #TumorImmunology #CellBiology #AssayDevelopment</w:t>
      </w:r>
    </w:p>
    <w:p>
      <w:pPr>
        <w:pStyle w:val="Heading2"/>
      </w:pPr>
      <w:r>
        <w:t xml:space="preserve">Week 7: iPSCs, Proteomics &amp; Pharmacology</w:t>
      </w:r>
    </w:p>
    <w:p>
      <w:pPr>
        <w:pStyle w:val="Heading3"/>
      </w:pPr>
      <w:r>
        <w:t xml:space="preserve">Monday — PRACTICAL ADVICE</w:t>
      </w:r>
    </w:p>
    <w:p>
      <w:pPr>
        <w:spacing w:after="60"/>
      </w:pPr>
      <w:r>
        <w:rPr>
          <w:b/>
          <w:bCs/>
          <w:color w:val="6B7280"/>
          <w:sz w:val="20"/>
          <w:szCs w:val="20"/>
        </w:rPr>
        <w:t xml:space="preserve">Image: </w:t>
      </w:r>
      <w:r>
        <w:rPr>
          <w:color w:val="6B7280"/>
          <w:sz w:val="20"/>
          <w:szCs w:val="20"/>
        </w:rPr>
        <w:t xml:space="preserve">LI_S07_ipsc_pipeline.jpg</w:t>
      </w:r>
    </w:p>
    <w:p>
      <w:pPr>
        <w:spacing w:after="60"/>
      </w:pPr>
      <w:r>
        <w:rPr>
          <w:b/>
          <w:bCs/>
          <w:sz w:val="22"/>
          <w:szCs w:val="22"/>
        </w:rPr>
        <w:t xml:space="preserve">iPSC Reprogramming: What I Wish Someone Had Told Me</w:t>
      </w:r>
    </w:p>
    <w:p>
      <w:pPr>
        <w:pBdr>
          <w:left w:val="single" w:color="E8E6E1" w:sz="6" w:space="8"/>
        </w:pBdr>
        <w:spacing w:after="200"/>
        <w:ind w:left="240"/>
      </w:pPr>
      <w:r>
        <w:rPr>
          <w:sz w:val="20"/>
          <w:szCs w:val="20"/>
        </w:rPr>
        <w:t xml:space="preserve">I’ve reprogrammed patient fibroblasts, PBMCs, and urine cells. Here’s what the published protocols don’t mention:</w:t>
      </w:r>
      <w:r>
        <w:br/>
      </w:r>
      <w:r>
        <w:rPr>
          <w:sz w:val="20"/>
          <w:szCs w:val="20"/>
        </w:rPr>
        <w:t xml:space="preserve"/>
      </w:r>
      <w:r>
        <w:br/>
      </w:r>
      <w:r>
        <w:rPr>
          <w:sz w:val="20"/>
          <w:szCs w:val="20"/>
        </w:rPr>
        <w:t xml:space="preserve">Source material matters:</w:t>
      </w:r>
      <w:r>
        <w:br/>
      </w:r>
      <w:r>
        <w:rPr>
          <w:sz w:val="20"/>
          <w:szCs w:val="20"/>
        </w:rPr>
        <w:t xml:space="preserve">• PBMCs are easiest (just a blood draw) but some donors reprogram poorly</w:t>
      </w:r>
      <w:r>
        <w:br/>
      </w:r>
      <w:r>
        <w:rPr>
          <w:sz w:val="20"/>
          <w:szCs w:val="20"/>
        </w:rPr>
        <w:t xml:space="preserve">• Fibroblasts reprogram more efficiently but require a skin biopsy</w:t>
      </w:r>
      <w:r>
        <w:br/>
      </w:r>
      <w:r>
        <w:rPr>
          <w:sz w:val="20"/>
          <w:szCs w:val="20"/>
        </w:rPr>
        <w:t xml:space="preserve">• Urine cells work but the failure rate is higher</w:t>
      </w:r>
      <w:r>
        <w:br/>
      </w:r>
      <w:r>
        <w:rPr>
          <w:sz w:val="20"/>
          <w:szCs w:val="20"/>
        </w:rPr>
        <w:t xml:space="preserve"/>
      </w:r>
      <w:r>
        <w:br/>
      </w:r>
      <w:r>
        <w:rPr>
          <w:sz w:val="20"/>
          <w:szCs w:val="20"/>
        </w:rPr>
        <w:t xml:space="preserve">Reprogramming method:</w:t>
      </w:r>
      <w:r>
        <w:br/>
      </w:r>
      <w:r>
        <w:rPr>
          <w:sz w:val="20"/>
          <w:szCs w:val="20"/>
        </w:rPr>
        <w:t xml:space="preserve">• Sendai virus (CytoTune) is the cleanest — RNA virus, no genomic integration</w:t>
      </w:r>
      <w:r>
        <w:br/>
      </w:r>
      <w:r>
        <w:rPr>
          <w:sz w:val="20"/>
          <w:szCs w:val="20"/>
        </w:rPr>
        <w:t xml:space="preserve">• Episomal plasmids work but take longer to lose the episome (passage 10–15)</w:t>
      </w:r>
      <w:r>
        <w:br/>
      </w:r>
      <w:r>
        <w:rPr>
          <w:sz w:val="20"/>
          <w:szCs w:val="20"/>
        </w:rPr>
        <w:t xml:space="preserve">• mRNA-based is integration-free but requires daily transfection for a week</w:t>
      </w:r>
      <w:r>
        <w:br/>
      </w:r>
      <w:r>
        <w:rPr>
          <w:sz w:val="20"/>
          <w:szCs w:val="20"/>
        </w:rPr>
        <w:t xml:space="preserve"/>
      </w:r>
      <w:r>
        <w:br/>
      </w:r>
      <w:r>
        <w:rPr>
          <w:sz w:val="20"/>
          <w:szCs w:val="20"/>
        </w:rPr>
        <w:t xml:space="preserve">The timeline reality:</w:t>
      </w:r>
      <w:r>
        <w:br/>
      </w:r>
      <w:r>
        <w:rPr>
          <w:sz w:val="20"/>
          <w:szCs w:val="20"/>
        </w:rPr>
        <w:t xml:space="preserve">• Colonies appear at day 21–28 (patience!)</w:t>
      </w:r>
      <w:r>
        <w:br/>
      </w:r>
      <w:r>
        <w:rPr>
          <w:sz w:val="20"/>
          <w:szCs w:val="20"/>
        </w:rPr>
        <w:t xml:space="preserve">• Pick 6–12 colonies per patient</w:t>
      </w:r>
      <w:r>
        <w:br/>
      </w:r>
      <w:r>
        <w:rPr>
          <w:sz w:val="20"/>
          <w:szCs w:val="20"/>
        </w:rPr>
        <w:t xml:space="preserve">• Expand, characterize, and bank: another 4–6 weeks</w:t>
      </w:r>
      <w:r>
        <w:br/>
      </w:r>
      <w:r>
        <w:rPr>
          <w:sz w:val="20"/>
          <w:szCs w:val="20"/>
        </w:rPr>
        <w:t xml:space="preserve">• Total: 3–4 months from blood draw to bankable iPSC line</w:t>
      </w:r>
      <w:r>
        <w:br/>
      </w:r>
      <w:r>
        <w:rPr>
          <w:sz w:val="20"/>
          <w:szCs w:val="20"/>
        </w:rPr>
        <w:t xml:space="preserve"/>
      </w:r>
      <w:r>
        <w:br/>
      </w:r>
      <w:r>
        <w:rPr>
          <w:sz w:val="20"/>
          <w:szCs w:val="20"/>
        </w:rPr>
        <w:t xml:space="preserve">Things that fail silently:</w:t>
      </w:r>
      <w:r>
        <w:br/>
      </w:r>
      <w:r>
        <w:rPr>
          <w:sz w:val="20"/>
          <w:szCs w:val="20"/>
        </w:rPr>
        <w:t xml:space="preserve">• Passage number of source cells (&gt;P5 fibroblasts reprogram poorly)</w:t>
      </w:r>
      <w:r>
        <w:br/>
      </w:r>
      <w:r>
        <w:rPr>
          <w:sz w:val="20"/>
          <w:szCs w:val="20"/>
        </w:rPr>
        <w:t xml:space="preserve">• Feeder-free vs feeder-dependent transition (stress can alter the line)</w:t>
      </w:r>
      <w:r>
        <w:br/>
      </w:r>
      <w:r>
        <w:rPr>
          <w:sz w:val="20"/>
          <w:szCs w:val="20"/>
        </w:rPr>
        <w:t xml:space="preserve">• Mycoplasma — contaminated source cells produce contaminated iPSCs</w:t>
      </w:r>
      <w:r>
        <w:br/>
      </w:r>
      <w:r>
        <w:rPr>
          <w:sz w:val="20"/>
          <w:szCs w:val="20"/>
        </w:rPr>
        <w:t xml:space="preserve"/>
      </w:r>
      <w:r>
        <w:br/>
      </w:r>
      <w:r>
        <w:rPr>
          <w:sz w:val="20"/>
          <w:szCs w:val="20"/>
        </w:rPr>
        <w:t xml:space="preserve">Full iPSC pipeline with every decision point at arminbayati.com</w:t>
      </w:r>
      <w:r>
        <w:br/>
      </w:r>
      <w:r>
        <w:rPr>
          <w:sz w:val="20"/>
          <w:szCs w:val="20"/>
        </w:rPr>
        <w:t xml:space="preserve"/>
      </w:r>
      <w:r>
        <w:br/>
      </w:r>
      <w:r>
        <w:rPr>
          <w:sz w:val="20"/>
          <w:szCs w:val="20"/>
        </w:rPr>
        <w:t xml:space="preserve">#iPSC #Reprogramming #StemCells #CellBiology #PatientDerived #LabTips</w:t>
      </w:r>
    </w:p>
    <w:p>
      <w:pPr>
        <w:pStyle w:val="Heading3"/>
      </w:pPr>
      <w:r>
        <w:t xml:space="preserve">Wednesday — PRACTICAL METHODS</w:t>
      </w:r>
    </w:p>
    <w:p>
      <w:pPr>
        <w:spacing w:after="60"/>
      </w:pPr>
      <w:r>
        <w:rPr>
          <w:b/>
          <w:bCs/>
          <w:color w:val="6B7280"/>
          <w:sz w:val="20"/>
          <w:szCs w:val="20"/>
        </w:rPr>
        <w:t xml:space="preserve">Image: </w:t>
      </w:r>
      <w:r>
        <w:rPr>
          <w:color w:val="6B7280"/>
          <w:sz w:val="20"/>
          <w:szCs w:val="20"/>
        </w:rPr>
        <w:t xml:space="preserve">LI_I08_omics_pipeline.jpg</w:t>
      </w:r>
    </w:p>
    <w:p>
      <w:pPr>
        <w:spacing w:after="60"/>
      </w:pPr>
      <w:r>
        <w:rPr>
          <w:b/>
          <w:bCs/>
          <w:sz w:val="22"/>
          <w:szCs w:val="22"/>
        </w:rPr>
        <w:t xml:space="preserve">TMT Proteomics: Sample Prep Decisions That Determine Your Data Quality</w:t>
      </w:r>
    </w:p>
    <w:p>
      <w:pPr>
        <w:pBdr>
          <w:left w:val="single" w:color="E8E6E1" w:sz="6" w:space="8"/>
        </w:pBdr>
        <w:spacing w:after="200"/>
        <w:ind w:left="240"/>
      </w:pPr>
      <w:r>
        <w:rPr>
          <w:sz w:val="20"/>
          <w:szCs w:val="20"/>
        </w:rPr>
        <w:t xml:space="preserve">Garbage in, garbage out applies to proteomics more than almost any other technique.</w:t>
      </w:r>
      <w:r>
        <w:br/>
      </w:r>
      <w:r>
        <w:rPr>
          <w:sz w:val="20"/>
          <w:szCs w:val="20"/>
        </w:rPr>
        <w:t xml:space="preserve"/>
      </w:r>
      <w:r>
        <w:br/>
      </w:r>
      <w:r>
        <w:rPr>
          <w:sz w:val="20"/>
          <w:szCs w:val="20"/>
        </w:rPr>
        <w:t xml:space="preserve">Sample preparation decisions that matter most:</w:t>
      </w:r>
      <w:r>
        <w:br/>
      </w:r>
      <w:r>
        <w:rPr>
          <w:sz w:val="20"/>
          <w:szCs w:val="20"/>
        </w:rPr>
        <w:t xml:space="preserve"/>
      </w:r>
      <w:r>
        <w:br/>
      </w:r>
      <w:r>
        <w:rPr>
          <w:sz w:val="20"/>
          <w:szCs w:val="20"/>
        </w:rPr>
        <w:t xml:space="preserve">Lysis:</w:t>
      </w:r>
      <w:r>
        <w:br/>
      </w:r>
      <w:r>
        <w:rPr>
          <w:sz w:val="20"/>
          <w:szCs w:val="20"/>
        </w:rPr>
        <w:t xml:space="preserve">• SDS-based lysis gives highest protein yield but is incompatible with direct LC-MS</w:t>
      </w:r>
      <w:r>
        <w:br/>
      </w:r>
      <w:r>
        <w:rPr>
          <w:sz w:val="20"/>
          <w:szCs w:val="20"/>
        </w:rPr>
        <w:t xml:space="preserve">• We use SP3 (single-pot solid-phase) cleanup to remove SDS before digestion</w:t>
      </w:r>
      <w:r>
        <w:br/>
      </w:r>
      <w:r>
        <w:rPr>
          <w:sz w:val="20"/>
          <w:szCs w:val="20"/>
        </w:rPr>
        <w:t xml:space="preserve">• Urea-based lysis works but must stay below 2M during digestion (inhibits trypsin)</w:t>
      </w:r>
      <w:r>
        <w:br/>
      </w:r>
      <w:r>
        <w:rPr>
          <w:sz w:val="20"/>
          <w:szCs w:val="20"/>
        </w:rPr>
        <w:t xml:space="preserve"/>
      </w:r>
      <w:r>
        <w:br/>
      </w:r>
      <w:r>
        <w:rPr>
          <w:sz w:val="20"/>
          <w:szCs w:val="20"/>
        </w:rPr>
        <w:t xml:space="preserve">Digestion:</w:t>
      </w:r>
      <w:r>
        <w:br/>
      </w:r>
      <w:r>
        <w:rPr>
          <w:sz w:val="20"/>
          <w:szCs w:val="20"/>
        </w:rPr>
        <w:t xml:space="preserve">• Trypsin + LysC combo gives better coverage than trypsin alone</w:t>
      </w:r>
      <w:r>
        <w:br/>
      </w:r>
      <w:r>
        <w:rPr>
          <w:sz w:val="20"/>
          <w:szCs w:val="20"/>
        </w:rPr>
        <w:t xml:space="preserve">• Overnight at 37°C is standard, but check digestion efficiency with a pilot</w:t>
      </w:r>
      <w:r>
        <w:br/>
      </w:r>
      <w:r>
        <w:rPr>
          <w:sz w:val="20"/>
          <w:szCs w:val="20"/>
        </w:rPr>
        <w:t xml:space="preserve">• Add CaCl₂ (1mM) to stabilize trypsin</w:t>
      </w:r>
      <w:r>
        <w:br/>
      </w:r>
      <w:r>
        <w:rPr>
          <w:sz w:val="20"/>
          <w:szCs w:val="20"/>
        </w:rPr>
        <w:t xml:space="preserve"/>
      </w:r>
      <w:r>
        <w:br/>
      </w:r>
      <w:r>
        <w:rPr>
          <w:sz w:val="20"/>
          <w:szCs w:val="20"/>
        </w:rPr>
        <w:t xml:space="preserve">TMT labeling:</w:t>
      </w:r>
      <w:r>
        <w:br/>
      </w:r>
      <w:r>
        <w:rPr>
          <w:sz w:val="20"/>
          <w:szCs w:val="20"/>
        </w:rPr>
        <w:t xml:space="preserve">• TMTPro 18-plex lets you run 18 samples in one LC-MS run</w:t>
      </w:r>
      <w:r>
        <w:br/>
      </w:r>
      <w:r>
        <w:rPr>
          <w:sz w:val="20"/>
          <w:szCs w:val="20"/>
        </w:rPr>
        <w:t xml:space="preserve">• Labeling efficiency &gt;99% or your quantification is compromised</w:t>
      </w:r>
      <w:r>
        <w:br/>
      </w:r>
      <w:r>
        <w:rPr>
          <w:sz w:val="20"/>
          <w:szCs w:val="20"/>
        </w:rPr>
        <w:t xml:space="preserve">• ALWAYS include a pooled reference channel for cross-run normalization</w:t>
      </w:r>
      <w:r>
        <w:br/>
      </w:r>
      <w:r>
        <w:rPr>
          <w:sz w:val="20"/>
          <w:szCs w:val="20"/>
        </w:rPr>
        <w:t xml:space="preserve"/>
      </w:r>
      <w:r>
        <w:br/>
      </w:r>
      <w:r>
        <w:rPr>
          <w:sz w:val="20"/>
          <w:szCs w:val="20"/>
        </w:rPr>
        <w:t xml:space="preserve">Fractionation:</w:t>
      </w:r>
      <w:r>
        <w:br/>
      </w:r>
      <w:r>
        <w:rPr>
          <w:sz w:val="20"/>
          <w:szCs w:val="20"/>
        </w:rPr>
        <w:t xml:space="preserve">• High-pH reversed-phase fractionation into 8–12 fractions</w:t>
      </w:r>
      <w:r>
        <w:br/>
      </w:r>
      <w:r>
        <w:rPr>
          <w:sz w:val="20"/>
          <w:szCs w:val="20"/>
        </w:rPr>
        <w:t xml:space="preserve">• Concatenate non-adjacent fractions to balance peptide load per injection</w:t>
      </w:r>
      <w:r>
        <w:br/>
      </w:r>
      <w:r>
        <w:rPr>
          <w:sz w:val="20"/>
          <w:szCs w:val="20"/>
        </w:rPr>
        <w:t xml:space="preserve">• This single step increases protein IDs by 2–3x</w:t>
      </w:r>
      <w:r>
        <w:br/>
      </w:r>
      <w:r>
        <w:rPr>
          <w:sz w:val="20"/>
          <w:szCs w:val="20"/>
        </w:rPr>
        <w:t xml:space="preserve"/>
      </w:r>
      <w:r>
        <w:br/>
      </w:r>
      <w:r>
        <w:rPr>
          <w:sz w:val="20"/>
          <w:szCs w:val="20"/>
        </w:rPr>
        <w:t xml:space="preserve">Depth targets: 8,000–10,000 proteins from human cells with good prep.</w:t>
      </w:r>
      <w:r>
        <w:br/>
      </w:r>
      <w:r>
        <w:rPr>
          <w:sz w:val="20"/>
          <w:szCs w:val="20"/>
        </w:rPr>
        <w:t xml:space="preserve"/>
      </w:r>
      <w:r>
        <w:br/>
      </w:r>
      <w:r>
        <w:rPr>
          <w:sz w:val="20"/>
          <w:szCs w:val="20"/>
        </w:rPr>
        <w:t xml:space="preserve">Our proteomics pipeline walkthrough at arminbayati.com</w:t>
      </w:r>
      <w:r>
        <w:br/>
      </w:r>
      <w:r>
        <w:rPr>
          <w:sz w:val="20"/>
          <w:szCs w:val="20"/>
        </w:rPr>
        <w:t xml:space="preserve"/>
      </w:r>
      <w:r>
        <w:br/>
      </w:r>
      <w:r>
        <w:rPr>
          <w:sz w:val="20"/>
          <w:szCs w:val="20"/>
        </w:rPr>
        <w:t xml:space="preserve">#Proteomics #MassSpec #TMT #SamplePrep #CellBiology #LabMethods</w:t>
      </w:r>
    </w:p>
    <w:p>
      <w:pPr>
        <w:pStyle w:val="Heading3"/>
      </w:pPr>
      <w:r>
        <w:t xml:space="preserve">Friday — PHARMACOLOGY</w:t>
      </w:r>
    </w:p>
    <w:p>
      <w:pPr>
        <w:spacing w:after="60"/>
      </w:pPr>
      <w:r>
        <w:rPr>
          <w:b/>
          <w:bCs/>
          <w:color w:val="6B7280"/>
          <w:sz w:val="20"/>
          <w:szCs w:val="20"/>
        </w:rPr>
        <w:t xml:space="preserve">Image: </w:t>
      </w:r>
      <w:r>
        <w:rPr>
          <w:color w:val="6B7280"/>
          <w:sz w:val="20"/>
          <w:szCs w:val="20"/>
        </w:rPr>
        <w:t xml:space="preserve">LI_S02_autophagy_lysosome.jpg</w:t>
      </w:r>
    </w:p>
    <w:p>
      <w:pPr>
        <w:spacing w:after="60"/>
      </w:pPr>
      <w:r>
        <w:rPr>
          <w:b/>
          <w:bCs/>
          <w:sz w:val="22"/>
          <w:szCs w:val="22"/>
        </w:rPr>
        <w:t xml:space="preserve">Autophagy Inducers vs. Inhibitors: Getting the Pharmacology Right</w:t>
      </w:r>
    </w:p>
    <w:p>
      <w:pPr>
        <w:pBdr>
          <w:left w:val="single" w:color="E8E6E1" w:sz="6" w:space="8"/>
        </w:pBdr>
        <w:spacing w:after="200"/>
        <w:ind w:left="240"/>
      </w:pPr>
      <w:r>
        <w:rPr>
          <w:sz w:val="20"/>
          <w:szCs w:val="20"/>
        </w:rPr>
        <w:t xml:space="preserve">The number of papers that claim to “induce autophagy” with rapamycin without actually measuring flux is too high.</w:t>
      </w:r>
      <w:r>
        <w:br/>
      </w:r>
      <w:r>
        <w:rPr>
          <w:sz w:val="20"/>
          <w:szCs w:val="20"/>
        </w:rPr>
        <w:t xml:space="preserve"/>
      </w:r>
      <w:r>
        <w:br/>
      </w:r>
      <w:r>
        <w:rPr>
          <w:sz w:val="20"/>
          <w:szCs w:val="20"/>
        </w:rPr>
        <w:t xml:space="preserve">Here’s a quick pharmacology guide for autophagy manipulation:</w:t>
      </w:r>
      <w:r>
        <w:br/>
      </w:r>
      <w:r>
        <w:rPr>
          <w:sz w:val="20"/>
          <w:szCs w:val="20"/>
        </w:rPr>
        <w:t xml:space="preserve"/>
      </w:r>
      <w:r>
        <w:br/>
      </w:r>
      <w:r>
        <w:rPr>
          <w:sz w:val="20"/>
          <w:szCs w:val="20"/>
        </w:rPr>
        <w:t xml:space="preserve">Induction:</w:t>
      </w:r>
      <w:r>
        <w:br/>
      </w:r>
      <w:r>
        <w:rPr>
          <w:sz w:val="20"/>
          <w:szCs w:val="20"/>
        </w:rPr>
        <w:t xml:space="preserve">• Rapamycin (mTORC1 inhibitor) — induces autophagy but has mTOR-dependent effects on translation</w:t>
      </w:r>
      <w:r>
        <w:br/>
      </w:r>
      <w:r>
        <w:rPr>
          <w:sz w:val="20"/>
          <w:szCs w:val="20"/>
        </w:rPr>
        <w:t xml:space="preserve">• Torin1 (mTOR kinase inhibitor) — more complete mTOR inhibition, stronger induction</w:t>
      </w:r>
      <w:r>
        <w:br/>
      </w:r>
      <w:r>
        <w:rPr>
          <w:sz w:val="20"/>
          <w:szCs w:val="20"/>
        </w:rPr>
        <w:t xml:space="preserve">• Trehalose — mTOR-independent, activates TFEB. My preferred inducer for clean experiments</w:t>
      </w:r>
      <w:r>
        <w:br/>
      </w:r>
      <w:r>
        <w:rPr>
          <w:sz w:val="20"/>
          <w:szCs w:val="20"/>
        </w:rPr>
        <w:t xml:space="preserve">• Starvation (HBSS) — the most physiological stimulus</w:t>
      </w:r>
      <w:r>
        <w:br/>
      </w:r>
      <w:r>
        <w:rPr>
          <w:sz w:val="20"/>
          <w:szCs w:val="20"/>
        </w:rPr>
        <w:t xml:space="preserve"/>
      </w:r>
      <w:r>
        <w:br/>
      </w:r>
      <w:r>
        <w:rPr>
          <w:sz w:val="20"/>
          <w:szCs w:val="20"/>
        </w:rPr>
        <w:t xml:space="preserve">Inhibition (by stage):</w:t>
      </w:r>
      <w:r>
        <w:br/>
      </w:r>
      <w:r>
        <w:rPr>
          <w:sz w:val="20"/>
          <w:szCs w:val="20"/>
        </w:rPr>
        <w:t xml:space="preserve">• 3-MA/Wortmannin — blocks initiation (PI3K class III). But 3-MA also hits class I PI3K.</w:t>
      </w:r>
      <w:r>
        <w:br/>
      </w:r>
      <w:r>
        <w:rPr>
          <w:sz w:val="20"/>
          <w:szCs w:val="20"/>
        </w:rPr>
        <w:t xml:space="preserve">• Chloroquine/NH₄Cl — blocks lysosomal degradation (pH neutralization)</w:t>
      </w:r>
      <w:r>
        <w:br/>
      </w:r>
      <w:r>
        <w:rPr>
          <w:sz w:val="20"/>
          <w:szCs w:val="20"/>
        </w:rPr>
        <w:t xml:space="preserve">• Bafilomycin A1 — V-ATPase inhibitor, gold standard for flux assays. Use at 100nM for 2–4h max (longer is toxic)</w:t>
      </w:r>
      <w:r>
        <w:br/>
      </w:r>
      <w:r>
        <w:rPr>
          <w:sz w:val="20"/>
          <w:szCs w:val="20"/>
        </w:rPr>
        <w:t xml:space="preserve"/>
      </w:r>
      <w:r>
        <w:br/>
      </w:r>
      <w:r>
        <w:rPr>
          <w:sz w:val="20"/>
          <w:szCs w:val="20"/>
        </w:rPr>
        <w:t xml:space="preserve">Critical point: Chloroquine and BafA1 block degradation. That means LC3-II goes UP when you inhibit autophagy. Counterintuitive for newcomers.</w:t>
      </w:r>
      <w:r>
        <w:br/>
      </w:r>
      <w:r>
        <w:rPr>
          <w:sz w:val="20"/>
          <w:szCs w:val="20"/>
        </w:rPr>
        <w:t xml:space="preserve"/>
      </w:r>
      <w:r>
        <w:br/>
      </w:r>
      <w:r>
        <w:rPr>
          <w:sz w:val="20"/>
          <w:szCs w:val="20"/>
        </w:rPr>
        <w:t xml:space="preserve">The autophagy-lysosome axis with drug targets annotated at arminbayati.com</w:t>
      </w:r>
      <w:r>
        <w:br/>
      </w:r>
      <w:r>
        <w:rPr>
          <w:sz w:val="20"/>
          <w:szCs w:val="20"/>
        </w:rPr>
        <w:t xml:space="preserve"/>
      </w:r>
      <w:r>
        <w:br/>
      </w:r>
      <w:r>
        <w:rPr>
          <w:sz w:val="20"/>
          <w:szCs w:val="20"/>
        </w:rPr>
        <w:t xml:space="preserve">#Autophagy #Pharmacology #CellBiology #mTOR #LabTips #DrugMechanisms</w:t>
      </w:r>
    </w:p>
    <w:p>
      <w:pPr>
        <w:pStyle w:val="Heading2"/>
      </w:pPr>
      <w:r>
        <w:t xml:space="preserve">Week 8: Cell Biology Deep Dives</w:t>
      </w:r>
    </w:p>
    <w:p>
      <w:pPr>
        <w:pStyle w:val="Heading3"/>
      </w:pPr>
      <w:r>
        <w:t xml:space="preserve">Monday — CELL BIOLOGY CONCEPTS</w:t>
      </w:r>
    </w:p>
    <w:p>
      <w:pPr>
        <w:spacing w:after="60"/>
      </w:pPr>
      <w:r>
        <w:rPr>
          <w:b/>
          <w:bCs/>
          <w:color w:val="6B7280"/>
          <w:sz w:val="20"/>
          <w:szCs w:val="20"/>
        </w:rPr>
        <w:t xml:space="preserve">Image: </w:t>
      </w:r>
      <w:r>
        <w:rPr>
          <w:color w:val="6B7280"/>
          <w:sz w:val="20"/>
          <w:szCs w:val="20"/>
        </w:rPr>
        <w:t xml:space="preserve">LI_S01_endolysosomal_trafficking.jpg</w:t>
      </w:r>
    </w:p>
    <w:p>
      <w:pPr>
        <w:spacing w:after="60"/>
      </w:pPr>
      <w:r>
        <w:rPr>
          <w:b/>
          <w:bCs/>
          <w:sz w:val="22"/>
          <w:szCs w:val="22"/>
        </w:rPr>
        <w:t xml:space="preserve">Rab GTPases: The GPS System of Intracellular Trafficking</w:t>
      </w:r>
    </w:p>
    <w:p>
      <w:pPr>
        <w:pBdr>
          <w:left w:val="single" w:color="E8E6E1" w:sz="6" w:space="8"/>
        </w:pBdr>
        <w:spacing w:after="200"/>
        <w:ind w:left="240"/>
      </w:pPr>
      <w:r>
        <w:rPr>
          <w:sz w:val="20"/>
          <w:szCs w:val="20"/>
        </w:rPr>
        <w:t xml:space="preserve">If you work with vesicular trafficking, you need to know your Rabs.</w:t>
      </w:r>
      <w:r>
        <w:br/>
      </w:r>
      <w:r>
        <w:rPr>
          <w:sz w:val="20"/>
          <w:szCs w:val="20"/>
        </w:rPr>
        <w:t xml:space="preserve"/>
      </w:r>
      <w:r>
        <w:br/>
      </w:r>
      <w:r>
        <w:rPr>
          <w:sz w:val="20"/>
          <w:szCs w:val="20"/>
        </w:rPr>
        <w:t xml:space="preserve">The essential ones and what they mark:</w:t>
      </w:r>
      <w:r>
        <w:br/>
      </w:r>
      <w:r>
        <w:rPr>
          <w:sz w:val="20"/>
          <w:szCs w:val="20"/>
        </w:rPr>
        <w:t xml:space="preserve">• Rab5 — early endosomes. The entry point for most endocytic cargo.</w:t>
      </w:r>
      <w:r>
        <w:br/>
      </w:r>
      <w:r>
        <w:rPr>
          <w:sz w:val="20"/>
          <w:szCs w:val="20"/>
        </w:rPr>
        <w:t xml:space="preserve">• Rab7 — late endosomes/MVBs. The Rab5-to-Rab7 conversion is a key maturation event.</w:t>
      </w:r>
      <w:r>
        <w:br/>
      </w:r>
      <w:r>
        <w:rPr>
          <w:sz w:val="20"/>
          <w:szCs w:val="20"/>
        </w:rPr>
        <w:t xml:space="preserve">• Rab11 — recycling endosomes. Sends cargo back to the plasma membrane.</w:t>
      </w:r>
      <w:r>
        <w:br/>
      </w:r>
      <w:r>
        <w:rPr>
          <w:sz w:val="20"/>
          <w:szCs w:val="20"/>
        </w:rPr>
        <w:t xml:space="preserve">• Rab9 — late endosome-to-TGN retrograde transport.</w:t>
      </w:r>
      <w:r>
        <w:br/>
      </w:r>
      <w:r>
        <w:rPr>
          <w:sz w:val="20"/>
          <w:szCs w:val="20"/>
        </w:rPr>
        <w:t xml:space="preserve">• Rab27a — exosome secretion (MVB-to-plasma membrane fusion).</w:t>
      </w:r>
      <w:r>
        <w:br/>
      </w:r>
      <w:r>
        <w:rPr>
          <w:sz w:val="20"/>
          <w:szCs w:val="20"/>
        </w:rPr>
        <w:t xml:space="preserve"/>
      </w:r>
      <w:r>
        <w:br/>
      </w:r>
      <w:r>
        <w:rPr>
          <w:sz w:val="20"/>
          <w:szCs w:val="20"/>
        </w:rPr>
        <w:t xml:space="preserve">Practical tips for using Rab markers:</w:t>
      </w:r>
      <w:r>
        <w:br/>
      </w:r>
      <w:r>
        <w:rPr>
          <w:sz w:val="20"/>
          <w:szCs w:val="20"/>
        </w:rPr>
        <w:t xml:space="preserve">• Antibody quality varies enormously. Validate with KD/KO controls.</w:t>
      </w:r>
      <w:r>
        <w:br/>
      </w:r>
      <w:r>
        <w:rPr>
          <w:sz w:val="20"/>
          <w:szCs w:val="20"/>
        </w:rPr>
        <w:t xml:space="preserve">• GFP-Rab overexpression can alter trafficking (dominant effects). Use carefully.</w:t>
      </w:r>
      <w:r>
        <w:br/>
      </w:r>
      <w:r>
        <w:rPr>
          <w:sz w:val="20"/>
          <w:szCs w:val="20"/>
        </w:rPr>
        <w:t xml:space="preserve">• Colocalization with Rabs tells you WHERE your cargo is, not whether it’s being processed.</w:t>
      </w:r>
      <w:r>
        <w:br/>
      </w:r>
      <w:r>
        <w:rPr>
          <w:sz w:val="20"/>
          <w:szCs w:val="20"/>
        </w:rPr>
        <w:t xml:space="preserve">• Combine Rab staining with functional readouts (DQ-BSA for degradation, transferrin for recycling).</w:t>
      </w:r>
      <w:r>
        <w:br/>
      </w:r>
      <w:r>
        <w:rPr>
          <w:sz w:val="20"/>
          <w:szCs w:val="20"/>
        </w:rPr>
        <w:t xml:space="preserve"/>
      </w:r>
      <w:r>
        <w:br/>
      </w:r>
      <w:r>
        <w:rPr>
          <w:sz w:val="20"/>
          <w:szCs w:val="20"/>
        </w:rPr>
        <w:t xml:space="preserve">When we trace PFF trafficking, the Rab5→Rab7→LAMP1 progression tells us the fibrils are moving through the canonical endolysosomal pathway.</w:t>
      </w:r>
      <w:r>
        <w:br/>
      </w:r>
      <w:r>
        <w:rPr>
          <w:sz w:val="20"/>
          <w:szCs w:val="20"/>
        </w:rPr>
        <w:t xml:space="preserve"/>
      </w:r>
      <w:r>
        <w:br/>
      </w:r>
      <w:r>
        <w:rPr>
          <w:sz w:val="20"/>
          <w:szCs w:val="20"/>
        </w:rPr>
        <w:t xml:space="preserve">Full Rab-annotated trafficking map at arminbayati.com</w:t>
      </w:r>
      <w:r>
        <w:br/>
      </w:r>
      <w:r>
        <w:rPr>
          <w:sz w:val="20"/>
          <w:szCs w:val="20"/>
        </w:rPr>
        <w:t xml:space="preserve"/>
      </w:r>
      <w:r>
        <w:br/>
      </w:r>
      <w:r>
        <w:rPr>
          <w:sz w:val="20"/>
          <w:szCs w:val="20"/>
        </w:rPr>
        <w:t xml:space="preserve">#RabGTPases #CellBiology #VesicularTrafficking #Endosomes #LabTips #CellBiologyBasics</w:t>
      </w:r>
    </w:p>
    <w:p>
      <w:pPr>
        <w:pStyle w:val="Heading3"/>
      </w:pPr>
      <w:r>
        <w:t xml:space="preserve">Wednesday — TECHNIQUES</w:t>
      </w:r>
    </w:p>
    <w:p>
      <w:pPr>
        <w:spacing w:after="60"/>
      </w:pPr>
      <w:r>
        <w:rPr>
          <w:b/>
          <w:bCs/>
          <w:color w:val="6B7280"/>
          <w:sz w:val="20"/>
          <w:szCs w:val="20"/>
        </w:rPr>
        <w:t xml:space="preserve">Image: </w:t>
      </w:r>
      <w:r>
        <w:rPr>
          <w:color w:val="6B7280"/>
          <w:sz w:val="20"/>
          <w:szCs w:val="20"/>
        </w:rPr>
        <w:t xml:space="preserve">LI_S05_lysosomal_biology.jpg</w:t>
      </w:r>
    </w:p>
    <w:p>
      <w:pPr>
        <w:spacing w:after="60"/>
      </w:pPr>
      <w:r>
        <w:rPr>
          <w:b/>
          <w:bCs/>
          <w:sz w:val="22"/>
          <w:szCs w:val="22"/>
        </w:rPr>
        <w:t xml:space="preserve">How to Measure Lysosomal pH (And Why It Matters)</w:t>
      </w:r>
    </w:p>
    <w:p>
      <w:pPr>
        <w:pBdr>
          <w:left w:val="single" w:color="E8E6E1" w:sz="6" w:space="8"/>
        </w:pBdr>
        <w:spacing w:after="200"/>
        <w:ind w:left="240"/>
      </w:pPr>
      <w:r>
        <w:rPr>
          <w:sz w:val="20"/>
          <w:szCs w:val="20"/>
        </w:rPr>
        <w:t xml:space="preserve">Lysosomal pH is one of the most informative measurements in cell biology, and one of the most technically tricky.</w:t>
      </w:r>
      <w:r>
        <w:br/>
      </w:r>
      <w:r>
        <w:rPr>
          <w:sz w:val="20"/>
          <w:szCs w:val="20"/>
        </w:rPr>
        <w:t xml:space="preserve"/>
      </w:r>
      <w:r>
        <w:br/>
      </w:r>
      <w:r>
        <w:rPr>
          <w:sz w:val="20"/>
          <w:szCs w:val="20"/>
        </w:rPr>
        <w:t xml:space="preserve">Why it matters: lysosomes function at pH 4.5–5.0. Even small increases (to pH 5.5–6.0) dramatically reduce hydrolase activity and cargo degradation.</w:t>
      </w:r>
      <w:r>
        <w:br/>
      </w:r>
      <w:r>
        <w:rPr>
          <w:sz w:val="20"/>
          <w:szCs w:val="20"/>
        </w:rPr>
        <w:t xml:space="preserve"/>
      </w:r>
      <w:r>
        <w:br/>
      </w:r>
      <w:r>
        <w:rPr>
          <w:sz w:val="20"/>
          <w:szCs w:val="20"/>
        </w:rPr>
        <w:t xml:space="preserve">Methods ranked by reliability:</w:t>
      </w:r>
      <w:r>
        <w:br/>
      </w:r>
      <w:r>
        <w:rPr>
          <w:sz w:val="20"/>
          <w:szCs w:val="20"/>
        </w:rPr>
        <w:t xml:space="preserve"/>
      </w:r>
      <w:r>
        <w:br/>
      </w:r>
      <w:r>
        <w:rPr>
          <w:sz w:val="20"/>
          <w:szCs w:val="20"/>
        </w:rPr>
        <w:t xml:space="preserve">1. Oregon Green 488-dextran (ratiometric, gold standard)</w:t>
      </w:r>
      <w:r>
        <w:br/>
      </w:r>
      <w:r>
        <w:rPr>
          <w:sz w:val="20"/>
          <w:szCs w:val="20"/>
        </w:rPr>
        <w:t xml:space="preserve">• Feed cells dextran overnight, chase 2h to reach lysosomes</w:t>
      </w:r>
      <w:r>
        <w:br/>
      </w:r>
      <w:r>
        <w:rPr>
          <w:sz w:val="20"/>
          <w:szCs w:val="20"/>
        </w:rPr>
        <w:t xml:space="preserve">• Ratio of excitation at 440nm/490nm maps directly to pH</w:t>
      </w:r>
      <w:r>
        <w:br/>
      </w:r>
      <w:r>
        <w:rPr>
          <w:sz w:val="20"/>
          <w:szCs w:val="20"/>
        </w:rPr>
        <w:t xml:space="preserve">• Calibrate in each experiment with ionophores (nigericin/monensin) at known pH buffers</w:t>
      </w:r>
      <w:r>
        <w:br/>
      </w:r>
      <w:r>
        <w:rPr>
          <w:sz w:val="20"/>
          <w:szCs w:val="20"/>
        </w:rPr>
        <w:t xml:space="preserve"/>
      </w:r>
      <w:r>
        <w:br/>
      </w:r>
      <w:r>
        <w:rPr>
          <w:sz w:val="20"/>
          <w:szCs w:val="20"/>
        </w:rPr>
        <w:t xml:space="preserve">2. LysoSensor Yellow/Blue DND-160 (ratiometric)</w:t>
      </w:r>
      <w:r>
        <w:br/>
      </w:r>
      <w:r>
        <w:rPr>
          <w:sz w:val="20"/>
          <w:szCs w:val="20"/>
        </w:rPr>
        <w:t xml:space="preserve">• Faster than dextran (just add and image)</w:t>
      </w:r>
      <w:r>
        <w:br/>
      </w:r>
      <w:r>
        <w:rPr>
          <w:sz w:val="20"/>
          <w:szCs w:val="20"/>
        </w:rPr>
        <w:t xml:space="preserve">• Less specific — labels all acidic compartments</w:t>
      </w:r>
      <w:r>
        <w:br/>
      </w:r>
      <w:r>
        <w:rPr>
          <w:sz w:val="20"/>
          <w:szCs w:val="20"/>
        </w:rPr>
        <w:t xml:space="preserve"/>
      </w:r>
      <w:r>
        <w:br/>
      </w:r>
      <w:r>
        <w:rPr>
          <w:sz w:val="20"/>
          <w:szCs w:val="20"/>
        </w:rPr>
        <w:t xml:space="preserve">3. LysoTracker (NOT ratiometric)</w:t>
      </w:r>
      <w:r>
        <w:br/>
      </w:r>
      <w:r>
        <w:rPr>
          <w:sz w:val="20"/>
          <w:szCs w:val="20"/>
        </w:rPr>
        <w:t xml:space="preserve">• Intensity-based only, so changes in lysosome number confound pH measurements</w:t>
      </w:r>
      <w:r>
        <w:br/>
      </w:r>
      <w:r>
        <w:rPr>
          <w:sz w:val="20"/>
          <w:szCs w:val="20"/>
        </w:rPr>
        <w:t xml:space="preserve">• Useful for quick screening, never for quantitative pH determination</w:t>
      </w:r>
      <w:r>
        <w:br/>
      </w:r>
      <w:r>
        <w:rPr>
          <w:sz w:val="20"/>
          <w:szCs w:val="20"/>
        </w:rPr>
        <w:t xml:space="preserve"/>
      </w:r>
      <w:r>
        <w:br/>
      </w:r>
      <w:r>
        <w:rPr>
          <w:sz w:val="20"/>
          <w:szCs w:val="20"/>
        </w:rPr>
        <w:t xml:space="preserve">Common mistake: interpreting decreased LysoTracker intensity as “fewer lysosomes.” It usually means alkalinized lysosomes that can’t retain the dye.</w:t>
      </w:r>
      <w:r>
        <w:br/>
      </w:r>
      <w:r>
        <w:rPr>
          <w:sz w:val="20"/>
          <w:szCs w:val="20"/>
        </w:rPr>
        <w:t xml:space="preserve"/>
      </w:r>
      <w:r>
        <w:br/>
      </w:r>
      <w:r>
        <w:rPr>
          <w:sz w:val="20"/>
          <w:szCs w:val="20"/>
        </w:rPr>
        <w:t xml:space="preserve">Lysosomal pH assay protocols in our interactive lysosome schematic at arminbayati.com</w:t>
      </w:r>
      <w:r>
        <w:br/>
      </w:r>
      <w:r>
        <w:rPr>
          <w:sz w:val="20"/>
          <w:szCs w:val="20"/>
        </w:rPr>
        <w:t xml:space="preserve"/>
      </w:r>
      <w:r>
        <w:br/>
      </w:r>
      <w:r>
        <w:rPr>
          <w:sz w:val="20"/>
          <w:szCs w:val="20"/>
        </w:rPr>
        <w:t xml:space="preserve">#LysosomalBiology #CellBiology #LiveCellImaging #pH #LabMethods #Troubleshooting</w:t>
      </w:r>
    </w:p>
    <w:p>
      <w:pPr>
        <w:pStyle w:val="Heading3"/>
      </w:pPr>
      <w:r>
        <w:t xml:space="preserve">Friday — CELL BIOLOGY CONCEPTS</w:t>
      </w:r>
    </w:p>
    <w:p>
      <w:pPr>
        <w:spacing w:after="60"/>
      </w:pPr>
      <w:r>
        <w:rPr>
          <w:b/>
          <w:bCs/>
          <w:color w:val="6B7280"/>
          <w:sz w:val="20"/>
          <w:szCs w:val="20"/>
        </w:rPr>
        <w:t xml:space="preserve">Image: </w:t>
      </w:r>
      <w:r>
        <w:rPr>
          <w:color w:val="6B7280"/>
          <w:sz w:val="20"/>
          <w:szCs w:val="20"/>
        </w:rPr>
        <w:t xml:space="preserve">LI_S03_proteostasis_network.jpg</w:t>
      </w:r>
    </w:p>
    <w:p>
      <w:pPr>
        <w:spacing w:after="60"/>
      </w:pPr>
      <w:r>
        <w:rPr>
          <w:b/>
          <w:bCs/>
          <w:sz w:val="22"/>
          <w:szCs w:val="22"/>
        </w:rPr>
        <w:t xml:space="preserve">Proteasome vs. Autophagy: How Cells Decide Which Degradation Route to Use</w:t>
      </w:r>
    </w:p>
    <w:p>
      <w:pPr>
        <w:pBdr>
          <w:left w:val="single" w:color="E8E6E1" w:sz="6" w:space="8"/>
        </w:pBdr>
        <w:spacing w:after="200"/>
        <w:ind w:left="240"/>
      </w:pPr>
      <w:r>
        <w:rPr>
          <w:sz w:val="20"/>
          <w:szCs w:val="20"/>
        </w:rPr>
        <w:t xml:space="preserve">The cell has two major degradation systems. Understanding when each is used is critical for interpreting your experiments.</w:t>
      </w:r>
      <w:r>
        <w:br/>
      </w:r>
      <w:r>
        <w:rPr>
          <w:sz w:val="20"/>
          <w:szCs w:val="20"/>
        </w:rPr>
        <w:t xml:space="preserve"/>
      </w:r>
      <w:r>
        <w:br/>
      </w:r>
      <w:r>
        <w:rPr>
          <w:sz w:val="20"/>
          <w:szCs w:val="20"/>
        </w:rPr>
        <w:t xml:space="preserve">The UPS (ubiquitin-proteasome system):</w:t>
      </w:r>
      <w:r>
        <w:br/>
      </w:r>
      <w:r>
        <w:rPr>
          <w:sz w:val="20"/>
          <w:szCs w:val="20"/>
        </w:rPr>
        <w:t xml:space="preserve">• Handles soluble, individual proteins</w:t>
      </w:r>
      <w:r>
        <w:br/>
      </w:r>
      <w:r>
        <w:rPr>
          <w:sz w:val="20"/>
          <w:szCs w:val="20"/>
        </w:rPr>
        <w:t xml:space="preserve">• Requires unfolding — aggregates are too large to enter the proteasome barrel</w:t>
      </w:r>
      <w:r>
        <w:br/>
      </w:r>
      <w:r>
        <w:rPr>
          <w:sz w:val="20"/>
          <w:szCs w:val="20"/>
        </w:rPr>
        <w:t xml:space="preserve">• Fast (minutes to hours)</w:t>
      </w:r>
      <w:r>
        <w:br/>
      </w:r>
      <w:r>
        <w:rPr>
          <w:sz w:val="20"/>
          <w:szCs w:val="20"/>
        </w:rPr>
        <w:t xml:space="preserve">• K48-linked ubiquitin chains = proteasome signal</w:t>
      </w:r>
      <w:r>
        <w:br/>
      </w:r>
      <w:r>
        <w:rPr>
          <w:sz w:val="20"/>
          <w:szCs w:val="20"/>
        </w:rPr>
        <w:t xml:space="preserve"/>
      </w:r>
      <w:r>
        <w:br/>
      </w:r>
      <w:r>
        <w:rPr>
          <w:sz w:val="20"/>
          <w:szCs w:val="20"/>
        </w:rPr>
        <w:t xml:space="preserve">Autophagy:</w:t>
      </w:r>
      <w:r>
        <w:br/>
      </w:r>
      <w:r>
        <w:rPr>
          <w:sz w:val="20"/>
          <w:szCs w:val="20"/>
        </w:rPr>
        <w:t xml:space="preserve">• Handles aggregates, damaged organelles, and bulk cytoplasm</w:t>
      </w:r>
      <w:r>
        <w:br/>
      </w:r>
      <w:r>
        <w:rPr>
          <w:sz w:val="20"/>
          <w:szCs w:val="20"/>
        </w:rPr>
        <w:t xml:space="preserve">• Can engulf structures the proteasome can’t process</w:t>
      </w:r>
      <w:r>
        <w:br/>
      </w:r>
      <w:r>
        <w:rPr>
          <w:sz w:val="20"/>
          <w:szCs w:val="20"/>
        </w:rPr>
        <w:t xml:space="preserve">• Slower (hours to days)</w:t>
      </w:r>
      <w:r>
        <w:br/>
      </w:r>
      <w:r>
        <w:rPr>
          <w:sz w:val="20"/>
          <w:szCs w:val="20"/>
        </w:rPr>
        <w:t xml:space="preserve">• p62/SQSTM1 and NBR1 are the key cargo receptors</w:t>
      </w:r>
      <w:r>
        <w:br/>
      </w:r>
      <w:r>
        <w:rPr>
          <w:sz w:val="20"/>
          <w:szCs w:val="20"/>
        </w:rPr>
        <w:t xml:space="preserve"/>
      </w:r>
      <w:r>
        <w:br/>
      </w:r>
      <w:r>
        <w:rPr>
          <w:sz w:val="20"/>
          <w:szCs w:val="20"/>
        </w:rPr>
        <w:t xml:space="preserve">The switch point: p62</w:t>
      </w:r>
      <w:r>
        <w:br/>
      </w:r>
      <w:r>
        <w:rPr>
          <w:sz w:val="20"/>
          <w:szCs w:val="20"/>
        </w:rPr>
        <w:t xml:space="preserve">When the proteasome is overwhelmed, K48-ubiquitinated proteins accumulate. p62 binds both ubiquitinated cargo AND LC3 on autophagosomes, routing failed proteasome substrates to autophagy.</w:t>
      </w:r>
      <w:r>
        <w:br/>
      </w:r>
      <w:r>
        <w:rPr>
          <w:sz w:val="20"/>
          <w:szCs w:val="20"/>
        </w:rPr>
        <w:t xml:space="preserve"/>
      </w:r>
      <w:r>
        <w:br/>
      </w:r>
      <w:r>
        <w:rPr>
          <w:sz w:val="20"/>
          <w:szCs w:val="20"/>
        </w:rPr>
        <w:t xml:space="preserve">This is why p62 accumulation means BOTH systems are failing — it’s the alarm bell for proteotoxic stress.</w:t>
      </w:r>
      <w:r>
        <w:br/>
      </w:r>
      <w:r>
        <w:rPr>
          <w:sz w:val="20"/>
          <w:szCs w:val="20"/>
        </w:rPr>
        <w:t xml:space="preserve"/>
      </w:r>
      <w:r>
        <w:br/>
      </w:r>
      <w:r>
        <w:rPr>
          <w:sz w:val="20"/>
          <w:szCs w:val="20"/>
        </w:rPr>
        <w:t xml:space="preserve">Full proteostasis decision tree at arminbayati.com</w:t>
      </w:r>
      <w:r>
        <w:br/>
      </w:r>
      <w:r>
        <w:rPr>
          <w:sz w:val="20"/>
          <w:szCs w:val="20"/>
        </w:rPr>
        <w:t xml:space="preserve"/>
      </w:r>
      <w:r>
        <w:br/>
      </w:r>
      <w:r>
        <w:rPr>
          <w:sz w:val="20"/>
          <w:szCs w:val="20"/>
        </w:rPr>
        <w:t xml:space="preserve">#Proteostasis #Proteasome #Autophagy #CellBiology #UPS #ProteinDegradation</w:t>
      </w:r>
    </w:p>
    <w:p>
      <w:pPr>
        <w:pStyle w:val="Heading2"/>
      </w:pPr>
      <w:r>
        <w:t xml:space="preserve">Week 9: Advanced Methods &amp; Data Interpretation</w:t>
      </w:r>
    </w:p>
    <w:p>
      <w:pPr>
        <w:pStyle w:val="Heading3"/>
      </w:pPr>
      <w:r>
        <w:t xml:space="preserve">Monday — PRACTICAL METHODS</w:t>
      </w:r>
    </w:p>
    <w:p>
      <w:pPr>
        <w:spacing w:after="60"/>
      </w:pPr>
      <w:r>
        <w:rPr>
          <w:b/>
          <w:bCs/>
          <w:color w:val="6B7280"/>
          <w:sz w:val="20"/>
          <w:szCs w:val="20"/>
        </w:rPr>
        <w:t xml:space="preserve">Image: </w:t>
      </w:r>
      <w:r>
        <w:rPr>
          <w:color w:val="6B7280"/>
          <w:sz w:val="20"/>
          <w:szCs w:val="20"/>
        </w:rPr>
        <w:t xml:space="preserve">LI_S04_membrane_dynamics.jpg</w:t>
      </w:r>
    </w:p>
    <w:p>
      <w:pPr>
        <w:spacing w:after="60"/>
      </w:pPr>
      <w:r>
        <w:rPr>
          <w:b/>
          <w:bCs/>
          <w:sz w:val="22"/>
          <w:szCs w:val="22"/>
        </w:rPr>
        <w:t xml:space="preserve">Subcellular Fractionation: Getting Clean Organelle Preps</w:t>
      </w:r>
    </w:p>
    <w:p>
      <w:pPr>
        <w:pBdr>
          <w:left w:val="single" w:color="E8E6E1" w:sz="6" w:space="8"/>
        </w:pBdr>
        <w:spacing w:after="200"/>
        <w:ind w:left="240"/>
      </w:pPr>
      <w:r>
        <w:rPr>
          <w:sz w:val="20"/>
          <w:szCs w:val="20"/>
        </w:rPr>
        <w:t xml:space="preserve">If you’re studying organelle-specific biology, whole-cell lysates are hiding most of your signal.</w:t>
      </w:r>
      <w:r>
        <w:br/>
      </w:r>
      <w:r>
        <w:rPr>
          <w:sz w:val="20"/>
          <w:szCs w:val="20"/>
        </w:rPr>
        <w:t xml:space="preserve"/>
      </w:r>
      <w:r>
        <w:br/>
      </w:r>
      <w:r>
        <w:rPr>
          <w:sz w:val="20"/>
          <w:szCs w:val="20"/>
        </w:rPr>
        <w:t xml:space="preserve">Subcellular fractionation tips from running hundreds of preps:</w:t>
      </w:r>
      <w:r>
        <w:br/>
      </w:r>
      <w:r>
        <w:rPr>
          <w:sz w:val="20"/>
          <w:szCs w:val="20"/>
        </w:rPr>
        <w:t xml:space="preserve"/>
      </w:r>
      <w:r>
        <w:br/>
      </w:r>
      <w:r>
        <w:rPr>
          <w:sz w:val="20"/>
          <w:szCs w:val="20"/>
        </w:rPr>
        <w:t xml:space="preserve">Differential centrifugation (the basics):</w:t>
      </w:r>
      <w:r>
        <w:br/>
      </w:r>
      <w:r>
        <w:rPr>
          <w:sz w:val="20"/>
          <w:szCs w:val="20"/>
        </w:rPr>
        <w:t xml:space="preserve">• 1,000g (10 min) → nuclei + debris</w:t>
      </w:r>
      <w:r>
        <w:br/>
      </w:r>
      <w:r>
        <w:rPr>
          <w:sz w:val="20"/>
          <w:szCs w:val="20"/>
        </w:rPr>
        <w:t xml:space="preserve">• 10,000g (20 min) → heavy membranes (mitochondria, lysosomes, peroxisomes)</w:t>
      </w:r>
      <w:r>
        <w:br/>
      </w:r>
      <w:r>
        <w:rPr>
          <w:sz w:val="20"/>
          <w:szCs w:val="20"/>
        </w:rPr>
        <w:t xml:space="preserve">• 100,000g (60 min) → light membranes (ER, endosomes, plasma membrane)</w:t>
      </w:r>
      <w:r>
        <w:br/>
      </w:r>
      <w:r>
        <w:rPr>
          <w:sz w:val="20"/>
          <w:szCs w:val="20"/>
        </w:rPr>
        <w:t xml:space="preserve">• Supernatant = cytosol</w:t>
      </w:r>
      <w:r>
        <w:br/>
      </w:r>
      <w:r>
        <w:rPr>
          <w:sz w:val="20"/>
          <w:szCs w:val="20"/>
        </w:rPr>
        <w:t xml:space="preserve"/>
      </w:r>
      <w:r>
        <w:br/>
      </w:r>
      <w:r>
        <w:rPr>
          <w:sz w:val="20"/>
          <w:szCs w:val="20"/>
        </w:rPr>
        <w:t xml:space="preserve">Critical details:</w:t>
      </w:r>
      <w:r>
        <w:br/>
      </w:r>
      <w:r>
        <w:rPr>
          <w:sz w:val="20"/>
          <w:szCs w:val="20"/>
        </w:rPr>
        <w:t xml:space="preserve">• Keep everything at 4°C. Always. Protease inhibitors in every buffer.</w:t>
      </w:r>
      <w:r>
        <w:br/>
      </w:r>
      <w:r>
        <w:rPr>
          <w:sz w:val="20"/>
          <w:szCs w:val="20"/>
        </w:rPr>
        <w:t xml:space="preserve">• Dounce homogenizer gives more reproducible lysis than sonication for fractionation</w:t>
      </w:r>
      <w:r>
        <w:br/>
      </w:r>
      <w:r>
        <w:rPr>
          <w:sz w:val="20"/>
          <w:szCs w:val="20"/>
        </w:rPr>
        <w:t xml:space="preserve">• 20–30 strokes with a tight pestle. Too many = organelle damage. Too few = poor yield.</w:t>
      </w:r>
      <w:r>
        <w:br/>
      </w:r>
      <w:r>
        <w:rPr>
          <w:sz w:val="20"/>
          <w:szCs w:val="20"/>
        </w:rPr>
        <w:t xml:space="preserve"/>
      </w:r>
      <w:r>
        <w:br/>
      </w:r>
      <w:r>
        <w:rPr>
          <w:sz w:val="20"/>
          <w:szCs w:val="20"/>
        </w:rPr>
        <w:t xml:space="preserve">Validation (non-negotiable):</w:t>
      </w:r>
      <w:r>
        <w:br/>
      </w:r>
      <w:r>
        <w:rPr>
          <w:sz w:val="20"/>
          <w:szCs w:val="20"/>
        </w:rPr>
        <w:t xml:space="preserve">• Fraction Western blots: VDAC (mito), LAMP1 (lysosome), Calnexin (ER), GAPDH (cytosol)</w:t>
      </w:r>
      <w:r>
        <w:br/>
      </w:r>
      <w:r>
        <w:rPr>
          <w:sz w:val="20"/>
          <w:szCs w:val="20"/>
        </w:rPr>
        <w:t xml:space="preserve">• Each fraction should be enriched for its marker and depleted for the others</w:t>
      </w:r>
      <w:r>
        <w:br/>
      </w:r>
      <w:r>
        <w:rPr>
          <w:sz w:val="20"/>
          <w:szCs w:val="20"/>
        </w:rPr>
        <w:t xml:space="preserve">• If GAPDH shows up in your membrane fraction, your lysis was too harsh</w:t>
      </w:r>
      <w:r>
        <w:br/>
      </w:r>
      <w:r>
        <w:rPr>
          <w:sz w:val="20"/>
          <w:szCs w:val="20"/>
        </w:rPr>
        <w:t xml:space="preserve"/>
      </w:r>
      <w:r>
        <w:br/>
      </w:r>
      <w:r>
        <w:rPr>
          <w:sz w:val="20"/>
          <w:szCs w:val="20"/>
        </w:rPr>
        <w:t xml:space="preserve">The payoff: subcellular proteomics reveals changes invisible in whole-cell lysates.</w:t>
      </w:r>
      <w:r>
        <w:br/>
      </w:r>
      <w:r>
        <w:rPr>
          <w:sz w:val="20"/>
          <w:szCs w:val="20"/>
        </w:rPr>
        <w:t xml:space="preserve"/>
      </w:r>
      <w:r>
        <w:br/>
      </w:r>
      <w:r>
        <w:rPr>
          <w:sz w:val="20"/>
          <w:szCs w:val="20"/>
        </w:rPr>
        <w:t xml:space="preserve">Organelle fractionation and contact site biology at arminbayati.com</w:t>
      </w:r>
      <w:r>
        <w:br/>
      </w:r>
      <w:r>
        <w:rPr>
          <w:sz w:val="20"/>
          <w:szCs w:val="20"/>
        </w:rPr>
        <w:t xml:space="preserve"/>
      </w:r>
      <w:r>
        <w:br/>
      </w:r>
      <w:r>
        <w:rPr>
          <w:sz w:val="20"/>
          <w:szCs w:val="20"/>
        </w:rPr>
        <w:t xml:space="preserve">#SubcellularFractionation #CellBiology #Organelles #Proteomics #LabMethods</w:t>
      </w:r>
    </w:p>
    <w:p>
      <w:pPr>
        <w:pStyle w:val="Heading3"/>
      </w:pPr>
      <w:r>
        <w:t xml:space="preserve">Wednesday — DATA INTERPRETATION</w:t>
      </w:r>
    </w:p>
    <w:p>
      <w:pPr>
        <w:spacing w:after="60"/>
      </w:pPr>
      <w:r>
        <w:rPr>
          <w:b/>
          <w:bCs/>
          <w:color w:val="6B7280"/>
          <w:sz w:val="20"/>
          <w:szCs w:val="20"/>
        </w:rPr>
        <w:t xml:space="preserve">Image: </w:t>
      </w:r>
      <w:r>
        <w:rPr>
          <w:color w:val="6B7280"/>
          <w:sz w:val="20"/>
          <w:szCs w:val="20"/>
        </w:rPr>
        <w:t xml:space="preserve">LI_S06_signaling_crosstalk.jpg</w:t>
      </w:r>
    </w:p>
    <w:p>
      <w:pPr>
        <w:spacing w:after="60"/>
      </w:pPr>
      <w:r>
        <w:rPr>
          <w:b/>
          <w:bCs/>
          <w:sz w:val="22"/>
          <w:szCs w:val="22"/>
        </w:rPr>
        <w:t xml:space="preserve">How to Build a Convincing Signaling Story (Not Just a Phospho-Western)</w:t>
      </w:r>
    </w:p>
    <w:p>
      <w:pPr>
        <w:pBdr>
          <w:left w:val="single" w:color="E8E6E1" w:sz="6" w:space="8"/>
        </w:pBdr>
        <w:spacing w:after="200"/>
        <w:ind w:left="240"/>
      </w:pPr>
      <w:r>
        <w:rPr>
          <w:sz w:val="20"/>
          <w:szCs w:val="20"/>
        </w:rPr>
        <w:t xml:space="preserve">A phospho-Western showing pSTAT1 is up is NOT proof that JAK/STAT signaling drives your phenotype.</w:t>
      </w:r>
      <w:r>
        <w:br/>
      </w:r>
      <w:r>
        <w:rPr>
          <w:sz w:val="20"/>
          <w:szCs w:val="20"/>
        </w:rPr>
        <w:t xml:space="preserve"/>
      </w:r>
      <w:r>
        <w:br/>
      </w:r>
      <w:r>
        <w:rPr>
          <w:sz w:val="20"/>
          <w:szCs w:val="20"/>
        </w:rPr>
        <w:t xml:space="preserve">Here’s what a convincing signaling story actually requires:</w:t>
      </w:r>
      <w:r>
        <w:br/>
      </w:r>
      <w:r>
        <w:rPr>
          <w:sz w:val="20"/>
          <w:szCs w:val="20"/>
        </w:rPr>
        <w:t xml:space="preserve"/>
      </w:r>
      <w:r>
        <w:br/>
      </w:r>
      <w:r>
        <w:rPr>
          <w:sz w:val="20"/>
          <w:szCs w:val="20"/>
        </w:rPr>
        <w:t xml:space="preserve">Level 1 — Correlation:</w:t>
      </w:r>
      <w:r>
        <w:br/>
      </w:r>
      <w:r>
        <w:rPr>
          <w:sz w:val="20"/>
          <w:szCs w:val="20"/>
        </w:rPr>
        <w:t xml:space="preserve">• Pathway marker changes (e.g., pSTAT1 increases with treatment)</w:t>
      </w:r>
      <w:r>
        <w:br/>
      </w:r>
      <w:r>
        <w:rPr>
          <w:sz w:val="20"/>
          <w:szCs w:val="20"/>
        </w:rPr>
        <w:t xml:space="preserve">• This is where most papers stop. It’s necessary but not sufficient.</w:t>
      </w:r>
      <w:r>
        <w:br/>
      </w:r>
      <w:r>
        <w:rPr>
          <w:sz w:val="20"/>
          <w:szCs w:val="20"/>
        </w:rPr>
        <w:t xml:space="preserve"/>
      </w:r>
      <w:r>
        <w:br/>
      </w:r>
      <w:r>
        <w:rPr>
          <w:sz w:val="20"/>
          <w:szCs w:val="20"/>
        </w:rPr>
        <w:t xml:space="preserve">Level 2 — Necessity:</w:t>
      </w:r>
      <w:r>
        <w:br/>
      </w:r>
      <w:r>
        <w:rPr>
          <w:sz w:val="20"/>
          <w:szCs w:val="20"/>
        </w:rPr>
        <w:t xml:space="preserve">• Pharmacological inhibition of the pathway blocks the phenotype</w:t>
      </w:r>
      <w:r>
        <w:br/>
      </w:r>
      <w:r>
        <w:rPr>
          <w:sz w:val="20"/>
          <w:szCs w:val="20"/>
        </w:rPr>
        <w:t xml:space="preserve">• Use 2+ inhibitors hitting different nodes (e.g., Ruxolitinib for JAK, Fludarabine for STAT1)</w:t>
      </w:r>
      <w:r>
        <w:br/>
      </w:r>
      <w:r>
        <w:rPr>
          <w:sz w:val="20"/>
          <w:szCs w:val="20"/>
        </w:rPr>
        <w:t xml:space="preserve">• Genetic approach: siRNA/CRISPR KO of the key node</w:t>
      </w:r>
      <w:r>
        <w:br/>
      </w:r>
      <w:r>
        <w:rPr>
          <w:sz w:val="20"/>
          <w:szCs w:val="20"/>
        </w:rPr>
        <w:t xml:space="preserve"/>
      </w:r>
      <w:r>
        <w:br/>
      </w:r>
      <w:r>
        <w:rPr>
          <w:sz w:val="20"/>
          <w:szCs w:val="20"/>
        </w:rPr>
        <w:t xml:space="preserve">Level 3 — Sufficiency:</w:t>
      </w:r>
      <w:r>
        <w:br/>
      </w:r>
      <w:r>
        <w:rPr>
          <w:sz w:val="20"/>
          <w:szCs w:val="20"/>
        </w:rPr>
        <w:t xml:space="preserve">• Constitutive activation of the pathway produces the phenotype without the original stimulus</w:t>
      </w:r>
      <w:r>
        <w:br/>
      </w:r>
      <w:r>
        <w:rPr>
          <w:sz w:val="20"/>
          <w:szCs w:val="20"/>
        </w:rPr>
        <w:t xml:space="preserve">• e.g., Constitutively active STAT1 mutant should mimic IFN-γ treatment</w:t>
      </w:r>
      <w:r>
        <w:br/>
      </w:r>
      <w:r>
        <w:rPr>
          <w:sz w:val="20"/>
          <w:szCs w:val="20"/>
        </w:rPr>
        <w:t xml:space="preserve"/>
      </w:r>
      <w:r>
        <w:br/>
      </w:r>
      <w:r>
        <w:rPr>
          <w:sz w:val="20"/>
          <w:szCs w:val="20"/>
        </w:rPr>
        <w:t xml:space="preserve">Level 4 — Mechanism:</w:t>
      </w:r>
      <w:r>
        <w:br/>
      </w:r>
      <w:r>
        <w:rPr>
          <w:sz w:val="20"/>
          <w:szCs w:val="20"/>
        </w:rPr>
        <w:t xml:space="preserve">• Transcriptional targets change (RNA-seq or targeted qPCR panel)</w:t>
      </w:r>
      <w:r>
        <w:br/>
      </w:r>
      <w:r>
        <w:rPr>
          <w:sz w:val="20"/>
          <w:szCs w:val="20"/>
        </w:rPr>
        <w:t xml:space="preserve">• Nuclear translocation confirmed (immunocytochemistry or fractionation)</w:t>
      </w:r>
      <w:r>
        <w:br/>
      </w:r>
      <w:r>
        <w:rPr>
          <w:sz w:val="20"/>
          <w:szCs w:val="20"/>
        </w:rPr>
        <w:t xml:space="preserve">• Downstream effectors identified and validated</w:t>
      </w:r>
      <w:r>
        <w:br/>
      </w:r>
      <w:r>
        <w:rPr>
          <w:sz w:val="20"/>
          <w:szCs w:val="20"/>
        </w:rPr>
        <w:t xml:space="preserve"/>
      </w:r>
      <w:r>
        <w:br/>
      </w:r>
      <w:r>
        <w:rPr>
          <w:sz w:val="20"/>
          <w:szCs w:val="20"/>
        </w:rPr>
        <w:t xml:space="preserve">This framework applies to ANY signaling pathway. Stop at Level 1, and reviewers will ask for Levels 2–3.</w:t>
      </w:r>
      <w:r>
        <w:br/>
      </w:r>
      <w:r>
        <w:rPr>
          <w:sz w:val="20"/>
          <w:szCs w:val="20"/>
        </w:rPr>
        <w:t xml:space="preserve"/>
      </w:r>
      <w:r>
        <w:br/>
      </w:r>
      <w:r>
        <w:rPr>
          <w:sz w:val="20"/>
          <w:szCs w:val="20"/>
        </w:rPr>
        <w:t xml:space="preserve">Signaling crosstalk map with experimental approaches at arminbayati.com</w:t>
      </w:r>
      <w:r>
        <w:br/>
      </w:r>
      <w:r>
        <w:rPr>
          <w:sz w:val="20"/>
          <w:szCs w:val="20"/>
        </w:rPr>
        <w:t xml:space="preserve"/>
      </w:r>
      <w:r>
        <w:br/>
      </w:r>
      <w:r>
        <w:rPr>
          <w:sz w:val="20"/>
          <w:szCs w:val="20"/>
        </w:rPr>
        <w:t xml:space="preserve">#CellSignaling #ExperimentalDesign #DataInterpretation #CellBiology #Rigor</w:t>
      </w:r>
    </w:p>
    <w:p>
      <w:pPr>
        <w:pStyle w:val="Heading3"/>
      </w:pPr>
      <w:r>
        <w:t xml:space="preserve">Friday — EXPERIMENTAL DESIGN</w:t>
      </w:r>
    </w:p>
    <w:p>
      <w:pPr>
        <w:spacing w:after="60"/>
      </w:pPr>
      <w:r>
        <w:rPr>
          <w:b/>
          <w:bCs/>
          <w:color w:val="6B7280"/>
          <w:sz w:val="20"/>
          <w:szCs w:val="20"/>
        </w:rPr>
        <w:t xml:space="preserve">Image: </w:t>
      </w:r>
      <w:r>
        <w:rPr>
          <w:color w:val="6B7280"/>
          <w:sz w:val="20"/>
          <w:szCs w:val="20"/>
        </w:rPr>
        <w:t xml:space="preserve">LI_S11_exosome_propagation.jpg</w:t>
      </w:r>
    </w:p>
    <w:p>
      <w:pPr>
        <w:spacing w:after="60"/>
      </w:pPr>
      <w:r>
        <w:rPr>
          <w:b/>
          <w:bCs/>
          <w:sz w:val="22"/>
          <w:szCs w:val="22"/>
        </w:rPr>
        <w:t xml:space="preserve">Conditioned Media Experiments: Controls That Save You From Bad Conclusions</w:t>
      </w:r>
    </w:p>
    <w:p>
      <w:pPr>
        <w:pBdr>
          <w:left w:val="single" w:color="E8E6E1" w:sz="6" w:space="8"/>
        </w:pBdr>
        <w:spacing w:after="200"/>
        <w:ind w:left="240"/>
      </w:pPr>
      <w:r>
        <w:rPr>
          <w:sz w:val="20"/>
          <w:szCs w:val="20"/>
        </w:rPr>
        <w:t xml:space="preserve">Conditioned media transfer experiments are elegant but easy to overinterpret.</w:t>
      </w:r>
      <w:r>
        <w:br/>
      </w:r>
      <w:r>
        <w:rPr>
          <w:sz w:val="20"/>
          <w:szCs w:val="20"/>
        </w:rPr>
        <w:t xml:space="preserve"/>
      </w:r>
      <w:r>
        <w:br/>
      </w:r>
      <w:r>
        <w:rPr>
          <w:sz w:val="20"/>
          <w:szCs w:val="20"/>
        </w:rPr>
        <w:t xml:space="preserve">If you’re transferring media from sick cells to healthy cells and seeing a phenotype, it could be:</w:t>
      </w:r>
      <w:r>
        <w:br/>
      </w:r>
      <w:r>
        <w:rPr>
          <w:sz w:val="20"/>
          <w:szCs w:val="20"/>
        </w:rPr>
        <w:t xml:space="preserve">• Exosomes/EVs carrying pathological cargo (what you hope)</w:t>
      </w:r>
      <w:r>
        <w:br/>
      </w:r>
      <w:r>
        <w:rPr>
          <w:sz w:val="20"/>
          <w:szCs w:val="20"/>
        </w:rPr>
        <w:t xml:space="preserve">• Cytokines/chemokines in the media (very common confounder)</w:t>
      </w:r>
      <w:r>
        <w:br/>
      </w:r>
      <w:r>
        <w:rPr>
          <w:sz w:val="20"/>
          <w:szCs w:val="20"/>
        </w:rPr>
        <w:t xml:space="preserve">• Dead cell debris (just toxicity, not specific transfer)</w:t>
      </w:r>
      <w:r>
        <w:br/>
      </w:r>
      <w:r>
        <w:rPr>
          <w:sz w:val="20"/>
          <w:szCs w:val="20"/>
        </w:rPr>
        <w:t xml:space="preserve">• Residual drug/treatment in the media (if donor cells were treated)</w:t>
      </w:r>
      <w:r>
        <w:br/>
      </w:r>
      <w:r>
        <w:rPr>
          <w:sz w:val="20"/>
          <w:szCs w:val="20"/>
        </w:rPr>
        <w:t xml:space="preserve">• pH/metabolite changes from donor cell stress</w:t>
      </w:r>
      <w:r>
        <w:br/>
      </w:r>
      <w:r>
        <w:rPr>
          <w:sz w:val="20"/>
          <w:szCs w:val="20"/>
        </w:rPr>
        <w:t xml:space="preserve"/>
      </w:r>
      <w:r>
        <w:br/>
      </w:r>
      <w:r>
        <w:rPr>
          <w:sz w:val="20"/>
          <w:szCs w:val="20"/>
        </w:rPr>
        <w:t xml:space="preserve">Essential controls:</w:t>
      </w:r>
      <w:r>
        <w:br/>
      </w:r>
      <w:r>
        <w:rPr>
          <w:sz w:val="20"/>
          <w:szCs w:val="20"/>
        </w:rPr>
        <w:t xml:space="preserve">• Heat-denatured conditioned media (56°C, 30 min) — kills EVs and denatures proteins</w:t>
      </w:r>
      <w:r>
        <w:br/>
      </w:r>
      <w:r>
        <w:rPr>
          <w:sz w:val="20"/>
          <w:szCs w:val="20"/>
        </w:rPr>
        <w:t xml:space="preserve">• Ultracentrifugation-depleted media — removes EVs, retains soluble factors</w:t>
      </w:r>
      <w:r>
        <w:br/>
      </w:r>
      <w:r>
        <w:rPr>
          <w:sz w:val="20"/>
          <w:szCs w:val="20"/>
        </w:rPr>
        <w:t xml:space="preserve">• Resuspended EV pellet alone — tests if the effect is EV-dependent</w:t>
      </w:r>
      <w:r>
        <w:br/>
      </w:r>
      <w:r>
        <w:rPr>
          <w:sz w:val="20"/>
          <w:szCs w:val="20"/>
        </w:rPr>
        <w:t xml:space="preserve">• Size-exclusion chromatography fractions — separates EVs from free proteins</w:t>
      </w:r>
      <w:r>
        <w:br/>
      </w:r>
      <w:r>
        <w:rPr>
          <w:sz w:val="20"/>
          <w:szCs w:val="20"/>
        </w:rPr>
        <w:t xml:space="preserve">• GW4869-treated donor cells — blocks exosome release (nSMase2 inhibitor)</w:t>
      </w:r>
      <w:r>
        <w:br/>
      </w:r>
      <w:r>
        <w:rPr>
          <w:sz w:val="20"/>
          <w:szCs w:val="20"/>
        </w:rPr>
        <w:t xml:space="preserve"/>
      </w:r>
      <w:r>
        <w:br/>
      </w:r>
      <w:r>
        <w:rPr>
          <w:sz w:val="20"/>
          <w:szCs w:val="20"/>
        </w:rPr>
        <w:t xml:space="preserve">If your phenotype survives EV depletion, it’s not exosomes. That’s still a finding — just a different mechanism.</w:t>
      </w:r>
      <w:r>
        <w:br/>
      </w:r>
      <w:r>
        <w:rPr>
          <w:sz w:val="20"/>
          <w:szCs w:val="20"/>
        </w:rPr>
        <w:t xml:space="preserve"/>
      </w:r>
      <w:r>
        <w:br/>
      </w:r>
      <w:r>
        <w:rPr>
          <w:sz w:val="20"/>
          <w:szCs w:val="20"/>
        </w:rPr>
        <w:t xml:space="preserve">Exosome biology and experimental design schematic at arminbayati.com</w:t>
      </w:r>
      <w:r>
        <w:br/>
      </w:r>
      <w:r>
        <w:rPr>
          <w:sz w:val="20"/>
          <w:szCs w:val="20"/>
        </w:rPr>
        <w:t xml:space="preserve"/>
      </w:r>
      <w:r>
        <w:br/>
      </w:r>
      <w:r>
        <w:rPr>
          <w:sz w:val="20"/>
          <w:szCs w:val="20"/>
        </w:rPr>
        <w:t xml:space="preserve">#ExperimentalDesign #ConditionedMedia #Exosomes #CellBiology #Controls #Rigor</w:t>
      </w:r>
    </w:p>
    <w:p>
      <w:pPr>
        <w:pStyle w:val="Heading2"/>
      </w:pPr>
      <w:r>
        <w:t xml:space="preserve">Week 10: Multi-Omics, Quantification &amp; Reflection</w:t>
      </w:r>
    </w:p>
    <w:p>
      <w:pPr>
        <w:pStyle w:val="Heading3"/>
      </w:pPr>
      <w:r>
        <w:t xml:space="preserve">Monday — EXPERIMENTAL DESIGN</w:t>
      </w:r>
    </w:p>
    <w:p>
      <w:pPr>
        <w:spacing w:after="60"/>
      </w:pPr>
      <w:r>
        <w:rPr>
          <w:b/>
          <w:bCs/>
          <w:color w:val="6B7280"/>
          <w:sz w:val="20"/>
          <w:szCs w:val="20"/>
        </w:rPr>
        <w:t xml:space="preserve">Image: </w:t>
      </w:r>
      <w:r>
        <w:rPr>
          <w:color w:val="6B7280"/>
          <w:sz w:val="20"/>
          <w:szCs w:val="20"/>
        </w:rPr>
        <w:t xml:space="preserve">LI_S12_multiomics.jpg</w:t>
      </w:r>
    </w:p>
    <w:p>
      <w:pPr>
        <w:spacing w:after="60"/>
      </w:pPr>
      <w:r>
        <w:rPr>
          <w:b/>
          <w:bCs/>
          <w:sz w:val="22"/>
          <w:szCs w:val="22"/>
        </w:rPr>
        <w:t xml:space="preserve">scRNA-seq: When to Use It and When You’re Wasting Money</w:t>
      </w:r>
    </w:p>
    <w:p>
      <w:pPr>
        <w:pBdr>
          <w:left w:val="single" w:color="E8E6E1" w:sz="6" w:space="8"/>
        </w:pBdr>
        <w:spacing w:after="200"/>
        <w:ind w:left="240"/>
      </w:pPr>
      <w:r>
        <w:rPr>
          <w:sz w:val="20"/>
          <w:szCs w:val="20"/>
        </w:rPr>
        <w:t xml:space="preserve">Single-cell RNA-seq costs $5–15K per experiment. Before you run one, ask yourself these questions:</w:t>
      </w:r>
      <w:r>
        <w:br/>
      </w:r>
      <w:r>
        <w:rPr>
          <w:sz w:val="20"/>
          <w:szCs w:val="20"/>
        </w:rPr>
        <w:t xml:space="preserve"/>
      </w:r>
      <w:r>
        <w:br/>
      </w:r>
      <w:r>
        <w:rPr>
          <w:sz w:val="20"/>
          <w:szCs w:val="20"/>
        </w:rPr>
        <w:t xml:space="preserve">Use scRNA-seq when:</w:t>
      </w:r>
      <w:r>
        <w:br/>
      </w:r>
      <w:r>
        <w:rPr>
          <w:sz w:val="20"/>
          <w:szCs w:val="20"/>
        </w:rPr>
        <w:t xml:space="preserve">• Your system has known cellular heterogeneity and you want to resolve it</w:t>
      </w:r>
      <w:r>
        <w:br/>
      </w:r>
      <w:r>
        <w:rPr>
          <w:sz w:val="20"/>
          <w:szCs w:val="20"/>
        </w:rPr>
        <w:t xml:space="preserve">• You’re looking for rare cell populations (&lt;5% of total)</w:t>
      </w:r>
      <w:r>
        <w:br/>
      </w:r>
      <w:r>
        <w:rPr>
          <w:sz w:val="20"/>
          <w:szCs w:val="20"/>
        </w:rPr>
        <w:t xml:space="preserve">• You care about cell-cell communication or trajectory analysis</w:t>
      </w:r>
      <w:r>
        <w:br/>
      </w:r>
      <w:r>
        <w:rPr>
          <w:sz w:val="20"/>
          <w:szCs w:val="20"/>
        </w:rPr>
        <w:t xml:space="preserve">• Bulk RNA-seq showed interesting but ambiguous results</w:t>
      </w:r>
      <w:r>
        <w:br/>
      </w:r>
      <w:r>
        <w:rPr>
          <w:sz w:val="20"/>
          <w:szCs w:val="20"/>
        </w:rPr>
        <w:t xml:space="preserve"/>
      </w:r>
      <w:r>
        <w:br/>
      </w:r>
      <w:r>
        <w:rPr>
          <w:sz w:val="20"/>
          <w:szCs w:val="20"/>
        </w:rPr>
        <w:t xml:space="preserve">Don’t use scRNA-seq when:</w:t>
      </w:r>
      <w:r>
        <w:br/>
      </w:r>
      <w:r>
        <w:rPr>
          <w:sz w:val="20"/>
          <w:szCs w:val="20"/>
        </w:rPr>
        <w:t xml:space="preserve">• Your culture is a single cell type (e.g., iPSC-derived neurons) — bulk + deconvolution is often enough</w:t>
      </w:r>
      <w:r>
        <w:br/>
      </w:r>
      <w:r>
        <w:rPr>
          <w:sz w:val="20"/>
          <w:szCs w:val="20"/>
        </w:rPr>
        <w:t xml:space="preserve">• You only care about a few genes — flow cytometry or qPCR is cheaper and more sensitive</w:t>
      </w:r>
      <w:r>
        <w:br/>
      </w:r>
      <w:r>
        <w:rPr>
          <w:sz w:val="20"/>
          <w:szCs w:val="20"/>
        </w:rPr>
        <w:t xml:space="preserve">• Your sample has low viability (&lt;80%) — dead cells produce garbage data</w:t>
      </w:r>
      <w:r>
        <w:br/>
      </w:r>
      <w:r>
        <w:rPr>
          <w:sz w:val="20"/>
          <w:szCs w:val="20"/>
        </w:rPr>
        <w:t xml:space="preserve">• You want protein-level information — transcript ≠ protein</w:t>
      </w:r>
      <w:r>
        <w:br/>
      </w:r>
      <w:r>
        <w:rPr>
          <w:sz w:val="20"/>
          <w:szCs w:val="20"/>
        </w:rPr>
        <w:t xml:space="preserve"/>
      </w:r>
      <w:r>
        <w:br/>
      </w:r>
      <w:r>
        <w:rPr>
          <w:sz w:val="20"/>
          <w:szCs w:val="20"/>
        </w:rPr>
        <w:t xml:space="preserve">If you DO run scRNA-seq:</w:t>
      </w:r>
      <w:r>
        <w:br/>
      </w:r>
      <w:r>
        <w:rPr>
          <w:sz w:val="20"/>
          <w:szCs w:val="20"/>
        </w:rPr>
        <w:t xml:space="preserve">• Aim for &gt;3,000 cells per condition, &gt;10,000 for rare population detection</w:t>
      </w:r>
      <w:r>
        <w:br/>
      </w:r>
      <w:r>
        <w:rPr>
          <w:sz w:val="20"/>
          <w:szCs w:val="20"/>
        </w:rPr>
        <w:t xml:space="preserve">• Process samples in parallel to minimize batch effects</w:t>
      </w:r>
      <w:r>
        <w:br/>
      </w:r>
      <w:r>
        <w:rPr>
          <w:sz w:val="20"/>
          <w:szCs w:val="20"/>
        </w:rPr>
        <w:t xml:space="preserve">• Include a hashing/multiplexing strategy if you have many conditions</w:t>
      </w:r>
      <w:r>
        <w:br/>
      </w:r>
      <w:r>
        <w:rPr>
          <w:sz w:val="20"/>
          <w:szCs w:val="20"/>
        </w:rPr>
        <w:t xml:space="preserve">• Budget for the bioinformatics — analysis time usually exceeds wet lab time</w:t>
      </w:r>
      <w:r>
        <w:br/>
      </w:r>
      <w:r>
        <w:rPr>
          <w:sz w:val="20"/>
          <w:szCs w:val="20"/>
        </w:rPr>
        <w:t xml:space="preserve"/>
      </w:r>
      <w:r>
        <w:br/>
      </w:r>
      <w:r>
        <w:rPr>
          <w:sz w:val="20"/>
          <w:szCs w:val="20"/>
        </w:rPr>
        <w:t xml:space="preserve">Our multi-omics decision framework at arminbayati.com</w:t>
      </w:r>
      <w:r>
        <w:br/>
      </w:r>
      <w:r>
        <w:rPr>
          <w:sz w:val="20"/>
          <w:szCs w:val="20"/>
        </w:rPr>
        <w:t xml:space="preserve"/>
      </w:r>
      <w:r>
        <w:br/>
      </w:r>
      <w:r>
        <w:rPr>
          <w:sz w:val="20"/>
          <w:szCs w:val="20"/>
        </w:rPr>
        <w:t xml:space="preserve">#scRNAseq #SingleCell #Genomics #ExperimentalDesign #CellBiology #LabTips</w:t>
      </w:r>
    </w:p>
    <w:p>
      <w:pPr>
        <w:pStyle w:val="Heading3"/>
      </w:pPr>
      <w:r>
        <w:t xml:space="preserve">Wednesday — DATA ANALYSIS</w:t>
      </w:r>
    </w:p>
    <w:p>
      <w:pPr>
        <w:spacing w:after="60"/>
      </w:pPr>
      <w:r>
        <w:rPr>
          <w:b/>
          <w:bCs/>
          <w:color w:val="6B7280"/>
          <w:sz w:val="20"/>
          <w:szCs w:val="20"/>
        </w:rPr>
        <w:t xml:space="preserve">Image: </w:t>
      </w:r>
      <w:r>
        <w:rPr>
          <w:color w:val="6B7280"/>
          <w:sz w:val="20"/>
          <w:szCs w:val="20"/>
        </w:rPr>
        <w:t xml:space="preserve">LI_S09_microscopy_ladder.jpg</w:t>
      </w:r>
    </w:p>
    <w:p>
      <w:pPr>
        <w:spacing w:after="60"/>
      </w:pPr>
      <w:r>
        <w:rPr>
          <w:b/>
          <w:bCs/>
          <w:sz w:val="22"/>
          <w:szCs w:val="22"/>
        </w:rPr>
        <w:t xml:space="preserve">Image Quantification: Stop Eyeballing and Start Measuring</w:t>
      </w:r>
    </w:p>
    <w:p>
      <w:pPr>
        <w:pBdr>
          <w:left w:val="single" w:color="E8E6E1" w:sz="6" w:space="8"/>
        </w:pBdr>
        <w:spacing w:after="200"/>
        <w:ind w:left="240"/>
      </w:pPr>
      <w:r>
        <w:rPr>
          <w:sz w:val="20"/>
          <w:szCs w:val="20"/>
        </w:rPr>
        <w:t xml:space="preserve">If you’re still selecting “representative images” for your figures and drawing conclusions from them, we need to talk.</w:t>
      </w:r>
      <w:r>
        <w:br/>
      </w:r>
      <w:r>
        <w:rPr>
          <w:sz w:val="20"/>
          <w:szCs w:val="20"/>
        </w:rPr>
        <w:t xml:space="preserve"/>
      </w:r>
      <w:r>
        <w:br/>
      </w:r>
      <w:r>
        <w:rPr>
          <w:sz w:val="20"/>
          <w:szCs w:val="20"/>
        </w:rPr>
        <w:t xml:space="preserve">Minimum standards for image quantification in 2026:</w:t>
      </w:r>
      <w:r>
        <w:br/>
      </w:r>
      <w:r>
        <w:rPr>
          <w:sz w:val="20"/>
          <w:szCs w:val="20"/>
        </w:rPr>
        <w:t xml:space="preserve"/>
      </w:r>
      <w:r>
        <w:br/>
      </w:r>
      <w:r>
        <w:rPr>
          <w:sz w:val="20"/>
          <w:szCs w:val="20"/>
        </w:rPr>
        <w:t xml:space="preserve">Sample size:</w:t>
      </w:r>
      <w:r>
        <w:br/>
      </w:r>
      <w:r>
        <w:rPr>
          <w:sz w:val="20"/>
          <w:szCs w:val="20"/>
        </w:rPr>
        <w:t xml:space="preserve">• Minimum 3 biological replicates (not technical replicates)</w:t>
      </w:r>
      <w:r>
        <w:br/>
      </w:r>
      <w:r>
        <w:rPr>
          <w:sz w:val="20"/>
          <w:szCs w:val="20"/>
        </w:rPr>
        <w:t xml:space="preserve">• Minimum 5 fields per replicate (10 is better)</w:t>
      </w:r>
      <w:r>
        <w:br/>
      </w:r>
      <w:r>
        <w:rPr>
          <w:sz w:val="20"/>
          <w:szCs w:val="20"/>
        </w:rPr>
        <w:t xml:space="preserve">• Blinded acquisition and analysis</w:t>
      </w:r>
      <w:r>
        <w:br/>
      </w:r>
      <w:r>
        <w:rPr>
          <w:sz w:val="20"/>
          <w:szCs w:val="20"/>
        </w:rPr>
        <w:t xml:space="preserve"/>
      </w:r>
      <w:r>
        <w:br/>
      </w:r>
      <w:r>
        <w:rPr>
          <w:sz w:val="20"/>
          <w:szCs w:val="20"/>
        </w:rPr>
        <w:t xml:space="preserve">Quantification approaches by question:</w:t>
      </w:r>
      <w:r>
        <w:br/>
      </w:r>
      <w:r>
        <w:rPr>
          <w:sz w:val="20"/>
          <w:szCs w:val="20"/>
        </w:rPr>
        <w:t xml:space="preserve">• Counting objects (puncta, inclusions): CellProfiler or ImageJ with automated pipelines</w:t>
      </w:r>
      <w:r>
        <w:br/>
      </w:r>
      <w:r>
        <w:rPr>
          <w:sz w:val="20"/>
          <w:szCs w:val="20"/>
        </w:rPr>
        <w:t xml:space="preserve">• Colocalization: Manders’ coefficients, NOT Pearson’s (Pearson’s is affected by signal intensity)</w:t>
      </w:r>
      <w:r>
        <w:br/>
      </w:r>
      <w:r>
        <w:rPr>
          <w:sz w:val="20"/>
          <w:szCs w:val="20"/>
        </w:rPr>
        <w:t xml:space="preserve">• Intensity measurements: background subtract first, normalize to cell area</w:t>
      </w:r>
      <w:r>
        <w:br/>
      </w:r>
      <w:r>
        <w:rPr>
          <w:sz w:val="20"/>
          <w:szCs w:val="20"/>
        </w:rPr>
        <w:t xml:space="preserve">• Morphology (cell shape, neurite length): automated tracing with NeuroMorpho or CellProfiler</w:t>
      </w:r>
      <w:r>
        <w:br/>
      </w:r>
      <w:r>
        <w:rPr>
          <w:sz w:val="20"/>
          <w:szCs w:val="20"/>
        </w:rPr>
        <w:t xml:space="preserve"/>
      </w:r>
      <w:r>
        <w:br/>
      </w:r>
      <w:r>
        <w:rPr>
          <w:sz w:val="20"/>
          <w:szCs w:val="20"/>
        </w:rPr>
        <w:t xml:space="preserve">Common mistakes:</w:t>
      </w:r>
      <w:r>
        <w:br/>
      </w:r>
      <w:r>
        <w:rPr>
          <w:sz w:val="20"/>
          <w:szCs w:val="20"/>
        </w:rPr>
        <w:t xml:space="preserve">• Adjusting brightness/contrast differently between conditions</w:t>
      </w:r>
      <w:r>
        <w:br/>
      </w:r>
      <w:r>
        <w:rPr>
          <w:sz w:val="20"/>
          <w:szCs w:val="20"/>
        </w:rPr>
        <w:t xml:space="preserve">• Saturated pixels (check your histogram!)</w:t>
      </w:r>
      <w:r>
        <w:br/>
      </w:r>
      <w:r>
        <w:rPr>
          <w:sz w:val="20"/>
          <w:szCs w:val="20"/>
        </w:rPr>
        <w:t xml:space="preserve">• Not controlling for cell density effects</w:t>
      </w:r>
      <w:r>
        <w:br/>
      </w:r>
      <w:r>
        <w:rPr>
          <w:sz w:val="20"/>
          <w:szCs w:val="20"/>
        </w:rPr>
        <w:t xml:space="preserve">• Cherry-picking fields instead of systematic random sampling</w:t>
      </w:r>
      <w:r>
        <w:br/>
      </w:r>
      <w:r>
        <w:rPr>
          <w:sz w:val="20"/>
          <w:szCs w:val="20"/>
        </w:rPr>
        <w:t xml:space="preserve"/>
      </w:r>
      <w:r>
        <w:br/>
      </w:r>
      <w:r>
        <w:rPr>
          <w:sz w:val="20"/>
          <w:szCs w:val="20"/>
        </w:rPr>
        <w:t xml:space="preserve">Your figures show representative images. Your stats show ALL images.</w:t>
      </w:r>
      <w:r>
        <w:br/>
      </w:r>
      <w:r>
        <w:rPr>
          <w:sz w:val="20"/>
          <w:szCs w:val="20"/>
        </w:rPr>
        <w:t xml:space="preserve"/>
      </w:r>
      <w:r>
        <w:br/>
      </w:r>
      <w:r>
        <w:rPr>
          <w:sz w:val="20"/>
          <w:szCs w:val="20"/>
        </w:rPr>
        <w:t xml:space="preserve">Microscopy techniques and analysis approaches at arminbayati.com</w:t>
      </w:r>
      <w:r>
        <w:br/>
      </w:r>
      <w:r>
        <w:rPr>
          <w:sz w:val="20"/>
          <w:szCs w:val="20"/>
        </w:rPr>
        <w:t xml:space="preserve"/>
      </w:r>
      <w:r>
        <w:br/>
      </w:r>
      <w:r>
        <w:rPr>
          <w:sz w:val="20"/>
          <w:szCs w:val="20"/>
        </w:rPr>
        <w:t xml:space="preserve">#ImageAnalysis #Microscopy #Quantification #CellBiology #Rigor #DataScience</w:t>
      </w:r>
    </w:p>
    <w:p>
      <w:pPr>
        <w:pStyle w:val="Heading3"/>
      </w:pPr>
      <w:r>
        <w:t xml:space="preserve">Friday — CAREER &amp; SCIENCE</w:t>
      </w:r>
    </w:p>
    <w:p>
      <w:pPr>
        <w:spacing w:after="60"/>
      </w:pPr>
      <w:r>
        <w:rPr>
          <w:b/>
          <w:bCs/>
          <w:color w:val="6B7280"/>
          <w:sz w:val="20"/>
          <w:szCs w:val="20"/>
        </w:rPr>
        <w:t xml:space="preserve">Image: </w:t>
      </w:r>
      <w:r>
        <w:rPr>
          <w:color w:val="6B7280"/>
          <w:sz w:val="20"/>
          <w:szCs w:val="20"/>
        </w:rPr>
        <w:t xml:space="preserve">LI_I01_dual_hit_model.jpg</w:t>
      </w:r>
    </w:p>
    <w:p>
      <w:pPr>
        <w:spacing w:after="60"/>
      </w:pPr>
      <w:r>
        <w:rPr>
          <w:b/>
          <w:bCs/>
          <w:sz w:val="22"/>
          <w:szCs w:val="22"/>
        </w:rPr>
        <w:t xml:space="preserve">The Experiment That Changed My Research Direction</w:t>
      </w:r>
    </w:p>
    <w:p>
      <w:pPr>
        <w:pBdr>
          <w:left w:val="single" w:color="E8E6E1" w:sz="6" w:space="8"/>
        </w:pBdr>
        <w:spacing w:after="200"/>
        <w:ind w:left="240"/>
      </w:pPr>
      <w:r>
        <w:rPr>
          <w:sz w:val="20"/>
          <w:szCs w:val="20"/>
        </w:rPr>
        <w:t xml:space="preserve">In 2021, I was treating iPSC neurons with PFFs alone and getting modest, irreproducible results. I almost abandoned the project.</w:t>
      </w:r>
      <w:r>
        <w:br/>
      </w:r>
      <w:r>
        <w:rPr>
          <w:sz w:val="20"/>
          <w:szCs w:val="20"/>
        </w:rPr>
        <w:t xml:space="preserve"/>
      </w:r>
      <w:r>
        <w:br/>
      </w:r>
      <w:r>
        <w:rPr>
          <w:sz w:val="20"/>
          <w:szCs w:val="20"/>
        </w:rPr>
        <w:t xml:space="preserve">Then a colleague suggested adding IFN-γ to model the inflammatory component. It was a small change — one extra cytokine, 10 ng/mL, added 24 hours after PFFs.</w:t>
      </w:r>
      <w:r>
        <w:br/>
      </w:r>
      <w:r>
        <w:rPr>
          <w:sz w:val="20"/>
          <w:szCs w:val="20"/>
        </w:rPr>
        <w:t xml:space="preserve"/>
      </w:r>
      <w:r>
        <w:br/>
      </w:r>
      <w:r>
        <w:rPr>
          <w:sz w:val="20"/>
          <w:szCs w:val="20"/>
        </w:rPr>
        <w:t xml:space="preserve">The effect was dramatic. Inclusion burden increased 4-fold. Autophagy collapsed. Cell death went from 10% to 40%. The dual-hit model gave us a robust, reproducible system that’s now the foundation of three ongoing projects.</w:t>
      </w:r>
      <w:r>
        <w:br/>
      </w:r>
      <w:r>
        <w:rPr>
          <w:sz w:val="20"/>
          <w:szCs w:val="20"/>
        </w:rPr>
        <w:t xml:space="preserve"/>
      </w:r>
      <w:r>
        <w:br/>
      </w:r>
      <w:r>
        <w:rPr>
          <w:sz w:val="20"/>
          <w:szCs w:val="20"/>
        </w:rPr>
        <w:t xml:space="preserve">What I learned:</w:t>
      </w:r>
      <w:r>
        <w:br/>
      </w:r>
      <w:r>
        <w:rPr>
          <w:sz w:val="20"/>
          <w:szCs w:val="20"/>
        </w:rPr>
        <w:t xml:space="preserve">• When your model isn’t working, consider what’s missing from the biology — not just what’s wrong with your protocol</w:t>
      </w:r>
      <w:r>
        <w:br/>
      </w:r>
      <w:r>
        <w:rPr>
          <w:sz w:val="20"/>
          <w:szCs w:val="20"/>
        </w:rPr>
        <w:t xml:space="preserve">• Talking to colleagues outside your immediate field (in my case, an immunologist) can unlock new approaches</w:t>
      </w:r>
      <w:r>
        <w:br/>
      </w:r>
      <w:r>
        <w:rPr>
          <w:sz w:val="20"/>
          <w:szCs w:val="20"/>
        </w:rPr>
        <w:t xml:space="preserve">• The best experiments come from biological reasoning, not just protocol optimization</w:t>
      </w:r>
      <w:r>
        <w:br/>
      </w:r>
      <w:r>
        <w:rPr>
          <w:sz w:val="20"/>
          <w:szCs w:val="20"/>
        </w:rPr>
        <w:t xml:space="preserve">• Negative results are data. Weak results are a signal to add complexity, not give up.</w:t>
      </w:r>
      <w:r>
        <w:br/>
      </w:r>
      <w:r>
        <w:rPr>
          <w:sz w:val="20"/>
          <w:szCs w:val="20"/>
        </w:rPr>
        <w:t xml:space="preserve"/>
      </w:r>
      <w:r>
        <w:br/>
      </w:r>
      <w:r>
        <w:rPr>
          <w:sz w:val="20"/>
          <w:szCs w:val="20"/>
        </w:rPr>
        <w:t xml:space="preserve">This experience shaped everything I’ve built since — from disease models to drug screens to the interactive research portfolio I’ve been sharing throughout this series.</w:t>
      </w:r>
      <w:r>
        <w:br/>
      </w:r>
      <w:r>
        <w:rPr>
          <w:sz w:val="20"/>
          <w:szCs w:val="20"/>
        </w:rPr>
        <w:t xml:space="preserve"/>
      </w:r>
      <w:r>
        <w:br/>
      </w:r>
      <w:r>
        <w:rPr>
          <w:sz w:val="20"/>
          <w:szCs w:val="20"/>
        </w:rPr>
        <w:t xml:space="preserve">If any of these schematics or experimental tips have been useful, you can explore all the interactive versions and the full research portfolio at arminbayati.com</w:t>
      </w:r>
      <w:r>
        <w:br/>
      </w:r>
      <w:r>
        <w:rPr>
          <w:sz w:val="20"/>
          <w:szCs w:val="20"/>
        </w:rPr>
        <w:t xml:space="preserve"/>
      </w:r>
      <w:r>
        <w:br/>
      </w:r>
      <w:r>
        <w:rPr>
          <w:sz w:val="20"/>
          <w:szCs w:val="20"/>
        </w:rPr>
        <w:t xml:space="preserve">#ResearchLife #CellBiology #iPSCNeurons #DiseaseModeling #ScienceCommunication #AcademicLife</w:t>
      </w:r>
    </w:p>
    <w:p>
      <w:r>
        <w:br w:type="page"/>
      </w:r>
    </w:p>
    <w:p>
      <w:pPr>
        <w:pStyle w:val="Heading1"/>
      </w:pPr>
      <w:r>
        <w:t xml:space="preserve">Engagement Playbook</w:t>
      </w:r>
    </w:p>
    <w:p>
      <w:pPr>
        <w:pStyle w:val="Heading2"/>
      </w:pPr>
      <w:r>
        <w:t xml:space="preserve">Before Posting</w:t>
      </w:r>
    </w:p>
    <w:p>
      <w:pPr>
        <w:pStyle w:val="ListParagraph"/>
        <w:numPr>
          <w:ilvl w:val="0"/>
          <w:numId w:val="2"/>
        </w:numPr>
        <w:spacing w:after="80"/>
      </w:pPr>
      <w:r>
        <w:t xml:space="preserve">Spend 10–15 minutes engaging with posts in your feed (comment substantively, not just “great post!”).</w:t>
      </w:r>
    </w:p>
    <w:p>
      <w:pPr>
        <w:pStyle w:val="ListParagraph"/>
        <w:numPr>
          <w:ilvl w:val="0"/>
          <w:numId w:val="2"/>
        </w:numPr>
        <w:spacing w:after="80"/>
      </w:pPr>
      <w:r>
        <w:t xml:space="preserve">Identify 2–3 scientists to tag in comments (not in the post body) who would find the content relevant.</w:t>
      </w:r>
    </w:p>
    <w:p>
      <w:pPr>
        <w:pStyle w:val="ListParagraph"/>
        <w:numPr>
          <w:ilvl w:val="0"/>
          <w:numId w:val="2"/>
        </w:numPr>
        <w:spacing w:after="200"/>
      </w:pPr>
      <w:r>
        <w:t xml:space="preserve">Check image preview renders correctly before publishing.</w:t>
      </w:r>
    </w:p>
    <w:p>
      <w:pPr>
        <w:pStyle w:val="Heading2"/>
      </w:pPr>
      <w:r>
        <w:t xml:space="preserve">After Posting (First Hour)</w:t>
      </w:r>
    </w:p>
    <w:p>
      <w:pPr>
        <w:pStyle w:val="ListParagraph"/>
        <w:numPr>
          <w:ilvl w:val="0"/>
          <w:numId w:val="2"/>
        </w:numPr>
        <w:spacing w:after="80"/>
      </w:pPr>
      <w:r>
        <w:t xml:space="preserve">Drop the direct link to the interactive schematic as the </w:t>
      </w:r>
      <w:r>
        <w:rPr>
          <w:b/>
          <w:bCs/>
        </w:rPr>
        <w:t xml:space="preserve">first comment</w:t>
      </w:r>
      <w:r>
        <w:t xml:space="preserve"> (not in the post body — LinkedIn deprioritizes posts with external links).</w:t>
      </w:r>
    </w:p>
    <w:p>
      <w:pPr>
        <w:pStyle w:val="ListParagraph"/>
        <w:numPr>
          <w:ilvl w:val="0"/>
          <w:numId w:val="2"/>
        </w:numPr>
        <w:spacing w:after="80"/>
      </w:pPr>
      <w:r>
        <w:t xml:space="preserve">Reply to every comment within 30–60 minutes. Early engagement signals boost visibility.</w:t>
      </w:r>
    </w:p>
    <w:p>
      <w:pPr>
        <w:pStyle w:val="ListParagraph"/>
        <w:numPr>
          <w:ilvl w:val="0"/>
          <w:numId w:val="2"/>
        </w:numPr>
        <w:spacing w:after="200"/>
      </w:pPr>
      <w:r>
        <w:t xml:space="preserve">Share to 1–2 relevant LinkedIn groups.</w:t>
      </w:r>
    </w:p>
    <w:p>
      <w:pPr>
        <w:pStyle w:val="Heading2"/>
      </w:pPr>
      <w:r>
        <w:t xml:space="preserve">Growth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0F1419" w:val="clear"/>
            <w:tcMar>
              <w:top w:type="dxa" w:w="80"/>
              <w:left w:type="dxa" w:w="120"/>
              <w:bottom w:type="dxa" w:w="80"/>
              <w:right w:type="dxa" w:w="120"/>
            </w:tcMar>
          </w:tcPr>
          <w:p>
            <w:r>
              <w:rPr>
                <w:b/>
                <w:bCs/>
                <w:color w:val="FFFFFF"/>
                <w:sz w:val="20"/>
                <w:szCs w:val="20"/>
              </w:rPr>
              <w:t xml:space="preserve">Timeframe</w:t>
            </w:r>
          </w:p>
        </w:tc>
        <w:tc>
          <w:tcPr>
            <w:tcW w:type="dxa" w:w="2400"/>
            <w:tcBorders>
              <w:top w:val="single" w:color="CCCCCC" w:sz="1"/>
              <w:left w:val="single" w:color="CCCCCC" w:sz="1"/>
              <w:bottom w:val="single" w:color="CCCCCC" w:sz="1"/>
              <w:right w:val="single" w:color="CCCCCC" w:sz="1"/>
            </w:tcBorders>
            <w:shd w:fill="0F1419" w:val="clear"/>
            <w:tcMar>
              <w:top w:type="dxa" w:w="80"/>
              <w:left w:type="dxa" w:w="120"/>
              <w:bottom w:type="dxa" w:w="80"/>
              <w:right w:type="dxa" w:w="120"/>
            </w:tcMar>
          </w:tcPr>
          <w:p>
            <w:r>
              <w:rPr>
                <w:b/>
                <w:bCs/>
                <w:color w:val="FFFFFF"/>
                <w:sz w:val="20"/>
                <w:szCs w:val="20"/>
              </w:rPr>
              <w:t xml:space="preserve">Target</w:t>
            </w:r>
          </w:p>
        </w:tc>
        <w:tc>
          <w:tcPr>
            <w:tcW w:type="dxa" w:w="4960"/>
            <w:tcBorders>
              <w:top w:val="single" w:color="CCCCCC" w:sz="1"/>
              <w:left w:val="single" w:color="CCCCCC" w:sz="1"/>
              <w:bottom w:val="single" w:color="CCCCCC" w:sz="1"/>
              <w:right w:val="single" w:color="CCCCCC" w:sz="1"/>
            </w:tcBorders>
            <w:shd w:fill="0F1419" w:val="clear"/>
            <w:tcMar>
              <w:top w:type="dxa" w:w="80"/>
              <w:left w:type="dxa" w:w="120"/>
              <w:bottom w:type="dxa" w:w="80"/>
              <w:right w:type="dxa" w:w="120"/>
            </w:tcMar>
          </w:tcPr>
          <w:p>
            <w:r>
              <w:rPr>
                <w:b/>
                <w:bCs/>
                <w:color w:val="FFFFFF"/>
                <w:sz w:val="20"/>
                <w:szCs w:val="20"/>
              </w:rPr>
              <w:t xml:space="preserve">Key Actions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Weeks 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200+ connections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Consistent posting; engage with cell biology, neuroscience, and drug discovery communities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Weeks 4–6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500+ impressions/post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Cross-post to groups; start comment threads; get reposts from peers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Weeks 7–8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1000+ followers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Tag collaborators; get featured in group highlights; optimize based on top-performing posts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Weeks 9–10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50+ weekly site visits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Plan Phase 2: video walkthroughs of interactive schematics (highest engagement format)</w:t>
            </w:r>
          </w:p>
        </w:tc>
      </w:tr>
    </w:tbl>
    <w:p>
      <w:r>
        <w:br w:type="page"/>
      </w:r>
    </w:p>
    <w:p>
      <w:pPr>
        <w:pStyle w:val="Heading1"/>
      </w:pPr>
      <w:r>
        <w:t xml:space="preserve">Image Asset Inventory</w:t>
      </w:r>
    </w:p>
    <w:p>
      <w:pPr>
        <w:spacing w:after="200"/>
      </w:pPr>
      <w:r>
        <w:t xml:space="preserve">All 20 branded screenshots are in the </w:t>
      </w:r>
      <w:r>
        <w:rPr>
          <w:b/>
          <w:bCs/>
        </w:rPr>
        <w:t xml:space="preserve">linkedin-assets/</w:t>
      </w:r>
      <w:r>
        <w:t xml:space="preserve"> folder (1200×627px, LinkedIn-optimized with branded footer).</w:t>
      </w:r>
    </w:p>
    <w:p>
      <w:pPr>
        <w:pStyle w:val="Heading2"/>
      </w:pPr>
      <w:r>
        <w:t xml:space="preserve">New Schematics (LI_S01–S12)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F1419" w:val="clear"/>
            <w:tcMar>
              <w:top w:type="dxa" w:w="80"/>
              <w:left w:type="dxa" w:w="120"/>
              <w:bottom w:type="dxa" w:w="80"/>
              <w:right w:type="dxa" w:w="120"/>
            </w:tcMar>
          </w:tcPr>
          <w:p>
            <w:r>
              <w:rPr>
                <w:b/>
                <w:bCs/>
                <w:color w:val="FFFFFF"/>
                <w:sz w:val="18"/>
                <w:szCs w:val="18"/>
              </w:rPr>
              <w:t xml:space="preserve">Filename</w:t>
            </w:r>
          </w:p>
        </w:tc>
        <w:tc>
          <w:tcPr>
            <w:tcW w:type="dxa" w:w="5760"/>
            <w:tcBorders>
              <w:top w:val="single" w:color="CCCCCC" w:sz="1"/>
              <w:left w:val="single" w:color="CCCCCC" w:sz="1"/>
              <w:bottom w:val="single" w:color="CCCCCC" w:sz="1"/>
              <w:right w:val="single" w:color="CCCCCC" w:sz="1"/>
            </w:tcBorders>
            <w:shd w:fill="0F1419" w:val="clear"/>
            <w:tcMar>
              <w:top w:type="dxa" w:w="80"/>
              <w:left w:type="dxa" w:w="120"/>
              <w:bottom w:type="dxa" w:w="80"/>
              <w:right w:type="dxa" w:w="120"/>
            </w:tcMar>
          </w:tcPr>
          <w:p>
            <w:r>
              <w:rPr>
                <w:b/>
                <w:bCs/>
                <w:color w:val="FFFFFF"/>
                <w:sz w:val="18"/>
                <w:szCs w:val="18"/>
              </w:rPr>
              <w:t xml:space="preserve">Topic</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LI_S01_endolysosomal_trafficking.jpg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Endolysosomal trafficking pathway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LI_S02_autophagy_lysosome.jpg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Autophagy-lysosome degradation axis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LI_S03_proteostasis_network.jpg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Cellular proteostasis network</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LI_S04_membrane_dynamics.jpg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Membrane dynamics &amp; organelle contact sites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LI_S05_lysosomal_biology.jpg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Lysosomal biology (healthy vs. disease)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LI_S06_signaling_crosstalk.jpg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Inflammatory signaling crosstalk</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LI_S07_ipsc_pipeline.jpg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iPSC disease modeling pipeline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LI_S08_flow_cytometry.jpg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Multiparameter flow cytometry panels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LI_S09_microscopy_ladder.jpg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Microscopy resolution ladder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LI_S10_drug_screening.jpg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Phenotypic drug screening cascade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LI_S11_exosome_propagation.jpg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Exosome-mediated propagation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LI_S12_multiomics.jpg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Multi-omics data integration</w:t>
            </w:r>
          </w:p>
        </w:tc>
      </w:tr>
    </w:tbl>
    <w:p>
      <w:pPr>
        <w:pStyle w:val="Heading2"/>
        <w:spacing w:before="300"/>
      </w:pPr>
      <w:r>
        <w:t xml:space="preserve">Interactive Figure Screenshots (LI_I01–I08)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F1419" w:val="clear"/>
            <w:tcMar>
              <w:top w:type="dxa" w:w="80"/>
              <w:left w:type="dxa" w:w="120"/>
              <w:bottom w:type="dxa" w:w="80"/>
              <w:right w:type="dxa" w:w="120"/>
            </w:tcMar>
          </w:tcPr>
          <w:p>
            <w:r>
              <w:rPr>
                <w:b/>
                <w:bCs/>
                <w:color w:val="FFFFFF"/>
                <w:sz w:val="18"/>
                <w:szCs w:val="18"/>
              </w:rPr>
              <w:t xml:space="preserve">Filename</w:t>
            </w:r>
          </w:p>
        </w:tc>
        <w:tc>
          <w:tcPr>
            <w:tcW w:type="dxa" w:w="5760"/>
            <w:tcBorders>
              <w:top w:val="single" w:color="CCCCCC" w:sz="1"/>
              <w:left w:val="single" w:color="CCCCCC" w:sz="1"/>
              <w:bottom w:val="single" w:color="CCCCCC" w:sz="1"/>
              <w:right w:val="single" w:color="CCCCCC" w:sz="1"/>
            </w:tcBorders>
            <w:shd w:fill="0F1419" w:val="clear"/>
            <w:tcMar>
              <w:top w:type="dxa" w:w="80"/>
              <w:left w:type="dxa" w:w="120"/>
              <w:bottom w:type="dxa" w:w="80"/>
              <w:right w:type="dxa" w:w="120"/>
            </w:tcMar>
          </w:tcPr>
          <w:p>
            <w:r>
              <w:rPr>
                <w:b/>
                <w:bCs/>
                <w:color w:val="FFFFFF"/>
                <w:sz w:val="18"/>
                <w:szCs w:val="18"/>
              </w:rPr>
              <w:t xml:space="preserve">Source Figure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LI_I01_dual_hit_model.jpg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Dual-hit neurodegeneration model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LI_I02_ipsc_lineage.jpg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iPSC differentiation &amp; lineage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LI_I03_synuclein_propagation.jpg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α-Synuclein propagation pathway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LI_I04_drug_pipeline.jpg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Drug discovery pipeline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LI_I05_cardio_platform.jpg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Cardiomyocyte platform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LI_I06_crispr_workflow.jpg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CRISPR gene editing workflow</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LI_I07_immunooncology.jpg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Immuno-oncology platform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LI_I08_omics_pipeline.jpg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Multi-omics analysis pipeline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LinkedIn Content Strategy  |  </w:t>
    </w:r>
    <w:r>
      <w:rPr>
        <w:rFonts w:ascii="Arial" w:cs="Arial" w:eastAsia="Arial" w:hAnsi="Arial"/>
        <w:b/>
        <w:bCs/>
        <w:color w:val="C0392B"/>
        <w:sz w:val="16"/>
        <w:szCs w:val="16"/>
      </w:rPr>
      <w:t xml:space="preserve">Armin Bayati, PhD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41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141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C039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2026-03-08T20:03:20.503Z</dcterms:created>
  <dcterms:modified xsi:type="dcterms:W3CDTF">2026-03-08T20:03:20.503Z</dcterms:modified>
</cp:coreProperties>
</file>

<file path=docProps/custom.xml><?xml version="1.0" encoding="utf-8"?>
<Properties xmlns="http://schemas.openxmlformats.org/officeDocument/2006/custom-properties" xmlns:vt="http://schemas.openxmlformats.org/officeDocument/2006/docPropsVTypes"/>
</file>