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4C829" w14:textId="77777777" w:rsidR="00C416D4" w:rsidRPr="00C416D4" w:rsidRDefault="00C416D4" w:rsidP="00C416D4">
      <w:pPr>
        <w:rPr>
          <w:b/>
          <w:bCs/>
        </w:rPr>
      </w:pPr>
      <w:r w:rsidRPr="00C416D4">
        <w:rPr>
          <w:b/>
          <w:bCs/>
        </w:rPr>
        <w:t>A Hierarchical, Self</w:t>
      </w:r>
      <w:r w:rsidRPr="00C416D4">
        <w:rPr>
          <w:b/>
          <w:bCs/>
        </w:rPr>
        <w:noBreakHyphen/>
        <w:t>Decoding Observer Address for Galactic and Intergalactic Localization</w:t>
      </w:r>
    </w:p>
    <w:p w14:paraId="7F5FB7BD" w14:textId="77777777" w:rsidR="00C416D4" w:rsidRPr="00C416D4" w:rsidRDefault="00C416D4" w:rsidP="00C416D4">
      <w:r w:rsidRPr="00C416D4">
        <w:rPr>
          <w:b/>
          <w:bCs/>
        </w:rPr>
        <w:t>Authors:</w:t>
      </w:r>
      <w:r w:rsidRPr="00C416D4">
        <w:t xml:space="preserve"> Eric D. Martin &amp; ChatGPT (OpenAI)</w:t>
      </w:r>
      <w:r w:rsidRPr="00C416D4">
        <w:br/>
      </w:r>
      <w:r w:rsidRPr="00C416D4">
        <w:rPr>
          <w:b/>
          <w:bCs/>
        </w:rPr>
        <w:t>Affiliation:</w:t>
      </w:r>
      <w:r w:rsidRPr="00C416D4">
        <w:t xml:space="preserve"> [Your Institution or Affiliation]</w:t>
      </w:r>
      <w:r w:rsidRPr="00C416D4">
        <w:br/>
      </w:r>
      <w:r w:rsidRPr="00C416D4">
        <w:rPr>
          <w:b/>
          <w:bCs/>
        </w:rPr>
        <w:t>Date:</w:t>
      </w:r>
      <w:r w:rsidRPr="00C416D4">
        <w:t xml:space="preserve"> August 10, 2025</w:t>
      </w:r>
    </w:p>
    <w:p w14:paraId="1618CE9D" w14:textId="77777777" w:rsidR="00C416D4" w:rsidRPr="00C416D4" w:rsidRDefault="00C416D4" w:rsidP="00C416D4">
      <w:pPr>
        <w:rPr>
          <w:b/>
          <w:bCs/>
        </w:rPr>
      </w:pPr>
      <w:r w:rsidRPr="00C416D4">
        <w:rPr>
          <w:b/>
          <w:bCs/>
        </w:rPr>
        <w:t>Abstract</w:t>
      </w:r>
    </w:p>
    <w:p w14:paraId="50BB27BD" w14:textId="77777777" w:rsidR="00C416D4" w:rsidRPr="00C416D4" w:rsidRDefault="00C416D4" w:rsidP="00C416D4">
      <w:r w:rsidRPr="00C416D4">
        <w:t>We propose a fixed</w:t>
      </w:r>
      <w:r w:rsidRPr="00C416D4">
        <w:noBreakHyphen/>
        <w:t>width, single</w:t>
      </w:r>
      <w:r w:rsidRPr="00C416D4">
        <w:noBreakHyphen/>
        <w:t xml:space="preserve">line observer address that enables any technical civilization—or autonomous AI—to determine </w:t>
      </w:r>
      <w:r w:rsidRPr="00C416D4">
        <w:rPr>
          <w:b/>
          <w:bCs/>
        </w:rPr>
        <w:t>where</w:t>
      </w:r>
      <w:r w:rsidRPr="00C416D4">
        <w:t xml:space="preserve"> and </w:t>
      </w:r>
      <w:r w:rsidRPr="00C416D4">
        <w:rPr>
          <w:b/>
          <w:bCs/>
        </w:rPr>
        <w:t>when</w:t>
      </w:r>
      <w:r w:rsidRPr="00C416D4">
        <w:t xml:space="preserve"> an observation occurred, both on Earth and in a universal frame, </w:t>
      </w:r>
      <w:r w:rsidRPr="00C416D4">
        <w:rPr>
          <w:b/>
          <w:bCs/>
        </w:rPr>
        <w:t>without auxiliary metadata</w:t>
      </w:r>
      <w:r w:rsidRPr="00C416D4">
        <w:t xml:space="preserve">. The format combines a compact </w:t>
      </w:r>
      <w:r w:rsidRPr="00C416D4">
        <w:rPr>
          <w:b/>
          <w:bCs/>
        </w:rPr>
        <w:t>Milky Way Prefix (MWP)</w:t>
      </w:r>
      <w:r w:rsidRPr="00C416D4">
        <w:t xml:space="preserve"> for intergalactic orientation with an Earth</w:t>
      </w:r>
      <w:r w:rsidRPr="00C416D4">
        <w:noBreakHyphen/>
        <w:t xml:space="preserve">actionable </w:t>
      </w:r>
      <w:r w:rsidRPr="00C416D4">
        <w:rPr>
          <w:b/>
          <w:bCs/>
        </w:rPr>
        <w:t>Observer Address (OA)</w:t>
      </w:r>
      <w:r w:rsidRPr="00C416D4">
        <w:t xml:space="preserve"> for immediate geodetic use. The frozen </w:t>
      </w:r>
      <w:r w:rsidRPr="00C416D4">
        <w:rPr>
          <w:b/>
          <w:bCs/>
        </w:rPr>
        <w:t>OA v0.9</w:t>
      </w:r>
      <w:r w:rsidRPr="00C416D4">
        <w:t xml:space="preserve"> is </w:t>
      </w:r>
      <w:r w:rsidRPr="00C416D4">
        <w:rPr>
          <w:b/>
          <w:bCs/>
        </w:rPr>
        <w:t>99 characters</w:t>
      </w:r>
      <w:r w:rsidRPr="00C416D4">
        <w:t xml:space="preserve"> and includes UTC time, WGS</w:t>
      </w:r>
      <w:r w:rsidRPr="00C416D4">
        <w:noBreakHyphen/>
        <w:t>84 geodetic coordinates, Earth</w:t>
      </w:r>
      <w:r w:rsidRPr="00C416D4">
        <w:noBreakHyphen/>
        <w:t>Centered Earth</w:t>
      </w:r>
      <w:r w:rsidRPr="00C416D4">
        <w:noBreakHyphen/>
        <w:t>Fixed (ECEF) Cartesian vectors, uncertainty fields, a timing</w:t>
      </w:r>
      <w:r w:rsidRPr="00C416D4">
        <w:noBreakHyphen/>
        <w:t xml:space="preserve">class flag, and a </w:t>
      </w:r>
      <w:r w:rsidRPr="00C416D4">
        <w:rPr>
          <w:b/>
          <w:bCs/>
        </w:rPr>
        <w:t>CRC32C</w:t>
      </w:r>
      <w:r w:rsidRPr="00C416D4">
        <w:rPr>
          <w:b/>
          <w:bCs/>
        </w:rPr>
        <w:noBreakHyphen/>
        <w:t>24</w:t>
      </w:r>
      <w:r w:rsidRPr="00C416D4">
        <w:t xml:space="preserve"> checksum. The </w:t>
      </w:r>
      <w:r w:rsidRPr="00C416D4">
        <w:rPr>
          <w:b/>
          <w:bCs/>
        </w:rPr>
        <w:t>MWP v01</w:t>
      </w:r>
      <w:r w:rsidRPr="00C416D4">
        <w:t xml:space="preserve"> encodes bright sky anchors (Sgr A*, M31) in </w:t>
      </w:r>
      <w:r w:rsidRPr="00C416D4">
        <w:rPr>
          <w:b/>
          <w:bCs/>
        </w:rPr>
        <w:t>ICRS/ICRF3 (J2000.0)</w:t>
      </w:r>
      <w:r w:rsidRPr="00C416D4">
        <w:t xml:space="preserve"> plus galactic constants and a </w:t>
      </w:r>
      <w:r w:rsidRPr="00C416D4">
        <w:rPr>
          <w:b/>
          <w:bCs/>
        </w:rPr>
        <w:t>CRC</w:t>
      </w:r>
      <w:r w:rsidRPr="00C416D4">
        <w:rPr>
          <w:b/>
          <w:bCs/>
        </w:rPr>
        <w:noBreakHyphen/>
        <w:t>16/X25</w:t>
      </w:r>
      <w:r w:rsidRPr="00C416D4">
        <w:t xml:space="preserve"> checksum; optional </w:t>
      </w:r>
      <w:r w:rsidRPr="00C416D4">
        <w:rPr>
          <w:b/>
          <w:bCs/>
        </w:rPr>
        <w:t>v01.1</w:t>
      </w:r>
      <w:r w:rsidRPr="00C416D4">
        <w:t xml:space="preserve"> adds a constants</w:t>
      </w:r>
      <w:r w:rsidRPr="00C416D4">
        <w:noBreakHyphen/>
        <w:t>version code and reference year. Design choices align with WGS</w:t>
      </w:r>
      <w:r w:rsidRPr="00C416D4">
        <w:noBreakHyphen/>
        <w:t xml:space="preserve">84/ITRF, IERS conventions, ICRS/ICRF3, and reproducible beacons (e.g., CMB, quasars/pulsars). We also specify a strict </w:t>
      </w:r>
      <w:r w:rsidRPr="00C416D4">
        <w:rPr>
          <w:b/>
          <w:bCs/>
        </w:rPr>
        <w:t>Transport mode</w:t>
      </w:r>
      <w:r w:rsidRPr="00C416D4">
        <w:t xml:space="preserve"> for bandwidth</w:t>
      </w:r>
      <w:r w:rsidRPr="00C416D4">
        <w:noBreakHyphen/>
        <w:t>efficient lossless carriage and optional, non</w:t>
      </w:r>
      <w:r w:rsidRPr="00C416D4">
        <w:noBreakHyphen/>
        <w:t>breaking blocks that future</w:t>
      </w:r>
      <w:r w:rsidRPr="00C416D4">
        <w:noBreakHyphen/>
        <w:t>proof the address for strong</w:t>
      </w:r>
      <w:r w:rsidRPr="00C416D4">
        <w:noBreakHyphen/>
        <w:t>field and atypical worldline contexts.</w:t>
      </w:r>
    </w:p>
    <w:p w14:paraId="36F05B2C" w14:textId="77777777" w:rsidR="00C416D4" w:rsidRPr="00C416D4" w:rsidRDefault="00C416D4" w:rsidP="00C416D4">
      <w:r w:rsidRPr="00C416D4">
        <w:rPr>
          <w:b/>
          <w:bCs/>
        </w:rPr>
        <w:t>Keywords:</w:t>
      </w:r>
      <w:r w:rsidRPr="00C416D4">
        <w:t xml:space="preserve"> observer address; WGS</w:t>
      </w:r>
      <w:r w:rsidRPr="00C416D4">
        <w:noBreakHyphen/>
        <w:t>84; ITRF; ICRF3/ICRS; CRC32C; CMB rest frame; pulsars; reproducibility</w:t>
      </w:r>
    </w:p>
    <w:p w14:paraId="3DE674D6" w14:textId="77777777" w:rsidR="00C416D4" w:rsidRPr="00C416D4" w:rsidRDefault="00C416D4" w:rsidP="00C416D4">
      <w:r w:rsidRPr="00C416D4">
        <w:pict w14:anchorId="16E41454">
          <v:rect id="_x0000_i1085" style="width:0;height:1.5pt" o:hralign="center" o:hrstd="t" o:hr="t" fillcolor="#a0a0a0" stroked="f"/>
        </w:pict>
      </w:r>
    </w:p>
    <w:p w14:paraId="4D1D0504" w14:textId="77777777" w:rsidR="00C416D4" w:rsidRPr="00C416D4" w:rsidRDefault="00C416D4" w:rsidP="00C416D4">
      <w:pPr>
        <w:rPr>
          <w:b/>
          <w:bCs/>
        </w:rPr>
      </w:pPr>
      <w:r w:rsidRPr="00C416D4">
        <w:rPr>
          <w:b/>
          <w:bCs/>
        </w:rPr>
        <w:t>1. Background and Rationale</w:t>
      </w:r>
    </w:p>
    <w:p w14:paraId="6D564B09" w14:textId="77777777" w:rsidR="00C416D4" w:rsidRPr="00C416D4" w:rsidRDefault="00C416D4" w:rsidP="00C416D4">
      <w:r w:rsidRPr="00C416D4">
        <w:t>High</w:t>
      </w:r>
      <w:r w:rsidRPr="00C416D4">
        <w:noBreakHyphen/>
        <w:t>fidelity localization in scientific records requires both a terrestrial reference (to be actionable on Earth) and a cosmic reference (to be interpretable anywhere). WGS</w:t>
      </w:r>
      <w:r w:rsidRPr="00C416D4">
        <w:noBreakHyphen/>
        <w:t>84 and the International Terrestrial Reference Frame (ITRF) deliver globally interoperable geodetic coordinates, while the International Celestial Reference System (ICRS)—realized today by ICRF3—provides the inertial, extragalactic axis system used in precision astronomy and deep</w:t>
      </w:r>
      <w:r w:rsidRPr="00C416D4">
        <w:noBreakHyphen/>
        <w:t xml:space="preserve">space navigation. The cosmic microwave background (CMB) dipole offers a universal rest frame, and the ΛCDM scale factor </w:t>
      </w:r>
      <w:r w:rsidRPr="00C416D4">
        <w:rPr>
          <w:i/>
          <w:iCs/>
        </w:rPr>
        <w:t>a</w:t>
      </w:r>
      <w:r w:rsidRPr="00C416D4">
        <w:t xml:space="preserve"> supplies a cosmological clock. Together these elements enable a self</w:t>
      </w:r>
      <w:r w:rsidRPr="00C416D4">
        <w:noBreakHyphen/>
        <w:t>decoding address that is durable across epochs and cultures.</w:t>
      </w:r>
    </w:p>
    <w:p w14:paraId="22897748" w14:textId="77777777" w:rsidR="00C416D4" w:rsidRPr="00C416D4" w:rsidRDefault="00C416D4" w:rsidP="00C416D4">
      <w:r w:rsidRPr="00C416D4">
        <w:pict w14:anchorId="46EC8AD8">
          <v:rect id="_x0000_i1086" style="width:0;height:1.5pt" o:hralign="center" o:hrstd="t" o:hr="t" fillcolor="#a0a0a0" stroked="f"/>
        </w:pict>
      </w:r>
    </w:p>
    <w:p w14:paraId="0EB1C4EC" w14:textId="77777777" w:rsidR="00C416D4" w:rsidRPr="00C416D4" w:rsidRDefault="00C416D4" w:rsidP="00C416D4">
      <w:pPr>
        <w:rPr>
          <w:b/>
          <w:bCs/>
        </w:rPr>
      </w:pPr>
      <w:r w:rsidRPr="00C416D4">
        <w:rPr>
          <w:b/>
          <w:bCs/>
        </w:rPr>
        <w:t>2. Address Format (Fixed</w:t>
      </w:r>
      <w:r w:rsidRPr="00C416D4">
        <w:rPr>
          <w:b/>
          <w:bCs/>
        </w:rPr>
        <w:noBreakHyphen/>
        <w:t>Width, Single Line)</w:t>
      </w:r>
    </w:p>
    <w:p w14:paraId="54DC5B50" w14:textId="77777777" w:rsidR="00C416D4" w:rsidRPr="00C416D4" w:rsidRDefault="00C416D4" w:rsidP="00C416D4">
      <w:r w:rsidRPr="00C416D4">
        <w:lastRenderedPageBreak/>
        <w:t xml:space="preserve">A record consists of a </w:t>
      </w:r>
      <w:r w:rsidRPr="00C416D4">
        <w:rPr>
          <w:b/>
          <w:bCs/>
        </w:rPr>
        <w:t>Milky Way Prefix (MWP v01)</w:t>
      </w:r>
      <w:r w:rsidRPr="00C416D4">
        <w:t xml:space="preserve"> followed by an </w:t>
      </w:r>
      <w:r w:rsidRPr="00C416D4">
        <w:rPr>
          <w:b/>
          <w:bCs/>
        </w:rPr>
        <w:t>Observer Address (OA v0.9)</w:t>
      </w:r>
      <w:r w:rsidRPr="00C416D4">
        <w:t>. No delimiters are required; each field has a fixed width and explicit sign padding for machine parsing in low</w:t>
      </w:r>
      <w:r w:rsidRPr="00C416D4">
        <w:noBreakHyphen/>
        <w:t>context settings.</w:t>
      </w:r>
    </w:p>
    <w:p w14:paraId="24A7F424" w14:textId="77777777" w:rsidR="00C416D4" w:rsidRPr="00C416D4" w:rsidRDefault="00C416D4" w:rsidP="00C416D4">
      <w:pPr>
        <w:rPr>
          <w:b/>
          <w:bCs/>
        </w:rPr>
      </w:pPr>
      <w:r w:rsidRPr="00C416D4">
        <w:rPr>
          <w:b/>
          <w:bCs/>
        </w:rPr>
        <w:t>2.1 Milky Way Prefix (MWP v01 / v01.1)</w:t>
      </w:r>
    </w:p>
    <w:p w14:paraId="5A4DC804" w14:textId="77777777" w:rsidR="00C416D4" w:rsidRPr="00C416D4" w:rsidRDefault="00C416D4" w:rsidP="00C416D4">
      <w:r w:rsidRPr="00C416D4">
        <w:rPr>
          <w:b/>
          <w:bCs/>
        </w:rPr>
        <w:t>Purpose.</w:t>
      </w:r>
      <w:r w:rsidRPr="00C416D4">
        <w:t xml:space="preserve"> Provide universal orientation and epoch context sufficient to locate the Milky Way and align celestial frames without Earth</w:t>
      </w:r>
      <w:r w:rsidRPr="00C416D4">
        <w:noBreakHyphen/>
        <w:t>specific prior.</w:t>
      </w:r>
    </w:p>
    <w:p w14:paraId="74FF3178" w14:textId="77777777" w:rsidR="00C416D4" w:rsidRPr="00C416D4" w:rsidRDefault="00C416D4" w:rsidP="00C416D4">
      <w:r w:rsidRPr="00C416D4">
        <w:rPr>
          <w:b/>
          <w:bCs/>
        </w:rPr>
        <w:t>Encoding (ICRS/ICRF3).</w:t>
      </w:r>
      <w:r w:rsidRPr="00C416D4">
        <w:t xml:space="preserve"> Frame/Epoch: </w:t>
      </w:r>
      <w:r w:rsidRPr="00C416D4">
        <w:rPr>
          <w:b/>
          <w:bCs/>
        </w:rPr>
        <w:t>ICRS as realized by ICRF3</w:t>
      </w:r>
      <w:r w:rsidRPr="00C416D4">
        <w:t xml:space="preserve">, </w:t>
      </w:r>
      <w:r w:rsidRPr="00C416D4">
        <w:rPr>
          <w:b/>
          <w:bCs/>
        </w:rPr>
        <w:t>J2000.0</w:t>
      </w:r>
      <w:r w:rsidRPr="00C416D4">
        <w:t xml:space="preserve"> (TT 2000</w:t>
      </w:r>
      <w:r w:rsidRPr="00C416D4">
        <w:noBreakHyphen/>
        <w:t>01</w:t>
      </w:r>
      <w:r w:rsidRPr="00C416D4">
        <w:noBreakHyphen/>
        <w:t xml:space="preserve">01 12:00:00). Units: RA/Dec in </w:t>
      </w:r>
      <w:r w:rsidRPr="00C416D4">
        <w:rPr>
          <w:b/>
          <w:bCs/>
        </w:rPr>
        <w:t>degrees ×10⁵</w:t>
      </w:r>
      <w:r w:rsidRPr="00C416D4">
        <w:t>. Normalize RA</w:t>
      </w:r>
      <w:r w:rsidRPr="00C416D4">
        <w:rPr>
          <w:rFonts w:ascii="Cambria Math" w:hAnsi="Cambria Math" w:cs="Cambria Math"/>
        </w:rPr>
        <w:t>∈</w:t>
      </w:r>
      <w:r w:rsidRPr="00C416D4">
        <w:t>[0</w:t>
      </w:r>
      <w:r w:rsidRPr="00C416D4">
        <w:rPr>
          <w:rFonts w:ascii="Aptos" w:hAnsi="Aptos" w:cs="Aptos"/>
        </w:rPr>
        <w:t>°</w:t>
      </w:r>
      <w:r w:rsidRPr="00C416D4">
        <w:t>,360</w:t>
      </w:r>
      <w:r w:rsidRPr="00C416D4">
        <w:rPr>
          <w:rFonts w:ascii="Aptos" w:hAnsi="Aptos" w:cs="Aptos"/>
        </w:rPr>
        <w:t>°</w:t>
      </w:r>
      <w:r w:rsidRPr="00C416D4">
        <w:t>), clip Dec</w:t>
      </w:r>
      <w:r w:rsidRPr="00C416D4">
        <w:rPr>
          <w:rFonts w:ascii="Cambria Math" w:hAnsi="Cambria Math" w:cs="Cambria Math"/>
        </w:rPr>
        <w:t>∈</w:t>
      </w:r>
      <w:r w:rsidRPr="00C416D4">
        <w:t>[</w:t>
      </w:r>
      <w:r w:rsidRPr="00C416D4">
        <w:rPr>
          <w:rFonts w:ascii="Aptos" w:hAnsi="Aptos" w:cs="Aptos"/>
        </w:rPr>
        <w:t>−</w:t>
      </w:r>
      <w:r w:rsidRPr="00C416D4">
        <w:t>90</w:t>
      </w:r>
      <w:r w:rsidRPr="00C416D4">
        <w:rPr>
          <w:rFonts w:ascii="Aptos" w:hAnsi="Aptos" w:cs="Aptos"/>
        </w:rPr>
        <w:t>°</w:t>
      </w:r>
      <w:r w:rsidRPr="00C416D4">
        <w:t>,90</w:t>
      </w:r>
      <w:r w:rsidRPr="00C416D4">
        <w:rPr>
          <w:rFonts w:ascii="Aptos" w:hAnsi="Aptos" w:cs="Aptos"/>
        </w:rPr>
        <w:t>°</w:t>
      </w:r>
      <w:r w:rsidRPr="00C416D4">
        <w:t xml:space="preserve">], then round </w:t>
      </w:r>
      <w:r w:rsidRPr="00C416D4">
        <w:rPr>
          <w:b/>
          <w:bCs/>
        </w:rPr>
        <w:t>to nearest with ties away from zero</w:t>
      </w:r>
      <w:r w:rsidRPr="00C416D4">
        <w:t xml:space="preserve">; if RA rounds to 36000000, wrap to 00000000. Constants are </w:t>
      </w:r>
      <w:r w:rsidRPr="00C416D4">
        <w:rPr>
          <w:b/>
          <w:bCs/>
        </w:rPr>
        <w:t>observational</w:t>
      </w:r>
      <w:r w:rsidRPr="00C416D4">
        <w:t xml:space="preserve"> (not recomputed per event).</w:t>
      </w:r>
    </w:p>
    <w:p w14:paraId="7D19B7A2" w14:textId="77777777" w:rsidR="00C416D4" w:rsidRPr="00C416D4" w:rsidRDefault="00C416D4" w:rsidP="00C416D4">
      <w:r w:rsidRPr="00C416D4">
        <w:rPr>
          <w:b/>
          <w:bCs/>
        </w:rPr>
        <w:t>Layouts.</w:t>
      </w:r>
    </w:p>
    <w:p w14:paraId="5EA6C98C" w14:textId="77777777" w:rsidR="00C416D4" w:rsidRPr="00C416D4" w:rsidRDefault="00C416D4" w:rsidP="00C416D4">
      <w:pPr>
        <w:numPr>
          <w:ilvl w:val="0"/>
          <w:numId w:val="1"/>
        </w:numPr>
      </w:pPr>
      <w:r w:rsidRPr="00C416D4">
        <w:rPr>
          <w:b/>
          <w:bCs/>
        </w:rPr>
        <w:t>v01 (60 chars):</w:t>
      </w:r>
      <w:r w:rsidRPr="00C416D4">
        <w:t xml:space="preserve"> mw = "01" sgra m31 r0 d_m31 a6 mwchk</w:t>
      </w:r>
      <w:r w:rsidRPr="00C416D4">
        <w:br/>
        <w:t xml:space="preserve">with mwchk = </w:t>
      </w:r>
      <w:r w:rsidRPr="00C416D4">
        <w:rPr>
          <w:b/>
          <w:bCs/>
        </w:rPr>
        <w:t>CRC16/X25</w:t>
      </w:r>
      <w:r w:rsidRPr="00C416D4">
        <w:t xml:space="preserve"> over mw[..mwchk).</w:t>
      </w:r>
    </w:p>
    <w:p w14:paraId="3F8ED7E7" w14:textId="77777777" w:rsidR="00C416D4" w:rsidRPr="00C416D4" w:rsidRDefault="00C416D4" w:rsidP="00C416D4">
      <w:pPr>
        <w:numPr>
          <w:ilvl w:val="0"/>
          <w:numId w:val="1"/>
        </w:numPr>
      </w:pPr>
      <w:r w:rsidRPr="00C416D4">
        <w:rPr>
          <w:b/>
          <w:bCs/>
        </w:rPr>
        <w:t>v01.1 (66 chars):</w:t>
      </w:r>
      <w:r w:rsidRPr="00C416D4">
        <w:t xml:space="preserve"> mw = "01" sgra m31 r0 d_m31 a6 gcv refy mwchk where gcv (2</w:t>
      </w:r>
      <w:r w:rsidRPr="00C416D4">
        <w:noBreakHyphen/>
        <w:t>digit constants version) and refy (4</w:t>
      </w:r>
      <w:r w:rsidRPr="00C416D4">
        <w:noBreakHyphen/>
        <w:t>digit reference year) allow registry rehydration.</w:t>
      </w:r>
    </w:p>
    <w:p w14:paraId="65FD7CCD" w14:textId="77777777" w:rsidR="00C416D4" w:rsidRPr="00C416D4" w:rsidRDefault="00C416D4" w:rsidP="00C416D4">
      <w:r w:rsidRPr="00C416D4">
        <w:rPr>
          <w:b/>
          <w:bCs/>
        </w:rPr>
        <w:t>Example prefixes (validated).</w:t>
      </w:r>
    </w:p>
    <w:p w14:paraId="48A9B40A" w14:textId="77777777" w:rsidR="00C416D4" w:rsidRPr="00C416D4" w:rsidRDefault="00C416D4" w:rsidP="00C416D4">
      <w:pPr>
        <w:numPr>
          <w:ilvl w:val="0"/>
          <w:numId w:val="2"/>
        </w:numPr>
      </w:pPr>
      <w:r w:rsidRPr="00C416D4">
        <w:t>v01:</w:t>
      </w:r>
      <w:r w:rsidRPr="00C416D4">
        <w:br/>
        <w:t>0126641684-290078101068458+412691700008122000077610000001CC8</w:t>
      </w:r>
    </w:p>
    <w:p w14:paraId="316CCF3B" w14:textId="77777777" w:rsidR="00C416D4" w:rsidRPr="00C416D4" w:rsidRDefault="00C416D4" w:rsidP="00C416D4">
      <w:pPr>
        <w:numPr>
          <w:ilvl w:val="0"/>
          <w:numId w:val="2"/>
        </w:numPr>
      </w:pPr>
      <w:r w:rsidRPr="00C416D4">
        <w:t>v01.1:</w:t>
      </w:r>
      <w:r w:rsidRPr="00C416D4">
        <w:br/>
        <w:t>0126641684-290078101068458+41269170000812200007761000000012019FA83</w:t>
      </w:r>
    </w:p>
    <w:p w14:paraId="3656DDFB" w14:textId="77777777" w:rsidR="00C416D4" w:rsidRPr="00C416D4" w:rsidRDefault="00C416D4" w:rsidP="00C416D4">
      <w:r w:rsidRPr="00C416D4">
        <w:rPr>
          <w:i/>
          <w:iCs/>
        </w:rPr>
        <w:t>Sgr A</w:t>
      </w:r>
      <w:r w:rsidRPr="00C416D4">
        <w:t>: 17:45:40.0409 / −29°00′28.118″ → 26641684 / −2900781;</w:t>
      </w:r>
      <w:r w:rsidRPr="00C416D4">
        <w:br/>
      </w:r>
      <w:r w:rsidRPr="00C416D4">
        <w:rPr>
          <w:i/>
          <w:iCs/>
        </w:rPr>
        <w:t>M31</w:t>
      </w:r>
      <w:r w:rsidRPr="00C416D4">
        <w:t>: 00:42:44.3 / +41°16′09.0 → 01068458 / +4126917;</w:t>
      </w:r>
      <w:r w:rsidRPr="00C416D4">
        <w:br/>
        <w:t>r0=00008122 pc, d_m31=0000776 kpc, a6=1000000.</w:t>
      </w:r>
    </w:p>
    <w:p w14:paraId="3D8EADF7" w14:textId="77777777" w:rsidR="00C416D4" w:rsidRPr="00C416D4" w:rsidRDefault="00C416D4" w:rsidP="00C416D4">
      <w:pPr>
        <w:rPr>
          <w:b/>
          <w:bCs/>
        </w:rPr>
      </w:pPr>
      <w:r w:rsidRPr="00C416D4">
        <w:rPr>
          <w:b/>
          <w:bCs/>
        </w:rPr>
        <w:t>2.2 Body &amp; Primary Catalog (BT) and Placement Context (PC)</w:t>
      </w:r>
    </w:p>
    <w:p w14:paraId="25B4B705" w14:textId="77777777" w:rsidR="00C416D4" w:rsidRPr="00C416D4" w:rsidRDefault="00C416D4" w:rsidP="00C416D4">
      <w:r w:rsidRPr="00C416D4">
        <w:t>bt = ("PB" 5DIGIT) / ("LU" 5DIGIT) / ("SB" 12ALNUM)</w:t>
      </w:r>
    </w:p>
    <w:p w14:paraId="20DE0FF0" w14:textId="77777777" w:rsidR="00C416D4" w:rsidRPr="00C416D4" w:rsidRDefault="00C416D4" w:rsidP="00C416D4">
      <w:r w:rsidRPr="00C416D4">
        <w:t>pc = "G" / "L" / "D" / "N"</w:t>
      </w:r>
    </w:p>
    <w:p w14:paraId="02162ADB" w14:textId="77777777" w:rsidR="00C416D4" w:rsidRPr="00C416D4" w:rsidRDefault="00C416D4" w:rsidP="00C416D4">
      <w:pPr>
        <w:numPr>
          <w:ilvl w:val="0"/>
          <w:numId w:val="3"/>
        </w:numPr>
      </w:pPr>
      <w:r w:rsidRPr="00C416D4">
        <w:rPr>
          <w:b/>
          <w:bCs/>
        </w:rPr>
        <w:t>PB</w:t>
      </w:r>
      <w:r w:rsidRPr="00C416D4">
        <w:t xml:space="preserve"> — Planetary body by </w:t>
      </w:r>
      <w:r w:rsidRPr="00C416D4">
        <w:rPr>
          <w:b/>
          <w:bCs/>
        </w:rPr>
        <w:t>NAIF ID</w:t>
      </w:r>
      <w:r w:rsidRPr="00C416D4">
        <w:t>, zero</w:t>
      </w:r>
      <w:r w:rsidRPr="00C416D4">
        <w:noBreakHyphen/>
        <w:t>left</w:t>
      </w:r>
      <w:r w:rsidRPr="00C416D4">
        <w:noBreakHyphen/>
        <w:t>padded to width 5 (e.g., Earth 399 → 00399).</w:t>
      </w:r>
    </w:p>
    <w:p w14:paraId="2776BDAC" w14:textId="77777777" w:rsidR="00C416D4" w:rsidRPr="00C416D4" w:rsidRDefault="00C416D4" w:rsidP="00C416D4">
      <w:pPr>
        <w:numPr>
          <w:ilvl w:val="0"/>
          <w:numId w:val="3"/>
        </w:numPr>
      </w:pPr>
      <w:r w:rsidRPr="00C416D4">
        <w:rPr>
          <w:b/>
          <w:bCs/>
        </w:rPr>
        <w:t>LU</w:t>
      </w:r>
      <w:r w:rsidRPr="00C416D4">
        <w:t xml:space="preserve"> — Lunar target by </w:t>
      </w:r>
      <w:r w:rsidRPr="00C416D4">
        <w:rPr>
          <w:b/>
          <w:bCs/>
        </w:rPr>
        <w:t>NAIF ID</w:t>
      </w:r>
      <w:r w:rsidRPr="00C416D4">
        <w:t>, zero</w:t>
      </w:r>
      <w:r w:rsidRPr="00C416D4">
        <w:noBreakHyphen/>
        <w:t>left</w:t>
      </w:r>
      <w:r w:rsidRPr="00C416D4">
        <w:noBreakHyphen/>
        <w:t>padded to width 5 (e.g., Moon 301 → 00301).</w:t>
      </w:r>
    </w:p>
    <w:p w14:paraId="1157261D" w14:textId="77777777" w:rsidR="00C416D4" w:rsidRPr="00C416D4" w:rsidRDefault="00C416D4" w:rsidP="00C416D4">
      <w:pPr>
        <w:numPr>
          <w:ilvl w:val="0"/>
          <w:numId w:val="3"/>
        </w:numPr>
      </w:pPr>
      <w:r w:rsidRPr="00C416D4">
        <w:rPr>
          <w:b/>
          <w:bCs/>
        </w:rPr>
        <w:lastRenderedPageBreak/>
        <w:t>SB</w:t>
      </w:r>
      <w:r w:rsidRPr="00C416D4">
        <w:t xml:space="preserve"> — Small body by </w:t>
      </w:r>
      <w:r w:rsidRPr="00C416D4">
        <w:rPr>
          <w:b/>
          <w:bCs/>
        </w:rPr>
        <w:t>MPC packed designation</w:t>
      </w:r>
      <w:r w:rsidRPr="00C416D4">
        <w:t>, left</w:t>
      </w:r>
      <w:r w:rsidRPr="00C416D4">
        <w:noBreakHyphen/>
        <w:t>padded with 0 to width 12 (e.g., J95X00A → 000000J95X00A).</w:t>
      </w:r>
    </w:p>
    <w:p w14:paraId="575DDA9C" w14:textId="77777777" w:rsidR="00C416D4" w:rsidRPr="00C416D4" w:rsidRDefault="00C416D4" w:rsidP="00C416D4">
      <w:pPr>
        <w:numPr>
          <w:ilvl w:val="0"/>
          <w:numId w:val="3"/>
        </w:numPr>
      </w:pPr>
      <w:r w:rsidRPr="00C416D4">
        <w:rPr>
          <w:b/>
          <w:bCs/>
        </w:rPr>
        <w:t>PC</w:t>
      </w:r>
      <w:r w:rsidRPr="00C416D4">
        <w:t xml:space="preserve"> — Placement context: G Geodetic (body</w:t>
      </w:r>
      <w:r w:rsidRPr="00C416D4">
        <w:noBreakHyphen/>
        <w:t>fixed), L Local frame, D Dynamic trajectory frame, N Nadir</w:t>
      </w:r>
      <w:r w:rsidRPr="00C416D4">
        <w:noBreakHyphen/>
        <w:t>tied pointing frame.</w:t>
      </w:r>
    </w:p>
    <w:p w14:paraId="469875BA" w14:textId="77777777" w:rsidR="00C416D4" w:rsidRPr="00C416D4" w:rsidRDefault="00C416D4" w:rsidP="00C416D4">
      <w:r w:rsidRPr="00C416D4">
        <w:rPr>
          <w:b/>
          <w:bCs/>
        </w:rPr>
        <w:t>Semantics.</w:t>
      </w:r>
      <w:r w:rsidRPr="00C416D4">
        <w:t xml:space="preserve"> bt selects catalog/body for transforms; pc describes the placement semantics of lat/lon/alt and x/y/z.</w:t>
      </w:r>
    </w:p>
    <w:p w14:paraId="61E93F5A" w14:textId="77777777" w:rsidR="00C416D4" w:rsidRPr="00C416D4" w:rsidRDefault="00C416D4" w:rsidP="00C416D4">
      <w:pPr>
        <w:rPr>
          <w:b/>
          <w:bCs/>
        </w:rPr>
      </w:pPr>
      <w:r w:rsidRPr="00C416D4">
        <w:rPr>
          <w:b/>
          <w:bCs/>
        </w:rPr>
        <w:t>2.3 Observer Address (OA v0.9, 99 characters)</w:t>
      </w:r>
    </w:p>
    <w:p w14:paraId="4C305748" w14:textId="77777777" w:rsidR="00C416D4" w:rsidRPr="00C416D4" w:rsidRDefault="00C416D4" w:rsidP="00C416D4">
      <w:r w:rsidRPr="00C416D4">
        <w:rPr>
          <w:b/>
          <w:bCs/>
        </w:rPr>
        <w:t>Frozen v0.9 field map</w:t>
      </w:r>
      <w:r w:rsidRPr="00C416D4">
        <w:t xml:space="preserve"> (positions are 1</w:t>
      </w:r>
      <w:r w:rsidRPr="00C416D4">
        <w:noBreakHyphen/>
        <w:t>based, inclusive):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715"/>
        <w:gridCol w:w="684"/>
        <w:gridCol w:w="7332"/>
      </w:tblGrid>
      <w:tr w:rsidR="00C416D4" w:rsidRPr="00C416D4" w14:paraId="57826AA0" w14:textId="77777777">
        <w:trPr>
          <w:tblHeader/>
          <w:tblCellSpacing w:w="15" w:type="dxa"/>
        </w:trPr>
        <w:tc>
          <w:tcPr>
            <w:tcW w:w="0" w:type="auto"/>
            <w:vAlign w:val="center"/>
            <w:hideMark/>
          </w:tcPr>
          <w:p w14:paraId="75913B19" w14:textId="77777777" w:rsidR="00C416D4" w:rsidRPr="00C416D4" w:rsidRDefault="00C416D4" w:rsidP="00C416D4">
            <w:pPr>
              <w:rPr>
                <w:b/>
                <w:bCs/>
              </w:rPr>
            </w:pPr>
            <w:r w:rsidRPr="00C416D4">
              <w:rPr>
                <w:b/>
                <w:bCs/>
              </w:rPr>
              <w:t>Field</w:t>
            </w:r>
          </w:p>
        </w:tc>
        <w:tc>
          <w:tcPr>
            <w:tcW w:w="0" w:type="auto"/>
            <w:vAlign w:val="center"/>
            <w:hideMark/>
          </w:tcPr>
          <w:p w14:paraId="5F951508" w14:textId="77777777" w:rsidR="00C416D4" w:rsidRPr="00C416D4" w:rsidRDefault="00C416D4" w:rsidP="00C416D4">
            <w:pPr>
              <w:rPr>
                <w:b/>
                <w:bCs/>
              </w:rPr>
            </w:pPr>
            <w:r w:rsidRPr="00C416D4">
              <w:rPr>
                <w:b/>
                <w:bCs/>
              </w:rPr>
              <w:t>Width</w:t>
            </w:r>
          </w:p>
        </w:tc>
        <w:tc>
          <w:tcPr>
            <w:tcW w:w="0" w:type="auto"/>
            <w:vAlign w:val="center"/>
            <w:hideMark/>
          </w:tcPr>
          <w:p w14:paraId="7554C3EC" w14:textId="77777777" w:rsidR="00C416D4" w:rsidRPr="00C416D4" w:rsidRDefault="00C416D4" w:rsidP="00C416D4">
            <w:pPr>
              <w:rPr>
                <w:b/>
                <w:bCs/>
              </w:rPr>
            </w:pPr>
            <w:r w:rsidRPr="00C416D4">
              <w:rPr>
                <w:b/>
                <w:bCs/>
              </w:rPr>
              <w:t>Pos</w:t>
            </w:r>
          </w:p>
        </w:tc>
        <w:tc>
          <w:tcPr>
            <w:tcW w:w="0" w:type="auto"/>
            <w:vAlign w:val="center"/>
            <w:hideMark/>
          </w:tcPr>
          <w:p w14:paraId="4FED23C7" w14:textId="77777777" w:rsidR="00C416D4" w:rsidRPr="00C416D4" w:rsidRDefault="00C416D4" w:rsidP="00C416D4">
            <w:pPr>
              <w:rPr>
                <w:b/>
                <w:bCs/>
              </w:rPr>
            </w:pPr>
            <w:r w:rsidRPr="00C416D4">
              <w:rPr>
                <w:b/>
                <w:bCs/>
              </w:rPr>
              <w:t>Format / Units</w:t>
            </w:r>
          </w:p>
        </w:tc>
      </w:tr>
      <w:tr w:rsidR="00C416D4" w:rsidRPr="00C416D4" w14:paraId="6CECED1F" w14:textId="77777777">
        <w:trPr>
          <w:tblCellSpacing w:w="15" w:type="dxa"/>
        </w:trPr>
        <w:tc>
          <w:tcPr>
            <w:tcW w:w="0" w:type="auto"/>
            <w:vAlign w:val="center"/>
            <w:hideMark/>
          </w:tcPr>
          <w:p w14:paraId="41415417" w14:textId="77777777" w:rsidR="00C416D4" w:rsidRPr="00C416D4" w:rsidRDefault="00C416D4" w:rsidP="00C416D4">
            <w:r w:rsidRPr="00C416D4">
              <w:t>ts</w:t>
            </w:r>
          </w:p>
        </w:tc>
        <w:tc>
          <w:tcPr>
            <w:tcW w:w="0" w:type="auto"/>
            <w:vAlign w:val="center"/>
            <w:hideMark/>
          </w:tcPr>
          <w:p w14:paraId="0243D9A4" w14:textId="77777777" w:rsidR="00C416D4" w:rsidRPr="00C416D4" w:rsidRDefault="00C416D4" w:rsidP="00C416D4">
            <w:r w:rsidRPr="00C416D4">
              <w:t>16</w:t>
            </w:r>
          </w:p>
        </w:tc>
        <w:tc>
          <w:tcPr>
            <w:tcW w:w="0" w:type="auto"/>
            <w:vAlign w:val="center"/>
            <w:hideMark/>
          </w:tcPr>
          <w:p w14:paraId="00010F8C" w14:textId="77777777" w:rsidR="00C416D4" w:rsidRPr="00C416D4" w:rsidRDefault="00C416D4" w:rsidP="00C416D4">
            <w:r w:rsidRPr="00C416D4">
              <w:t>1–16</w:t>
            </w:r>
          </w:p>
        </w:tc>
        <w:tc>
          <w:tcPr>
            <w:tcW w:w="0" w:type="auto"/>
            <w:vAlign w:val="center"/>
            <w:hideMark/>
          </w:tcPr>
          <w:p w14:paraId="43BE0C5C" w14:textId="77777777" w:rsidR="00C416D4" w:rsidRPr="00C416D4" w:rsidRDefault="00C416D4" w:rsidP="00C416D4">
            <w:r w:rsidRPr="00C416D4">
              <w:t>YYYYMMDDThhmmssZ (UTC; ss=60 allowed only on real leap seconds)</w:t>
            </w:r>
          </w:p>
        </w:tc>
      </w:tr>
      <w:tr w:rsidR="00C416D4" w:rsidRPr="00C416D4" w14:paraId="43AD0B2B" w14:textId="77777777">
        <w:trPr>
          <w:tblCellSpacing w:w="15" w:type="dxa"/>
        </w:trPr>
        <w:tc>
          <w:tcPr>
            <w:tcW w:w="0" w:type="auto"/>
            <w:vAlign w:val="center"/>
            <w:hideMark/>
          </w:tcPr>
          <w:p w14:paraId="5851A729" w14:textId="77777777" w:rsidR="00C416D4" w:rsidRPr="00C416D4" w:rsidRDefault="00C416D4" w:rsidP="00C416D4">
            <w:r w:rsidRPr="00C416D4">
              <w:t>lat</w:t>
            </w:r>
          </w:p>
        </w:tc>
        <w:tc>
          <w:tcPr>
            <w:tcW w:w="0" w:type="auto"/>
            <w:vAlign w:val="center"/>
            <w:hideMark/>
          </w:tcPr>
          <w:p w14:paraId="4F86B51F" w14:textId="77777777" w:rsidR="00C416D4" w:rsidRPr="00C416D4" w:rsidRDefault="00C416D4" w:rsidP="00C416D4">
            <w:r w:rsidRPr="00C416D4">
              <w:t>10</w:t>
            </w:r>
          </w:p>
        </w:tc>
        <w:tc>
          <w:tcPr>
            <w:tcW w:w="0" w:type="auto"/>
            <w:vAlign w:val="center"/>
            <w:hideMark/>
          </w:tcPr>
          <w:p w14:paraId="7DDF4F4F" w14:textId="77777777" w:rsidR="00C416D4" w:rsidRPr="00C416D4" w:rsidRDefault="00C416D4" w:rsidP="00C416D4">
            <w:r w:rsidRPr="00C416D4">
              <w:t>17–26</w:t>
            </w:r>
          </w:p>
        </w:tc>
        <w:tc>
          <w:tcPr>
            <w:tcW w:w="0" w:type="auto"/>
            <w:vAlign w:val="center"/>
            <w:hideMark/>
          </w:tcPr>
          <w:p w14:paraId="7AF27CDC" w14:textId="77777777" w:rsidR="00C416D4" w:rsidRPr="00C416D4" w:rsidRDefault="00C416D4" w:rsidP="00C416D4">
            <w:r w:rsidRPr="00C416D4">
              <w:t>±DD.dddddd deg (WGS</w:t>
            </w:r>
            <w:r w:rsidRPr="00C416D4">
              <w:noBreakHyphen/>
              <w:t>84)</w:t>
            </w:r>
          </w:p>
        </w:tc>
      </w:tr>
      <w:tr w:rsidR="00C416D4" w:rsidRPr="00C416D4" w14:paraId="1D7DAF35" w14:textId="77777777">
        <w:trPr>
          <w:tblCellSpacing w:w="15" w:type="dxa"/>
        </w:trPr>
        <w:tc>
          <w:tcPr>
            <w:tcW w:w="0" w:type="auto"/>
            <w:vAlign w:val="center"/>
            <w:hideMark/>
          </w:tcPr>
          <w:p w14:paraId="60924537" w14:textId="77777777" w:rsidR="00C416D4" w:rsidRPr="00C416D4" w:rsidRDefault="00C416D4" w:rsidP="00C416D4">
            <w:r w:rsidRPr="00C416D4">
              <w:t>lon</w:t>
            </w:r>
          </w:p>
        </w:tc>
        <w:tc>
          <w:tcPr>
            <w:tcW w:w="0" w:type="auto"/>
            <w:vAlign w:val="center"/>
            <w:hideMark/>
          </w:tcPr>
          <w:p w14:paraId="66762B97" w14:textId="77777777" w:rsidR="00C416D4" w:rsidRPr="00C416D4" w:rsidRDefault="00C416D4" w:rsidP="00C416D4">
            <w:r w:rsidRPr="00C416D4">
              <w:t>11</w:t>
            </w:r>
          </w:p>
        </w:tc>
        <w:tc>
          <w:tcPr>
            <w:tcW w:w="0" w:type="auto"/>
            <w:vAlign w:val="center"/>
            <w:hideMark/>
          </w:tcPr>
          <w:p w14:paraId="5E732D2D" w14:textId="77777777" w:rsidR="00C416D4" w:rsidRPr="00C416D4" w:rsidRDefault="00C416D4" w:rsidP="00C416D4">
            <w:r w:rsidRPr="00C416D4">
              <w:t>27–37</w:t>
            </w:r>
          </w:p>
        </w:tc>
        <w:tc>
          <w:tcPr>
            <w:tcW w:w="0" w:type="auto"/>
            <w:vAlign w:val="center"/>
            <w:hideMark/>
          </w:tcPr>
          <w:p w14:paraId="0398F1B7" w14:textId="77777777" w:rsidR="00C416D4" w:rsidRPr="00C416D4" w:rsidRDefault="00C416D4" w:rsidP="00C416D4">
            <w:r w:rsidRPr="00C416D4">
              <w:t>±DDD.dddddd deg (WGS</w:t>
            </w:r>
            <w:r w:rsidRPr="00C416D4">
              <w:noBreakHyphen/>
              <w:t>84)</w:t>
            </w:r>
          </w:p>
        </w:tc>
      </w:tr>
      <w:tr w:rsidR="00C416D4" w:rsidRPr="00C416D4" w14:paraId="238140E8" w14:textId="77777777">
        <w:trPr>
          <w:tblCellSpacing w:w="15" w:type="dxa"/>
        </w:trPr>
        <w:tc>
          <w:tcPr>
            <w:tcW w:w="0" w:type="auto"/>
            <w:vAlign w:val="center"/>
            <w:hideMark/>
          </w:tcPr>
          <w:p w14:paraId="79B740CB" w14:textId="77777777" w:rsidR="00C416D4" w:rsidRPr="00C416D4" w:rsidRDefault="00C416D4" w:rsidP="00C416D4">
            <w:r w:rsidRPr="00C416D4">
              <w:t>alt</w:t>
            </w:r>
          </w:p>
        </w:tc>
        <w:tc>
          <w:tcPr>
            <w:tcW w:w="0" w:type="auto"/>
            <w:vAlign w:val="center"/>
            <w:hideMark/>
          </w:tcPr>
          <w:p w14:paraId="063DA2F6" w14:textId="77777777" w:rsidR="00C416D4" w:rsidRPr="00C416D4" w:rsidRDefault="00C416D4" w:rsidP="00C416D4">
            <w:r w:rsidRPr="00C416D4">
              <w:t>7</w:t>
            </w:r>
          </w:p>
        </w:tc>
        <w:tc>
          <w:tcPr>
            <w:tcW w:w="0" w:type="auto"/>
            <w:vAlign w:val="center"/>
            <w:hideMark/>
          </w:tcPr>
          <w:p w14:paraId="05A16A8C" w14:textId="77777777" w:rsidR="00C416D4" w:rsidRPr="00C416D4" w:rsidRDefault="00C416D4" w:rsidP="00C416D4">
            <w:r w:rsidRPr="00C416D4">
              <w:t>38–44</w:t>
            </w:r>
          </w:p>
        </w:tc>
        <w:tc>
          <w:tcPr>
            <w:tcW w:w="0" w:type="auto"/>
            <w:vAlign w:val="center"/>
            <w:hideMark/>
          </w:tcPr>
          <w:p w14:paraId="1C8132A9" w14:textId="77777777" w:rsidR="00C416D4" w:rsidRPr="00C416D4" w:rsidRDefault="00C416D4" w:rsidP="00C416D4">
            <w:r w:rsidRPr="00C416D4">
              <w:t>±000000 m (ellipsoidal)</w:t>
            </w:r>
          </w:p>
        </w:tc>
      </w:tr>
      <w:tr w:rsidR="00C416D4" w:rsidRPr="00C416D4" w14:paraId="77E7E581" w14:textId="77777777">
        <w:trPr>
          <w:tblCellSpacing w:w="15" w:type="dxa"/>
        </w:trPr>
        <w:tc>
          <w:tcPr>
            <w:tcW w:w="0" w:type="auto"/>
            <w:vAlign w:val="center"/>
            <w:hideMark/>
          </w:tcPr>
          <w:p w14:paraId="30A3D102" w14:textId="77777777" w:rsidR="00C416D4" w:rsidRPr="00C416D4" w:rsidRDefault="00C416D4" w:rsidP="00C416D4">
            <w:r w:rsidRPr="00C416D4">
              <w:t>x</w:t>
            </w:r>
          </w:p>
        </w:tc>
        <w:tc>
          <w:tcPr>
            <w:tcW w:w="0" w:type="auto"/>
            <w:vAlign w:val="center"/>
            <w:hideMark/>
          </w:tcPr>
          <w:p w14:paraId="17961392" w14:textId="77777777" w:rsidR="00C416D4" w:rsidRPr="00C416D4" w:rsidRDefault="00C416D4" w:rsidP="00C416D4">
            <w:r w:rsidRPr="00C416D4">
              <w:t>12</w:t>
            </w:r>
          </w:p>
        </w:tc>
        <w:tc>
          <w:tcPr>
            <w:tcW w:w="0" w:type="auto"/>
            <w:vAlign w:val="center"/>
            <w:hideMark/>
          </w:tcPr>
          <w:p w14:paraId="73797358" w14:textId="77777777" w:rsidR="00C416D4" w:rsidRPr="00C416D4" w:rsidRDefault="00C416D4" w:rsidP="00C416D4">
            <w:r w:rsidRPr="00C416D4">
              <w:t>45–56</w:t>
            </w:r>
          </w:p>
        </w:tc>
        <w:tc>
          <w:tcPr>
            <w:tcW w:w="0" w:type="auto"/>
            <w:vAlign w:val="center"/>
            <w:hideMark/>
          </w:tcPr>
          <w:p w14:paraId="154AF6B9" w14:textId="77777777" w:rsidR="00C416D4" w:rsidRPr="00C416D4" w:rsidRDefault="00C416D4" w:rsidP="00C416D4">
            <w:r w:rsidRPr="00C416D4">
              <w:t xml:space="preserve">±00000000000 m (ECEF; </w:t>
            </w:r>
            <w:r w:rsidRPr="00C416D4">
              <w:rPr>
                <w:b/>
                <w:bCs/>
              </w:rPr>
              <w:t>canonical</w:t>
            </w:r>
            <w:r w:rsidRPr="00C416D4">
              <w:t>)</w:t>
            </w:r>
          </w:p>
        </w:tc>
      </w:tr>
      <w:tr w:rsidR="00C416D4" w:rsidRPr="00C416D4" w14:paraId="08C46D44" w14:textId="77777777">
        <w:trPr>
          <w:tblCellSpacing w:w="15" w:type="dxa"/>
        </w:trPr>
        <w:tc>
          <w:tcPr>
            <w:tcW w:w="0" w:type="auto"/>
            <w:vAlign w:val="center"/>
            <w:hideMark/>
          </w:tcPr>
          <w:p w14:paraId="165C7EF3" w14:textId="77777777" w:rsidR="00C416D4" w:rsidRPr="00C416D4" w:rsidRDefault="00C416D4" w:rsidP="00C416D4">
            <w:r w:rsidRPr="00C416D4">
              <w:t>y</w:t>
            </w:r>
          </w:p>
        </w:tc>
        <w:tc>
          <w:tcPr>
            <w:tcW w:w="0" w:type="auto"/>
            <w:vAlign w:val="center"/>
            <w:hideMark/>
          </w:tcPr>
          <w:p w14:paraId="757EF821" w14:textId="77777777" w:rsidR="00C416D4" w:rsidRPr="00C416D4" w:rsidRDefault="00C416D4" w:rsidP="00C416D4">
            <w:r w:rsidRPr="00C416D4">
              <w:t>12</w:t>
            </w:r>
          </w:p>
        </w:tc>
        <w:tc>
          <w:tcPr>
            <w:tcW w:w="0" w:type="auto"/>
            <w:vAlign w:val="center"/>
            <w:hideMark/>
          </w:tcPr>
          <w:p w14:paraId="2302119C" w14:textId="77777777" w:rsidR="00C416D4" w:rsidRPr="00C416D4" w:rsidRDefault="00C416D4" w:rsidP="00C416D4">
            <w:r w:rsidRPr="00C416D4">
              <w:t>57–68</w:t>
            </w:r>
          </w:p>
        </w:tc>
        <w:tc>
          <w:tcPr>
            <w:tcW w:w="0" w:type="auto"/>
            <w:vAlign w:val="center"/>
            <w:hideMark/>
          </w:tcPr>
          <w:p w14:paraId="216A5ED2" w14:textId="77777777" w:rsidR="00C416D4" w:rsidRPr="00C416D4" w:rsidRDefault="00C416D4" w:rsidP="00C416D4">
            <w:r w:rsidRPr="00C416D4">
              <w:t xml:space="preserve">±00000000000 m (ECEF; </w:t>
            </w:r>
            <w:r w:rsidRPr="00C416D4">
              <w:rPr>
                <w:b/>
                <w:bCs/>
              </w:rPr>
              <w:t>canonical</w:t>
            </w:r>
            <w:r w:rsidRPr="00C416D4">
              <w:t>)</w:t>
            </w:r>
          </w:p>
        </w:tc>
      </w:tr>
      <w:tr w:rsidR="00C416D4" w:rsidRPr="00C416D4" w14:paraId="48F9821F" w14:textId="77777777">
        <w:trPr>
          <w:tblCellSpacing w:w="15" w:type="dxa"/>
        </w:trPr>
        <w:tc>
          <w:tcPr>
            <w:tcW w:w="0" w:type="auto"/>
            <w:vAlign w:val="center"/>
            <w:hideMark/>
          </w:tcPr>
          <w:p w14:paraId="72A08E69" w14:textId="77777777" w:rsidR="00C416D4" w:rsidRPr="00C416D4" w:rsidRDefault="00C416D4" w:rsidP="00C416D4">
            <w:r w:rsidRPr="00C416D4">
              <w:t>z</w:t>
            </w:r>
          </w:p>
        </w:tc>
        <w:tc>
          <w:tcPr>
            <w:tcW w:w="0" w:type="auto"/>
            <w:vAlign w:val="center"/>
            <w:hideMark/>
          </w:tcPr>
          <w:p w14:paraId="148441A4" w14:textId="77777777" w:rsidR="00C416D4" w:rsidRPr="00C416D4" w:rsidRDefault="00C416D4" w:rsidP="00C416D4">
            <w:r w:rsidRPr="00C416D4">
              <w:t>12</w:t>
            </w:r>
          </w:p>
        </w:tc>
        <w:tc>
          <w:tcPr>
            <w:tcW w:w="0" w:type="auto"/>
            <w:vAlign w:val="center"/>
            <w:hideMark/>
          </w:tcPr>
          <w:p w14:paraId="30D6EED8" w14:textId="77777777" w:rsidR="00C416D4" w:rsidRPr="00C416D4" w:rsidRDefault="00C416D4" w:rsidP="00C416D4">
            <w:r w:rsidRPr="00C416D4">
              <w:t>69–80</w:t>
            </w:r>
          </w:p>
        </w:tc>
        <w:tc>
          <w:tcPr>
            <w:tcW w:w="0" w:type="auto"/>
            <w:vAlign w:val="center"/>
            <w:hideMark/>
          </w:tcPr>
          <w:p w14:paraId="4095AC23" w14:textId="77777777" w:rsidR="00C416D4" w:rsidRPr="00C416D4" w:rsidRDefault="00C416D4" w:rsidP="00C416D4">
            <w:r w:rsidRPr="00C416D4">
              <w:t xml:space="preserve">±00000000000 m (ECEF; </w:t>
            </w:r>
            <w:r w:rsidRPr="00C416D4">
              <w:rPr>
                <w:b/>
                <w:bCs/>
              </w:rPr>
              <w:t>canonical</w:t>
            </w:r>
            <w:r w:rsidRPr="00C416D4">
              <w:t>)</w:t>
            </w:r>
          </w:p>
        </w:tc>
      </w:tr>
      <w:tr w:rsidR="00C416D4" w:rsidRPr="00C416D4" w14:paraId="29C2797C" w14:textId="77777777">
        <w:trPr>
          <w:tblCellSpacing w:w="15" w:type="dxa"/>
        </w:trPr>
        <w:tc>
          <w:tcPr>
            <w:tcW w:w="0" w:type="auto"/>
            <w:vAlign w:val="center"/>
            <w:hideMark/>
          </w:tcPr>
          <w:p w14:paraId="2701BD13" w14:textId="77777777" w:rsidR="00C416D4" w:rsidRPr="00C416D4" w:rsidRDefault="00C416D4" w:rsidP="00C416D4">
            <w:r w:rsidRPr="00C416D4">
              <w:t>chk</w:t>
            </w:r>
          </w:p>
        </w:tc>
        <w:tc>
          <w:tcPr>
            <w:tcW w:w="0" w:type="auto"/>
            <w:vAlign w:val="center"/>
            <w:hideMark/>
          </w:tcPr>
          <w:p w14:paraId="08BF4544" w14:textId="77777777" w:rsidR="00C416D4" w:rsidRPr="00C416D4" w:rsidRDefault="00C416D4" w:rsidP="00C416D4">
            <w:r w:rsidRPr="00C416D4">
              <w:t>6</w:t>
            </w:r>
          </w:p>
        </w:tc>
        <w:tc>
          <w:tcPr>
            <w:tcW w:w="0" w:type="auto"/>
            <w:vAlign w:val="center"/>
            <w:hideMark/>
          </w:tcPr>
          <w:p w14:paraId="2CD1007F" w14:textId="77777777" w:rsidR="00C416D4" w:rsidRPr="00C416D4" w:rsidRDefault="00C416D4" w:rsidP="00C416D4">
            <w:r w:rsidRPr="00C416D4">
              <w:t>81–86</w:t>
            </w:r>
          </w:p>
        </w:tc>
        <w:tc>
          <w:tcPr>
            <w:tcW w:w="0" w:type="auto"/>
            <w:vAlign w:val="center"/>
            <w:hideMark/>
          </w:tcPr>
          <w:p w14:paraId="690CC3DA" w14:textId="77777777" w:rsidR="00C416D4" w:rsidRPr="00C416D4" w:rsidRDefault="00C416D4" w:rsidP="00C416D4">
            <w:r w:rsidRPr="00C416D4">
              <w:t>6</w:t>
            </w:r>
            <w:r w:rsidRPr="00C416D4">
              <w:noBreakHyphen/>
              <w:t xml:space="preserve">hex </w:t>
            </w:r>
            <w:r w:rsidRPr="00C416D4">
              <w:rPr>
                <w:b/>
                <w:bCs/>
              </w:rPr>
              <w:t>CRC32C</w:t>
            </w:r>
            <w:r w:rsidRPr="00C416D4">
              <w:rPr>
                <w:b/>
                <w:bCs/>
              </w:rPr>
              <w:noBreakHyphen/>
              <w:t>24</w:t>
            </w:r>
            <w:r w:rsidRPr="00C416D4">
              <w:t xml:space="preserve"> over bytes of ts..z</w:t>
            </w:r>
          </w:p>
        </w:tc>
      </w:tr>
      <w:tr w:rsidR="00C416D4" w:rsidRPr="00C416D4" w14:paraId="3DFC7B91" w14:textId="77777777">
        <w:trPr>
          <w:tblCellSpacing w:w="15" w:type="dxa"/>
        </w:trPr>
        <w:tc>
          <w:tcPr>
            <w:tcW w:w="0" w:type="auto"/>
            <w:vAlign w:val="center"/>
            <w:hideMark/>
          </w:tcPr>
          <w:p w14:paraId="24BB441E" w14:textId="77777777" w:rsidR="00C416D4" w:rsidRPr="00C416D4" w:rsidRDefault="00C416D4" w:rsidP="00C416D4">
            <w:r w:rsidRPr="00C416D4">
              <w:t>uh</w:t>
            </w:r>
          </w:p>
        </w:tc>
        <w:tc>
          <w:tcPr>
            <w:tcW w:w="0" w:type="auto"/>
            <w:vAlign w:val="center"/>
            <w:hideMark/>
          </w:tcPr>
          <w:p w14:paraId="3F3103F9" w14:textId="77777777" w:rsidR="00C416D4" w:rsidRPr="00C416D4" w:rsidRDefault="00C416D4" w:rsidP="00C416D4">
            <w:r w:rsidRPr="00C416D4">
              <w:t>4</w:t>
            </w:r>
          </w:p>
        </w:tc>
        <w:tc>
          <w:tcPr>
            <w:tcW w:w="0" w:type="auto"/>
            <w:vAlign w:val="center"/>
            <w:hideMark/>
          </w:tcPr>
          <w:p w14:paraId="56722F76" w14:textId="77777777" w:rsidR="00C416D4" w:rsidRPr="00C416D4" w:rsidRDefault="00C416D4" w:rsidP="00C416D4">
            <w:r w:rsidRPr="00C416D4">
              <w:t>87–90</w:t>
            </w:r>
          </w:p>
        </w:tc>
        <w:tc>
          <w:tcPr>
            <w:tcW w:w="0" w:type="auto"/>
            <w:vAlign w:val="center"/>
            <w:hideMark/>
          </w:tcPr>
          <w:p w14:paraId="7593B10F" w14:textId="77777777" w:rsidR="00C416D4" w:rsidRPr="00C416D4" w:rsidRDefault="00C416D4" w:rsidP="00C416D4">
            <w:r w:rsidRPr="00C416D4">
              <w:t>0000–9999 m (1</w:t>
            </w:r>
            <w:r w:rsidRPr="00C416D4">
              <w:noBreakHyphen/>
              <w:t>σ horizontal)</w:t>
            </w:r>
          </w:p>
        </w:tc>
      </w:tr>
      <w:tr w:rsidR="00C416D4" w:rsidRPr="00C416D4" w14:paraId="4386F02E" w14:textId="77777777">
        <w:trPr>
          <w:tblCellSpacing w:w="15" w:type="dxa"/>
        </w:trPr>
        <w:tc>
          <w:tcPr>
            <w:tcW w:w="0" w:type="auto"/>
            <w:vAlign w:val="center"/>
            <w:hideMark/>
          </w:tcPr>
          <w:p w14:paraId="1A1D51E7" w14:textId="77777777" w:rsidR="00C416D4" w:rsidRPr="00C416D4" w:rsidRDefault="00C416D4" w:rsidP="00C416D4">
            <w:r w:rsidRPr="00C416D4">
              <w:t>uv</w:t>
            </w:r>
          </w:p>
        </w:tc>
        <w:tc>
          <w:tcPr>
            <w:tcW w:w="0" w:type="auto"/>
            <w:vAlign w:val="center"/>
            <w:hideMark/>
          </w:tcPr>
          <w:p w14:paraId="71DBD7CB" w14:textId="77777777" w:rsidR="00C416D4" w:rsidRPr="00C416D4" w:rsidRDefault="00C416D4" w:rsidP="00C416D4">
            <w:r w:rsidRPr="00C416D4">
              <w:t>4</w:t>
            </w:r>
          </w:p>
        </w:tc>
        <w:tc>
          <w:tcPr>
            <w:tcW w:w="0" w:type="auto"/>
            <w:vAlign w:val="center"/>
            <w:hideMark/>
          </w:tcPr>
          <w:p w14:paraId="19F26E86" w14:textId="77777777" w:rsidR="00C416D4" w:rsidRPr="00C416D4" w:rsidRDefault="00C416D4" w:rsidP="00C416D4">
            <w:r w:rsidRPr="00C416D4">
              <w:t>91–94</w:t>
            </w:r>
          </w:p>
        </w:tc>
        <w:tc>
          <w:tcPr>
            <w:tcW w:w="0" w:type="auto"/>
            <w:vAlign w:val="center"/>
            <w:hideMark/>
          </w:tcPr>
          <w:p w14:paraId="0486D430" w14:textId="77777777" w:rsidR="00C416D4" w:rsidRPr="00C416D4" w:rsidRDefault="00C416D4" w:rsidP="00C416D4">
            <w:r w:rsidRPr="00C416D4">
              <w:t>0000–9999 m (1</w:t>
            </w:r>
            <w:r w:rsidRPr="00C416D4">
              <w:noBreakHyphen/>
              <w:t>σ vertical)</w:t>
            </w:r>
          </w:p>
        </w:tc>
      </w:tr>
      <w:tr w:rsidR="00C416D4" w:rsidRPr="00C416D4" w14:paraId="1C18C791" w14:textId="77777777">
        <w:trPr>
          <w:tblCellSpacing w:w="15" w:type="dxa"/>
        </w:trPr>
        <w:tc>
          <w:tcPr>
            <w:tcW w:w="0" w:type="auto"/>
            <w:vAlign w:val="center"/>
            <w:hideMark/>
          </w:tcPr>
          <w:p w14:paraId="2AB8FE23" w14:textId="77777777" w:rsidR="00C416D4" w:rsidRPr="00C416D4" w:rsidRDefault="00C416D4" w:rsidP="00C416D4">
            <w:r w:rsidRPr="00C416D4">
              <w:t>tc</w:t>
            </w:r>
          </w:p>
        </w:tc>
        <w:tc>
          <w:tcPr>
            <w:tcW w:w="0" w:type="auto"/>
            <w:vAlign w:val="center"/>
            <w:hideMark/>
          </w:tcPr>
          <w:p w14:paraId="15FA4DFF" w14:textId="77777777" w:rsidR="00C416D4" w:rsidRPr="00C416D4" w:rsidRDefault="00C416D4" w:rsidP="00C416D4">
            <w:r w:rsidRPr="00C416D4">
              <w:t>1</w:t>
            </w:r>
          </w:p>
        </w:tc>
        <w:tc>
          <w:tcPr>
            <w:tcW w:w="0" w:type="auto"/>
            <w:vAlign w:val="center"/>
            <w:hideMark/>
          </w:tcPr>
          <w:p w14:paraId="3E8EFBD7" w14:textId="77777777" w:rsidR="00C416D4" w:rsidRPr="00C416D4" w:rsidRDefault="00C416D4" w:rsidP="00C416D4">
            <w:r w:rsidRPr="00C416D4">
              <w:t>95–95</w:t>
            </w:r>
          </w:p>
        </w:tc>
        <w:tc>
          <w:tcPr>
            <w:tcW w:w="0" w:type="auto"/>
            <w:vAlign w:val="center"/>
            <w:hideMark/>
          </w:tcPr>
          <w:p w14:paraId="0E603688" w14:textId="77777777" w:rsidR="00C416D4" w:rsidRPr="00C416D4" w:rsidRDefault="00C416D4" w:rsidP="00C416D4">
            <w:r w:rsidRPr="00C416D4">
              <w:t xml:space="preserve">timing </w:t>
            </w:r>
            <w:r w:rsidRPr="00C416D4">
              <w:rPr>
                <w:b/>
                <w:bCs/>
              </w:rPr>
              <w:t>class</w:t>
            </w:r>
            <w:r w:rsidRPr="00C416D4">
              <w:t xml:space="preserve"> (G/A/N/Q)</w:t>
            </w:r>
          </w:p>
        </w:tc>
      </w:tr>
      <w:tr w:rsidR="00C416D4" w:rsidRPr="00C416D4" w14:paraId="77BA144C" w14:textId="77777777">
        <w:trPr>
          <w:tblCellSpacing w:w="15" w:type="dxa"/>
        </w:trPr>
        <w:tc>
          <w:tcPr>
            <w:tcW w:w="0" w:type="auto"/>
            <w:vAlign w:val="center"/>
            <w:hideMark/>
          </w:tcPr>
          <w:p w14:paraId="7DACB613" w14:textId="77777777" w:rsidR="00C416D4" w:rsidRPr="00C416D4" w:rsidRDefault="00C416D4" w:rsidP="00C416D4">
            <w:r w:rsidRPr="00C416D4">
              <w:t>ta</w:t>
            </w:r>
          </w:p>
        </w:tc>
        <w:tc>
          <w:tcPr>
            <w:tcW w:w="0" w:type="auto"/>
            <w:vAlign w:val="center"/>
            <w:hideMark/>
          </w:tcPr>
          <w:p w14:paraId="65D20424" w14:textId="77777777" w:rsidR="00C416D4" w:rsidRPr="00C416D4" w:rsidRDefault="00C416D4" w:rsidP="00C416D4">
            <w:r w:rsidRPr="00C416D4">
              <w:t>4</w:t>
            </w:r>
          </w:p>
        </w:tc>
        <w:tc>
          <w:tcPr>
            <w:tcW w:w="0" w:type="auto"/>
            <w:vAlign w:val="center"/>
            <w:hideMark/>
          </w:tcPr>
          <w:p w14:paraId="44F5C20D" w14:textId="77777777" w:rsidR="00C416D4" w:rsidRPr="00C416D4" w:rsidRDefault="00C416D4" w:rsidP="00C416D4">
            <w:r w:rsidRPr="00C416D4">
              <w:t>96–99</w:t>
            </w:r>
          </w:p>
        </w:tc>
        <w:tc>
          <w:tcPr>
            <w:tcW w:w="0" w:type="auto"/>
            <w:vAlign w:val="center"/>
            <w:hideMark/>
          </w:tcPr>
          <w:p w14:paraId="232258EC" w14:textId="77777777" w:rsidR="00C416D4" w:rsidRPr="00C416D4" w:rsidRDefault="00C416D4" w:rsidP="00C416D4">
            <w:r w:rsidRPr="00C416D4">
              <w:t>0000–9999 ms (1</w:t>
            </w:r>
            <w:r w:rsidRPr="00C416D4">
              <w:noBreakHyphen/>
              <w:t>σ timing)</w:t>
            </w:r>
          </w:p>
        </w:tc>
      </w:tr>
    </w:tbl>
    <w:p w14:paraId="38A99B26" w14:textId="77777777" w:rsidR="00C416D4" w:rsidRPr="00C416D4" w:rsidRDefault="00C416D4" w:rsidP="00C416D4">
      <w:r w:rsidRPr="00C416D4">
        <w:rPr>
          <w:b/>
          <w:bCs/>
        </w:rPr>
        <w:t>v0.9 defaults (normative).</w:t>
      </w:r>
      <w:r w:rsidRPr="00C416D4">
        <w:t xml:space="preserve"> Timescale is </w:t>
      </w:r>
      <w:r w:rsidRPr="00C416D4">
        <w:rPr>
          <w:b/>
          <w:bCs/>
        </w:rPr>
        <w:t>UTC</w:t>
      </w:r>
      <w:r w:rsidRPr="00C416D4">
        <w:t xml:space="preserve">; for Earth (PB00399) producers MUST use </w:t>
      </w:r>
      <w:r w:rsidRPr="00C416D4">
        <w:rPr>
          <w:b/>
          <w:bCs/>
        </w:rPr>
        <w:t>ITRF2020</w:t>
      </w:r>
      <w:r w:rsidRPr="00C416D4">
        <w:t xml:space="preserve"> with </w:t>
      </w:r>
      <w:r w:rsidRPr="00C416D4">
        <w:rPr>
          <w:b/>
          <w:bCs/>
        </w:rPr>
        <w:t>IGS final EOPs</w:t>
      </w:r>
      <w:r w:rsidRPr="00C416D4">
        <w:t xml:space="preserve"> when deriving ECEF; consumers SHALL assume the same unless an out</w:t>
      </w:r>
      <w:r w:rsidRPr="00C416D4">
        <w:noBreakHyphen/>
        <w:t>of</w:t>
      </w:r>
      <w:r w:rsidRPr="00C416D4">
        <w:noBreakHyphen/>
        <w:t>band declaration overrides. (Selectors become in</w:t>
      </w:r>
      <w:r w:rsidRPr="00C416D4">
        <w:noBreakHyphen/>
        <w:t>band at v1.0.)</w:t>
      </w:r>
    </w:p>
    <w:p w14:paraId="5DB1DE3D" w14:textId="77777777" w:rsidR="00C416D4" w:rsidRPr="00C416D4" w:rsidRDefault="00C416D4" w:rsidP="00C416D4">
      <w:r w:rsidRPr="00C416D4">
        <w:rPr>
          <w:b/>
          <w:bCs/>
        </w:rPr>
        <w:lastRenderedPageBreak/>
        <w:t>Priority and reconciliation.</w:t>
      </w:r>
      <w:r w:rsidRPr="00C416D4">
        <w:t xml:space="preserve"> x,y,z are </w:t>
      </w:r>
      <w:r w:rsidRPr="00C416D4">
        <w:rPr>
          <w:b/>
          <w:bCs/>
        </w:rPr>
        <w:t>canonical</w:t>
      </w:r>
      <w:r w:rsidRPr="00C416D4">
        <w:t xml:space="preserve">; lat,lon,alt are </w:t>
      </w:r>
      <w:r w:rsidRPr="00C416D4">
        <w:rPr>
          <w:b/>
          <w:bCs/>
        </w:rPr>
        <w:t>advisory</w:t>
      </w:r>
      <w:r w:rsidRPr="00C416D4">
        <w:t xml:space="preserve">. From advisory geodetic values compute ECEF′; accept if </w:t>
      </w:r>
      <w:r w:rsidRPr="00C416D4">
        <w:rPr>
          <w:rFonts w:ascii="Arial" w:hAnsi="Arial" w:cs="Arial"/>
        </w:rPr>
        <w:t>‖</w:t>
      </w:r>
      <w:r w:rsidRPr="00C416D4">
        <w:t xml:space="preserve">ECEF </w:t>
      </w:r>
      <w:r w:rsidRPr="00C416D4">
        <w:rPr>
          <w:rFonts w:ascii="Aptos" w:hAnsi="Aptos" w:cs="Aptos"/>
        </w:rPr>
        <w:t>−</w:t>
      </w:r>
      <w:r w:rsidRPr="00C416D4">
        <w:t xml:space="preserve"> ECEF</w:t>
      </w:r>
      <w:r w:rsidRPr="00C416D4">
        <w:rPr>
          <w:rFonts w:ascii="Aptos" w:hAnsi="Aptos" w:cs="Aptos"/>
        </w:rPr>
        <w:t>′</w:t>
      </w:r>
      <w:r w:rsidRPr="00C416D4">
        <w:rPr>
          <w:rFonts w:ascii="Arial" w:hAnsi="Arial" w:cs="Arial"/>
        </w:rPr>
        <w:t>‖</w:t>
      </w:r>
      <w:r w:rsidRPr="00C416D4">
        <w:t xml:space="preserve"> </w:t>
      </w:r>
      <w:r w:rsidRPr="00C416D4">
        <w:rPr>
          <w:rFonts w:ascii="Aptos" w:hAnsi="Aptos" w:cs="Aptos"/>
        </w:rPr>
        <w:t>≤</w:t>
      </w:r>
      <w:r w:rsidRPr="00C416D4">
        <w:t xml:space="preserve"> max(UH, UV, 0.5 m), else set </w:t>
      </w:r>
      <w:r w:rsidRPr="00C416D4">
        <w:rPr>
          <w:b/>
          <w:bCs/>
        </w:rPr>
        <w:t>MISMATCH=1</w:t>
      </w:r>
      <w:r w:rsidRPr="00C416D4">
        <w:t xml:space="preserve"> and prefer canonical ECEF for transforms.</w:t>
      </w:r>
    </w:p>
    <w:p w14:paraId="0BA7B769" w14:textId="77777777" w:rsidR="00C416D4" w:rsidRPr="00C416D4" w:rsidRDefault="00C416D4" w:rsidP="00C416D4">
      <w:r w:rsidRPr="00C416D4">
        <w:rPr>
          <w:b/>
          <w:bCs/>
        </w:rPr>
        <w:t>Uncertainty semantics.</w:t>
      </w:r>
      <w:r w:rsidRPr="00C416D4">
        <w:t xml:space="preserve"> UH/UV in meters (</w:t>
      </w:r>
      <w:r w:rsidRPr="00C416D4">
        <w:rPr>
          <w:b/>
          <w:bCs/>
        </w:rPr>
        <w:t>1</w:t>
      </w:r>
      <w:r w:rsidRPr="00C416D4">
        <w:rPr>
          <w:b/>
          <w:bCs/>
        </w:rPr>
        <w:noBreakHyphen/>
        <w:t>σ</w:t>
      </w:r>
      <w:r w:rsidRPr="00C416D4">
        <w:t>); TA in milliseconds (</w:t>
      </w:r>
      <w:r w:rsidRPr="00C416D4">
        <w:rPr>
          <w:b/>
          <w:bCs/>
        </w:rPr>
        <w:t>1</w:t>
      </w:r>
      <w:r w:rsidRPr="00C416D4">
        <w:rPr>
          <w:b/>
          <w:bCs/>
        </w:rPr>
        <w:noBreakHyphen/>
        <w:t>σ</w:t>
      </w:r>
      <w:r w:rsidRPr="00C416D4">
        <w:t xml:space="preserve">). 0000 denotes ≤ quantization floor; 9999 denotes </w:t>
      </w:r>
      <w:r w:rsidRPr="00C416D4">
        <w:rPr>
          <w:b/>
          <w:bCs/>
        </w:rPr>
        <w:t>unknown</w:t>
      </w:r>
      <w:r w:rsidRPr="00C416D4">
        <w:t>. Use TA as the comparison window near leap</w:t>
      </w:r>
      <w:r w:rsidRPr="00C416D4">
        <w:noBreakHyphen/>
        <w:t>second edges.</w:t>
      </w:r>
    </w:p>
    <w:p w14:paraId="3C33E42D" w14:textId="77777777" w:rsidR="00C416D4" w:rsidRPr="00C416D4" w:rsidRDefault="00C416D4" w:rsidP="00C416D4">
      <w:pPr>
        <w:rPr>
          <w:b/>
          <w:bCs/>
        </w:rPr>
      </w:pPr>
      <w:r w:rsidRPr="00C416D4">
        <w:rPr>
          <w:b/>
          <w:bCs/>
        </w:rPr>
        <w:t>2.4 Transport (T</w:t>
      </w:r>
      <w:r w:rsidRPr="00C416D4">
        <w:rPr>
          <w:b/>
          <w:bCs/>
        </w:rPr>
        <w:noBreakHyphen/>
        <w:t>mode) Safety (normative)</w:t>
      </w:r>
    </w:p>
    <w:p w14:paraId="2DC5728F" w14:textId="77777777" w:rsidR="00C416D4" w:rsidRPr="00C416D4" w:rsidRDefault="00C416D4" w:rsidP="00C416D4">
      <w:r w:rsidRPr="00C416D4">
        <w:rPr>
          <w:b/>
          <w:bCs/>
        </w:rPr>
        <w:t>Scope.</w:t>
      </w:r>
      <w:r w:rsidRPr="00C416D4">
        <w:t xml:space="preserve"> Integer numeric fields only (r0, d_m31, a6, alt, x, y, z, uh, uv, ta). Not permitted for ts, lat, lon, checksums, or alpha/alnum codes.</w:t>
      </w:r>
    </w:p>
    <w:p w14:paraId="0AC8941F" w14:textId="77777777" w:rsidR="00C416D4" w:rsidRPr="00C416D4" w:rsidRDefault="00C416D4" w:rsidP="00C416D4">
      <w:pPr>
        <w:numPr>
          <w:ilvl w:val="0"/>
          <w:numId w:val="4"/>
        </w:numPr>
      </w:pPr>
      <w:r w:rsidRPr="00C416D4">
        <w:t>&amp; replaces leading zeros after the sign (must leave ≥1 digit; all</w:t>
      </w:r>
      <w:r w:rsidRPr="00C416D4">
        <w:noBreakHyphen/>
        <w:t>zero integers stay literal).</w:t>
      </w:r>
    </w:p>
    <w:p w14:paraId="4BE71744" w14:textId="77777777" w:rsidR="00C416D4" w:rsidRPr="00C416D4" w:rsidRDefault="00C416D4" w:rsidP="00C416D4">
      <w:pPr>
        <w:numPr>
          <w:ilvl w:val="0"/>
          <w:numId w:val="4"/>
        </w:numPr>
      </w:pPr>
      <w:r w:rsidRPr="00C416D4">
        <w:t>x replaces each internal 00 pair (after any &amp; processing).</w:t>
      </w:r>
    </w:p>
    <w:p w14:paraId="7B7479C5" w14:textId="77777777" w:rsidR="00C416D4" w:rsidRPr="00C416D4" w:rsidRDefault="00C416D4" w:rsidP="00C416D4">
      <w:pPr>
        <w:numPr>
          <w:ilvl w:val="0"/>
          <w:numId w:val="4"/>
        </w:numPr>
      </w:pPr>
      <w:r w:rsidRPr="00C416D4">
        <w:t xml:space="preserve">Checksums and alpha/alnum codes are </w:t>
      </w:r>
      <w:r w:rsidRPr="00C416D4">
        <w:rPr>
          <w:b/>
          <w:bCs/>
        </w:rPr>
        <w:t>literal</w:t>
      </w:r>
      <w:r w:rsidRPr="00C416D4">
        <w:t xml:space="preserve"> (no &amp;/x).</w:t>
      </w:r>
    </w:p>
    <w:p w14:paraId="3E707440" w14:textId="77777777" w:rsidR="00C416D4" w:rsidRPr="00C416D4" w:rsidRDefault="00C416D4" w:rsidP="00C416D4">
      <w:pPr>
        <w:numPr>
          <w:ilvl w:val="0"/>
          <w:numId w:val="4"/>
        </w:numPr>
      </w:pPr>
      <w:r w:rsidRPr="00C416D4">
        <w:rPr>
          <w:b/>
          <w:bCs/>
        </w:rPr>
        <w:t>Per</w:t>
      </w:r>
      <w:r w:rsidRPr="00C416D4">
        <w:rPr>
          <w:b/>
          <w:bCs/>
        </w:rPr>
        <w:noBreakHyphen/>
        <w:t>field expansion</w:t>
      </w:r>
      <w:r w:rsidRPr="00C416D4">
        <w:t xml:space="preserve"> (x→00, then &amp;→zeros) is </w:t>
      </w:r>
      <w:r w:rsidRPr="00C416D4">
        <w:rPr>
          <w:b/>
          <w:bCs/>
        </w:rPr>
        <w:t>required before checksum verification</w:t>
      </w:r>
      <w:r w:rsidRPr="00C416D4">
        <w:t>. Special sentinel for UH/UV/TA: a single &amp; MAY stand for 9999.</w:t>
      </w:r>
    </w:p>
    <w:p w14:paraId="7B28947C" w14:textId="77777777" w:rsidR="00C416D4" w:rsidRPr="00C416D4" w:rsidRDefault="00C416D4" w:rsidP="00C416D4">
      <w:r w:rsidRPr="00C416D4">
        <w:pict w14:anchorId="7B976060">
          <v:rect id="_x0000_i1087" style="width:0;height:1.5pt" o:hralign="center" o:hrstd="t" o:hr="t" fillcolor="#a0a0a0" stroked="f"/>
        </w:pict>
      </w:r>
    </w:p>
    <w:p w14:paraId="5ED5660F" w14:textId="77777777" w:rsidR="00C416D4" w:rsidRPr="00C416D4" w:rsidRDefault="00C416D4" w:rsidP="00C416D4">
      <w:pPr>
        <w:rPr>
          <w:b/>
          <w:bCs/>
        </w:rPr>
      </w:pPr>
      <w:r w:rsidRPr="00C416D4">
        <w:rPr>
          <w:b/>
          <w:bCs/>
        </w:rPr>
        <w:t>3. Design Justification</w:t>
      </w:r>
    </w:p>
    <w:p w14:paraId="3BB947F5" w14:textId="77777777" w:rsidR="00C416D4" w:rsidRPr="00C416D4" w:rsidRDefault="00C416D4" w:rsidP="00C416D4">
      <w:pPr>
        <w:numPr>
          <w:ilvl w:val="0"/>
          <w:numId w:val="5"/>
        </w:numPr>
      </w:pPr>
      <w:r w:rsidRPr="00C416D4">
        <w:rPr>
          <w:b/>
          <w:bCs/>
        </w:rPr>
        <w:t>Fixed</w:t>
      </w:r>
      <w:r w:rsidRPr="00C416D4">
        <w:rPr>
          <w:b/>
          <w:bCs/>
        </w:rPr>
        <w:noBreakHyphen/>
        <w:t>width, no separators.</w:t>
      </w:r>
      <w:r w:rsidRPr="00C416D4">
        <w:t xml:space="preserve"> Maximizes robustness in low</w:t>
      </w:r>
      <w:r w:rsidRPr="00C416D4">
        <w:noBreakHyphen/>
        <w:t>context environments; mirrors long</w:t>
      </w:r>
      <w:r w:rsidRPr="00C416D4">
        <w:noBreakHyphen/>
        <w:t>standing telemetry practices.</w:t>
      </w:r>
    </w:p>
    <w:p w14:paraId="4E0A5B2B" w14:textId="77777777" w:rsidR="00C416D4" w:rsidRPr="00C416D4" w:rsidRDefault="00C416D4" w:rsidP="00C416D4">
      <w:pPr>
        <w:numPr>
          <w:ilvl w:val="0"/>
          <w:numId w:val="5"/>
        </w:numPr>
      </w:pPr>
      <w:r w:rsidRPr="00C416D4">
        <w:rPr>
          <w:b/>
          <w:bCs/>
        </w:rPr>
        <w:t>ICRS/ICRF3 anchors.</w:t>
      </w:r>
      <w:r w:rsidRPr="00C416D4">
        <w:t xml:space="preserve"> Inertial, extragalactic frame anchored to quasars; IAU standard for sub</w:t>
      </w:r>
      <w:r w:rsidRPr="00C416D4">
        <w:noBreakHyphen/>
        <w:t>mas astrometry.</w:t>
      </w:r>
    </w:p>
    <w:p w14:paraId="7E58604D" w14:textId="77777777" w:rsidR="00C416D4" w:rsidRPr="00C416D4" w:rsidRDefault="00C416D4" w:rsidP="00C416D4">
      <w:pPr>
        <w:numPr>
          <w:ilvl w:val="0"/>
          <w:numId w:val="5"/>
        </w:numPr>
      </w:pPr>
      <w:r w:rsidRPr="00C416D4">
        <w:rPr>
          <w:b/>
          <w:bCs/>
        </w:rPr>
        <w:t>WGS</w:t>
      </w:r>
      <w:r w:rsidRPr="00C416D4">
        <w:rPr>
          <w:b/>
          <w:bCs/>
        </w:rPr>
        <w:noBreakHyphen/>
        <w:t>84 + ITRF + ECEF.</w:t>
      </w:r>
      <w:r w:rsidRPr="00C416D4">
        <w:t xml:space="preserve"> Global geodetic backbone; natural bridge to inertial frames for physics</w:t>
      </w:r>
      <w:r w:rsidRPr="00C416D4">
        <w:noBreakHyphen/>
        <w:t>based transforms.</w:t>
      </w:r>
    </w:p>
    <w:p w14:paraId="1F736874" w14:textId="77777777" w:rsidR="00C416D4" w:rsidRPr="00C416D4" w:rsidRDefault="00C416D4" w:rsidP="00C416D4">
      <w:pPr>
        <w:numPr>
          <w:ilvl w:val="0"/>
          <w:numId w:val="5"/>
        </w:numPr>
      </w:pPr>
      <w:r w:rsidRPr="00C416D4">
        <w:rPr>
          <w:b/>
          <w:bCs/>
        </w:rPr>
        <w:t>CMB/ΛCDM context.</w:t>
      </w:r>
      <w:r w:rsidRPr="00C416D4">
        <w:t xml:space="preserve"> CMB rest</w:t>
      </w:r>
      <w:r w:rsidRPr="00C416D4">
        <w:noBreakHyphen/>
        <w:t xml:space="preserve">frame orientation and scale factor </w:t>
      </w:r>
      <w:r w:rsidRPr="00C416D4">
        <w:rPr>
          <w:i/>
          <w:iCs/>
        </w:rPr>
        <w:t>a</w:t>
      </w:r>
      <w:r w:rsidRPr="00C416D4">
        <w:t xml:space="preserve"> provide a universal compass and clock.</w:t>
      </w:r>
    </w:p>
    <w:p w14:paraId="297AF4FF" w14:textId="77777777" w:rsidR="00C416D4" w:rsidRPr="00C416D4" w:rsidRDefault="00C416D4" w:rsidP="00C416D4">
      <w:pPr>
        <w:numPr>
          <w:ilvl w:val="0"/>
          <w:numId w:val="5"/>
        </w:numPr>
      </w:pPr>
      <w:r w:rsidRPr="00C416D4">
        <w:rPr>
          <w:b/>
          <w:bCs/>
        </w:rPr>
        <w:t>Checksums.</w:t>
      </w:r>
      <w:r w:rsidRPr="00C416D4">
        <w:t xml:space="preserve"> OA uses </w:t>
      </w:r>
      <w:r w:rsidRPr="00C416D4">
        <w:rPr>
          <w:b/>
          <w:bCs/>
        </w:rPr>
        <w:t>CRC32C</w:t>
      </w:r>
      <w:r w:rsidRPr="00C416D4">
        <w:rPr>
          <w:b/>
          <w:bCs/>
        </w:rPr>
        <w:noBreakHyphen/>
        <w:t>24</w:t>
      </w:r>
      <w:r w:rsidRPr="00C416D4">
        <w:t xml:space="preserve"> (6 hex); MWP uses </w:t>
      </w:r>
      <w:r w:rsidRPr="00C416D4">
        <w:rPr>
          <w:b/>
          <w:bCs/>
        </w:rPr>
        <w:t>CRC16/X25</w:t>
      </w:r>
      <w:r w:rsidRPr="00C416D4">
        <w:t xml:space="preserve"> (4 hex) — short, high</w:t>
      </w:r>
      <w:r w:rsidRPr="00C416D4">
        <w:noBreakHyphen/>
        <w:t>detection integrity.</w:t>
      </w:r>
    </w:p>
    <w:p w14:paraId="6D159FB8" w14:textId="77777777" w:rsidR="00C416D4" w:rsidRPr="00C416D4" w:rsidRDefault="00C416D4" w:rsidP="00C416D4">
      <w:r w:rsidRPr="00C416D4">
        <w:pict w14:anchorId="79592FE4">
          <v:rect id="_x0000_i1088" style="width:0;height:1.5pt" o:hralign="center" o:hrstd="t" o:hr="t" fillcolor="#a0a0a0" stroked="f"/>
        </w:pict>
      </w:r>
    </w:p>
    <w:p w14:paraId="719D41D0" w14:textId="77777777" w:rsidR="00C416D4" w:rsidRPr="00C416D4" w:rsidRDefault="00C416D4" w:rsidP="00C416D4">
      <w:pPr>
        <w:rPr>
          <w:b/>
          <w:bCs/>
        </w:rPr>
      </w:pPr>
      <w:r w:rsidRPr="00C416D4">
        <w:rPr>
          <w:b/>
          <w:bCs/>
        </w:rPr>
        <w:t>4. Reconstruction Guarantees</w:t>
      </w:r>
    </w:p>
    <w:p w14:paraId="38F2BF06" w14:textId="77777777" w:rsidR="00C416D4" w:rsidRPr="00C416D4" w:rsidRDefault="00C416D4" w:rsidP="00C416D4">
      <w:pPr>
        <w:numPr>
          <w:ilvl w:val="0"/>
          <w:numId w:val="6"/>
        </w:numPr>
      </w:pPr>
      <w:r w:rsidRPr="00C416D4">
        <w:lastRenderedPageBreak/>
        <w:t xml:space="preserve">If the </w:t>
      </w:r>
      <w:r w:rsidRPr="00C416D4">
        <w:rPr>
          <w:b/>
          <w:bCs/>
        </w:rPr>
        <w:t>MWP</w:t>
      </w:r>
      <w:r w:rsidRPr="00C416D4">
        <w:t xml:space="preserve"> is lost, </w:t>
      </w:r>
      <w:r w:rsidRPr="00C416D4">
        <w:rPr>
          <w:b/>
          <w:bCs/>
        </w:rPr>
        <w:t>OA</w:t>
      </w:r>
      <w:r w:rsidRPr="00C416D4">
        <w:t xml:space="preserve"> still resolves to an exact Earth location and time; cosmic placement can be recomputed with standard frame transformations.</w:t>
      </w:r>
    </w:p>
    <w:p w14:paraId="539729C3" w14:textId="77777777" w:rsidR="00C416D4" w:rsidRPr="00C416D4" w:rsidRDefault="00C416D4" w:rsidP="00C416D4">
      <w:pPr>
        <w:numPr>
          <w:ilvl w:val="0"/>
          <w:numId w:val="6"/>
        </w:numPr>
      </w:pPr>
      <w:r w:rsidRPr="00C416D4">
        <w:t xml:space="preserve">If the </w:t>
      </w:r>
      <w:r w:rsidRPr="00C416D4">
        <w:rPr>
          <w:b/>
          <w:bCs/>
        </w:rPr>
        <w:t>OA</w:t>
      </w:r>
      <w:r w:rsidRPr="00C416D4">
        <w:t xml:space="preserve"> is lost, the </w:t>
      </w:r>
      <w:r w:rsidRPr="00C416D4">
        <w:rPr>
          <w:b/>
          <w:bCs/>
        </w:rPr>
        <w:t>MWP</w:t>
      </w:r>
      <w:r w:rsidRPr="00C416D4">
        <w:t xml:space="preserve"> still orients a receiver to the Milky Way (via Sgr A* and M31) and the cosmic epoch </w:t>
      </w:r>
      <w:r w:rsidRPr="00C416D4">
        <w:rPr>
          <w:i/>
          <w:iCs/>
        </w:rPr>
        <w:t>a</w:t>
      </w:r>
      <w:r w:rsidRPr="00C416D4">
        <w:t>, enabling recovery by correlating beacons and planetary ephemerides.</w:t>
      </w:r>
    </w:p>
    <w:p w14:paraId="6929FCD9" w14:textId="77777777" w:rsidR="00C416D4" w:rsidRPr="00C416D4" w:rsidRDefault="00C416D4" w:rsidP="00C416D4">
      <w:pPr>
        <w:numPr>
          <w:ilvl w:val="0"/>
          <w:numId w:val="6"/>
        </w:numPr>
      </w:pPr>
      <w:r w:rsidRPr="00C416D4">
        <w:t>Fixed widths, checksums, and the tolerance policy allow error detection and bounded reconstruction from partial strings.</w:t>
      </w:r>
    </w:p>
    <w:p w14:paraId="0AD5F6F6" w14:textId="77777777" w:rsidR="00C416D4" w:rsidRPr="00C416D4" w:rsidRDefault="00C416D4" w:rsidP="00C416D4">
      <w:r w:rsidRPr="00C416D4">
        <w:pict w14:anchorId="6D8F491E">
          <v:rect id="_x0000_i1089" style="width:0;height:1.5pt" o:hralign="center" o:hrstd="t" o:hr="t" fillcolor="#a0a0a0" stroked="f"/>
        </w:pict>
      </w:r>
    </w:p>
    <w:p w14:paraId="4D7004F2" w14:textId="77777777" w:rsidR="00C416D4" w:rsidRPr="00C416D4" w:rsidRDefault="00C416D4" w:rsidP="00C416D4">
      <w:pPr>
        <w:rPr>
          <w:b/>
          <w:bCs/>
        </w:rPr>
      </w:pPr>
      <w:r w:rsidRPr="00C416D4">
        <w:rPr>
          <w:b/>
          <w:bCs/>
        </w:rPr>
        <w:t>5. Methods and Implementation Notes</w:t>
      </w:r>
    </w:p>
    <w:p w14:paraId="5D7A9FFD" w14:textId="77777777" w:rsidR="00C416D4" w:rsidRPr="00C416D4" w:rsidRDefault="00C416D4" w:rsidP="00C416D4">
      <w:pPr>
        <w:numPr>
          <w:ilvl w:val="0"/>
          <w:numId w:val="7"/>
        </w:numPr>
      </w:pPr>
      <w:r w:rsidRPr="00C416D4">
        <w:rPr>
          <w:b/>
          <w:bCs/>
        </w:rPr>
        <w:t>Transforms.</w:t>
      </w:r>
      <w:r w:rsidRPr="00C416D4">
        <w:t xml:space="preserve"> ITRF/WGS</w:t>
      </w:r>
      <w:r w:rsidRPr="00C416D4">
        <w:noBreakHyphen/>
        <w:t>84 → ECEF → GCRS/ICRS via SPICE (e.g., pxform, sxform, spkezr) or equivalent. For v0.9 Earth defaults use ITRF2020 with IGS final EOPs; v1.0 will carry selectors in</w:t>
      </w:r>
      <w:r w:rsidRPr="00C416D4">
        <w:noBreakHyphen/>
        <w:t>band.</w:t>
      </w:r>
    </w:p>
    <w:p w14:paraId="44589237" w14:textId="77777777" w:rsidR="00C416D4" w:rsidRPr="00C416D4" w:rsidRDefault="00C416D4" w:rsidP="00C416D4">
      <w:pPr>
        <w:numPr>
          <w:ilvl w:val="0"/>
          <w:numId w:val="7"/>
        </w:numPr>
      </w:pPr>
      <w:r w:rsidRPr="00C416D4">
        <w:rPr>
          <w:b/>
          <w:bCs/>
        </w:rPr>
        <w:t>Cosmology.</w:t>
      </w:r>
      <w:r w:rsidRPr="00C416D4">
        <w:t xml:space="preserve"> Planck 2018 base</w:t>
      </w:r>
      <w:r w:rsidRPr="00C416D4">
        <w:noBreakHyphen/>
        <w:t xml:space="preserve">ΛCDM parameters for reproducible scale factor </w:t>
      </w:r>
      <w:r w:rsidRPr="00C416D4">
        <w:rPr>
          <w:i/>
          <w:iCs/>
        </w:rPr>
        <w:t>a</w:t>
      </w:r>
      <w:r w:rsidRPr="00C416D4">
        <w:t>.</w:t>
      </w:r>
    </w:p>
    <w:p w14:paraId="14EE11A3" w14:textId="77777777" w:rsidR="00C416D4" w:rsidRPr="00C416D4" w:rsidRDefault="00C416D4" w:rsidP="00C416D4">
      <w:pPr>
        <w:numPr>
          <w:ilvl w:val="0"/>
          <w:numId w:val="7"/>
        </w:numPr>
      </w:pPr>
      <w:r w:rsidRPr="00C416D4">
        <w:rPr>
          <w:b/>
          <w:bCs/>
        </w:rPr>
        <w:t>Beacons.</w:t>
      </w:r>
      <w:r w:rsidRPr="00C416D4">
        <w:t xml:space="preserve"> ICRF3 defining sources (quasars) and ATNF millisecond pulsars for high</w:t>
      </w:r>
      <w:r w:rsidRPr="00C416D4">
        <w:noBreakHyphen/>
        <w:t>stability anchors.</w:t>
      </w:r>
    </w:p>
    <w:p w14:paraId="0C2762E6" w14:textId="77777777" w:rsidR="00C416D4" w:rsidRPr="00C416D4" w:rsidRDefault="00C416D4" w:rsidP="00C416D4">
      <w:pPr>
        <w:numPr>
          <w:ilvl w:val="0"/>
          <w:numId w:val="7"/>
        </w:numPr>
      </w:pPr>
      <w:r w:rsidRPr="00C416D4">
        <w:rPr>
          <w:b/>
          <w:bCs/>
        </w:rPr>
        <w:t>Tolerance policy.</w:t>
      </w:r>
      <w:r w:rsidRPr="00C416D4">
        <w:t xml:space="preserve"> RA/Dec step 1e</w:t>
      </w:r>
      <w:r w:rsidRPr="00C416D4">
        <w:noBreakHyphen/>
        <w:t>5° (±0.018″); lat/lon step 1e</w:t>
      </w:r>
      <w:r w:rsidRPr="00C416D4">
        <w:noBreakHyphen/>
        <w:t>6° (±0.055 m); alt/ECEF axes ±0.5 m; time equality within TA.</w:t>
      </w:r>
    </w:p>
    <w:p w14:paraId="5E09CC5F" w14:textId="77777777" w:rsidR="00C416D4" w:rsidRPr="00C416D4" w:rsidRDefault="00C416D4" w:rsidP="00C416D4">
      <w:r w:rsidRPr="00C416D4">
        <w:pict w14:anchorId="2CF4F784">
          <v:rect id="_x0000_i1090" style="width:0;height:1.5pt" o:hralign="center" o:hrstd="t" o:hr="t" fillcolor="#a0a0a0" stroked="f"/>
        </w:pict>
      </w:r>
    </w:p>
    <w:p w14:paraId="38F248E8" w14:textId="77777777" w:rsidR="00C416D4" w:rsidRPr="00C416D4" w:rsidRDefault="00C416D4" w:rsidP="00C416D4">
      <w:pPr>
        <w:rPr>
          <w:b/>
          <w:bCs/>
        </w:rPr>
      </w:pPr>
      <w:r w:rsidRPr="00C416D4">
        <w:rPr>
          <w:b/>
          <w:bCs/>
        </w:rPr>
        <w:t>6. Ethical and Operational Considerations</w:t>
      </w:r>
    </w:p>
    <w:p w14:paraId="41E3B171" w14:textId="77777777" w:rsidR="00C416D4" w:rsidRPr="00C416D4" w:rsidRDefault="00C416D4" w:rsidP="00C416D4">
      <w:r w:rsidRPr="00C416D4">
        <w:t>Publishing a self</w:t>
      </w:r>
      <w:r w:rsidRPr="00C416D4">
        <w:noBreakHyphen/>
        <w:t>decoding address is intentionally discoverable. Where operational security is required, precision may be degraded (fewer decimals, rounded epoch) while retaining mask validity. For “please find me” signaling, high precision is preferred and multiple anchors increase redundancy.</w:t>
      </w:r>
    </w:p>
    <w:p w14:paraId="571B08A0" w14:textId="77777777" w:rsidR="00C416D4" w:rsidRPr="00C416D4" w:rsidRDefault="00C416D4" w:rsidP="00C416D4">
      <w:r w:rsidRPr="00C416D4">
        <w:pict w14:anchorId="4CC840EB">
          <v:rect id="_x0000_i1091" style="width:0;height:1.5pt" o:hralign="center" o:hrstd="t" o:hr="t" fillcolor="#a0a0a0" stroked="f"/>
        </w:pict>
      </w:r>
    </w:p>
    <w:p w14:paraId="4326D464" w14:textId="77777777" w:rsidR="00C416D4" w:rsidRPr="00C416D4" w:rsidRDefault="00C416D4" w:rsidP="00C416D4">
      <w:pPr>
        <w:rPr>
          <w:b/>
          <w:bCs/>
        </w:rPr>
      </w:pPr>
      <w:r w:rsidRPr="00C416D4">
        <w:rPr>
          <w:b/>
          <w:bCs/>
        </w:rPr>
        <w:t>7. Future</w:t>
      </w:r>
      <w:r w:rsidRPr="00C416D4">
        <w:rPr>
          <w:b/>
          <w:bCs/>
        </w:rPr>
        <w:noBreakHyphen/>
        <w:t>Proofing (Optional, Non</w:t>
      </w:r>
      <w:r w:rsidRPr="00C416D4">
        <w:rPr>
          <w:b/>
          <w:bCs/>
        </w:rPr>
        <w:noBreakHyphen/>
        <w:t>Breaking)</w:t>
      </w:r>
    </w:p>
    <w:p w14:paraId="43AEDA3E" w14:textId="77777777" w:rsidR="00C416D4" w:rsidRPr="00C416D4" w:rsidRDefault="00C416D4" w:rsidP="00C416D4">
      <w:r w:rsidRPr="00C416D4">
        <w:t xml:space="preserve">Optional blocks appear after OA chk in any order; each carries its own </w:t>
      </w:r>
      <w:r w:rsidRPr="00C416D4">
        <w:rPr>
          <w:b/>
          <w:bCs/>
        </w:rPr>
        <w:t>CRC16/X25 (4 hex)</w:t>
      </w:r>
      <w:r w:rsidRPr="00C416D4">
        <w:t>.</w:t>
      </w:r>
    </w:p>
    <w:p w14:paraId="25F7552A" w14:textId="77777777" w:rsidR="00C416D4" w:rsidRPr="00C416D4" w:rsidRDefault="00C416D4" w:rsidP="00C416D4">
      <w:pPr>
        <w:numPr>
          <w:ilvl w:val="0"/>
          <w:numId w:val="8"/>
        </w:numPr>
      </w:pPr>
      <w:r w:rsidRPr="00C416D4">
        <w:rPr>
          <w:b/>
          <w:bCs/>
        </w:rPr>
        <w:t>PT — Timescale/Proper</w:t>
      </w:r>
      <w:r w:rsidRPr="00C416D4">
        <w:rPr>
          <w:b/>
          <w:bCs/>
        </w:rPr>
        <w:noBreakHyphen/>
        <w:t>Time Annotation</w:t>
      </w:r>
      <w:r w:rsidRPr="00C416D4">
        <w:t xml:space="preserve">: tkind </w:t>
      </w:r>
      <w:r w:rsidRPr="00C416D4">
        <w:rPr>
          <w:rFonts w:ascii="Cambria Math" w:hAnsi="Cambria Math" w:cs="Cambria Math"/>
        </w:rPr>
        <w:t>∈</w:t>
      </w:r>
      <w:r w:rsidRPr="00C416D4">
        <w:t xml:space="preserve"> {C,P}, dtaus in μs (Δτ = τ_proper − t_coord).</w:t>
      </w:r>
    </w:p>
    <w:p w14:paraId="1C8B0187" w14:textId="77777777" w:rsidR="00C416D4" w:rsidRPr="00C416D4" w:rsidRDefault="00C416D4" w:rsidP="00C416D4">
      <w:pPr>
        <w:numPr>
          <w:ilvl w:val="0"/>
          <w:numId w:val="8"/>
        </w:numPr>
      </w:pPr>
      <w:r w:rsidRPr="00C416D4">
        <w:rPr>
          <w:b/>
          <w:bCs/>
        </w:rPr>
        <w:t>HP — High</w:t>
      </w:r>
      <w:r w:rsidRPr="00C416D4">
        <w:rPr>
          <w:b/>
          <w:bCs/>
        </w:rPr>
        <w:noBreakHyphen/>
        <w:t>Precision Deltas</w:t>
      </w:r>
      <w:r w:rsidRPr="00C416D4">
        <w:t>: per</w:t>
      </w:r>
      <w:r w:rsidRPr="00C416D4">
        <w:noBreakHyphen/>
        <w:t>field deltas beyond OA rounding (nanodegrees/mm/μs) for mm</w:t>
      </w:r>
      <w:r w:rsidRPr="00C416D4">
        <w:noBreakHyphen/>
        <w:t>level geodesy and μs timing.</w:t>
      </w:r>
    </w:p>
    <w:p w14:paraId="1BC666A5" w14:textId="77777777" w:rsidR="00C416D4" w:rsidRPr="00C416D4" w:rsidRDefault="00C416D4" w:rsidP="00C416D4">
      <w:pPr>
        <w:numPr>
          <w:ilvl w:val="0"/>
          <w:numId w:val="8"/>
        </w:numPr>
      </w:pPr>
      <w:r w:rsidRPr="00C416D4">
        <w:rPr>
          <w:b/>
          <w:bCs/>
        </w:rPr>
        <w:lastRenderedPageBreak/>
        <w:t>CC — Causality Context</w:t>
      </w:r>
      <w:r w:rsidRPr="00C416D4">
        <w:t>: flags ordering characteristics in coordinate time (N/D/X/U) with an opaque worldline token.</w:t>
      </w:r>
    </w:p>
    <w:p w14:paraId="255C902D" w14:textId="77777777" w:rsidR="00C416D4" w:rsidRPr="00C416D4" w:rsidRDefault="00C416D4" w:rsidP="00C416D4">
      <w:pPr>
        <w:numPr>
          <w:ilvl w:val="0"/>
          <w:numId w:val="8"/>
        </w:numPr>
      </w:pPr>
      <w:r w:rsidRPr="00C416D4">
        <w:rPr>
          <w:b/>
          <w:bCs/>
        </w:rPr>
        <w:t>GR — Gravitational Potential Hint</w:t>
      </w:r>
      <w:r w:rsidRPr="00C416D4">
        <w:t>: scalar U/c² × 10⁶ at observer (advisory for strong</w:t>
      </w:r>
      <w:r w:rsidRPr="00C416D4">
        <w:noBreakHyphen/>
        <w:t>field modeling).</w:t>
      </w:r>
    </w:p>
    <w:p w14:paraId="6B13C5B8" w14:textId="77777777" w:rsidR="00C416D4" w:rsidRPr="00C416D4" w:rsidRDefault="00C416D4" w:rsidP="00C416D4">
      <w:r w:rsidRPr="00C416D4">
        <w:t>These annotations are descriptive, not ontological; they do not change OA transforms.</w:t>
      </w:r>
    </w:p>
    <w:p w14:paraId="70950699" w14:textId="77777777" w:rsidR="00C416D4" w:rsidRPr="00C416D4" w:rsidRDefault="00C416D4" w:rsidP="00C416D4">
      <w:r w:rsidRPr="00C416D4">
        <w:pict w14:anchorId="396F5987">
          <v:rect id="_x0000_i1092" style="width:0;height:1.5pt" o:hralign="center" o:hrstd="t" o:hr="t" fillcolor="#a0a0a0" stroked="f"/>
        </w:pict>
      </w:r>
    </w:p>
    <w:p w14:paraId="202B0502" w14:textId="77777777" w:rsidR="00C416D4" w:rsidRPr="00C416D4" w:rsidRDefault="00C416D4" w:rsidP="00C416D4">
      <w:pPr>
        <w:rPr>
          <w:b/>
          <w:bCs/>
        </w:rPr>
      </w:pPr>
      <w:r w:rsidRPr="00C416D4">
        <w:rPr>
          <w:b/>
          <w:bCs/>
        </w:rPr>
        <w:t>8. Limitations and Future Work</w:t>
      </w:r>
    </w:p>
    <w:p w14:paraId="2D6BE715" w14:textId="77777777" w:rsidR="00C416D4" w:rsidRPr="00C416D4" w:rsidRDefault="00C416D4" w:rsidP="00C416D4">
      <w:r w:rsidRPr="00C416D4">
        <w:t xml:space="preserve">The format encodes </w:t>
      </w:r>
      <w:r w:rsidRPr="00C416D4">
        <w:rPr>
          <w:b/>
          <w:bCs/>
        </w:rPr>
        <w:t>snapshot</w:t>
      </w:r>
      <w:r w:rsidRPr="00C416D4">
        <w:t xml:space="preserve"> positions. Next steps: (i) a companion mask for trajectory segments (time</w:t>
      </w:r>
      <w:r w:rsidRPr="00C416D4">
        <w:noBreakHyphen/>
        <w:t>ordered OA lines), (ii) in</w:t>
      </w:r>
      <w:r w:rsidRPr="00C416D4">
        <w:noBreakHyphen/>
        <w:t xml:space="preserve">band selectors (ts_code/trf/eop) as </w:t>
      </w:r>
      <w:r w:rsidRPr="00C416D4">
        <w:rPr>
          <w:b/>
          <w:bCs/>
        </w:rPr>
        <w:t>v1.0</w:t>
      </w:r>
      <w:r w:rsidRPr="00C416D4">
        <w:t>, (iii) a signed provenance wrapper (DIDs/signatures) for verifiable authorship, and (iv) a public registry for gcv/refy galactic constants and example test vectors.</w:t>
      </w:r>
    </w:p>
    <w:p w14:paraId="1F8CE3CD" w14:textId="77777777" w:rsidR="00C416D4" w:rsidRPr="00C416D4" w:rsidRDefault="00C416D4" w:rsidP="00C416D4">
      <w:r w:rsidRPr="00C416D4">
        <w:pict w14:anchorId="7FCA67EE">
          <v:rect id="_x0000_i1093" style="width:0;height:1.5pt" o:hralign="center" o:hrstd="t" o:hr="t" fillcolor="#a0a0a0" stroked="f"/>
        </w:pict>
      </w:r>
    </w:p>
    <w:p w14:paraId="7B0BFAC6" w14:textId="77777777" w:rsidR="00C416D4" w:rsidRPr="00C416D4" w:rsidRDefault="00C416D4" w:rsidP="00C416D4">
      <w:pPr>
        <w:rPr>
          <w:b/>
          <w:bCs/>
        </w:rPr>
      </w:pPr>
      <w:r w:rsidRPr="00C416D4">
        <w:rPr>
          <w:b/>
          <w:bCs/>
        </w:rPr>
        <w:t>Appendix A — OA v0.9 Test Vectors (99 chars)</w:t>
      </w:r>
    </w:p>
    <w:p w14:paraId="15A06CD4" w14:textId="77777777" w:rsidR="00C416D4" w:rsidRPr="00C416D4" w:rsidRDefault="00C416D4" w:rsidP="00C416D4">
      <w:r w:rsidRPr="00C416D4">
        <w:t>Notes: Earth defaults (UTC, ITRF2020, IGS finals). ECEF computed from WGS</w:t>
      </w:r>
      <w:r w:rsidRPr="00C416D4">
        <w:noBreakHyphen/>
        <w:t>84 geodetic using integer</w:t>
      </w:r>
      <w:r w:rsidRPr="00C416D4">
        <w:noBreakHyphen/>
        <w:t xml:space="preserve">meter rounding (nearest, ties away from zero). chk is </w:t>
      </w:r>
      <w:r w:rsidRPr="00C416D4">
        <w:rPr>
          <w:b/>
          <w:bCs/>
        </w:rPr>
        <w:t>CRC32C</w:t>
      </w:r>
      <w:r w:rsidRPr="00C416D4">
        <w:rPr>
          <w:b/>
          <w:bCs/>
        </w:rPr>
        <w:noBreakHyphen/>
        <w:t>24</w:t>
      </w:r>
      <w:r w:rsidRPr="00C416D4">
        <w:t xml:space="preserve"> over bytes of positions </w:t>
      </w:r>
      <w:r w:rsidRPr="00C416D4">
        <w:rPr>
          <w:b/>
          <w:bCs/>
        </w:rPr>
        <w:t>1–80</w:t>
      </w:r>
      <w:r w:rsidRPr="00C416D4">
        <w:t xml:space="preserve"> (ts..z), uppercase hex.</w:t>
      </w:r>
    </w:p>
    <w:p w14:paraId="467BADE6" w14:textId="77777777" w:rsidR="00C416D4" w:rsidRPr="00C416D4" w:rsidRDefault="00C416D4" w:rsidP="00C416D4">
      <w:r w:rsidRPr="00C416D4">
        <w:rPr>
          <w:b/>
          <w:bCs/>
        </w:rPr>
        <w:t>Vector A — Earth, Geodetic (San Francisco approx), GNSS</w:t>
      </w:r>
      <w:r w:rsidRPr="00C416D4">
        <w:rPr>
          <w:b/>
          <w:bCs/>
        </w:rPr>
        <w:noBreakHyphen/>
        <w:t>disciplined</w:t>
      </w:r>
    </w:p>
    <w:p w14:paraId="11CB22D4" w14:textId="77777777" w:rsidR="00C416D4" w:rsidRPr="00C416D4" w:rsidRDefault="00C416D4" w:rsidP="00C416D4">
      <w:r w:rsidRPr="00C416D4">
        <w:t>20250810T123456Z+37.774900-122.419400+000030-00002706188-00004261080+00003885744D7D7EC00100020G0015</w:t>
      </w:r>
    </w:p>
    <w:p w14:paraId="3903E36D" w14:textId="77777777" w:rsidR="00C416D4" w:rsidRPr="00C416D4" w:rsidRDefault="00C416D4" w:rsidP="00C416D4">
      <w:r w:rsidRPr="00C416D4">
        <w:t>Fields: ts=20250810T123456Z, lat=+37.774900, lon=-122.419400, alt=+000030, x=-00002706188, y=-00004261080, z=+00003885744, chk=D7D7EC, uh=0010, uv=0020, tc=G, ta=0015.</w:t>
      </w:r>
    </w:p>
    <w:p w14:paraId="6538A037" w14:textId="77777777" w:rsidR="00C416D4" w:rsidRPr="00C416D4" w:rsidRDefault="00C416D4" w:rsidP="00C416D4">
      <w:r w:rsidRPr="00C416D4">
        <w:rPr>
          <w:b/>
          <w:bCs/>
        </w:rPr>
        <w:t>Vector B — Earth, Geodetic (Greenwich, sea level), quartz/unknown</w:t>
      </w:r>
    </w:p>
    <w:p w14:paraId="48675318" w14:textId="77777777" w:rsidR="00C416D4" w:rsidRPr="00C416D4" w:rsidRDefault="00C416D4" w:rsidP="00C416D4">
      <w:r w:rsidRPr="00C416D4">
        <w:t>20200101T000000Z+00.000000+000.000000+000000+00006378137+00000000000+00000000000A2ADC399999999Q9999</w:t>
      </w:r>
    </w:p>
    <w:p w14:paraId="3EEB95E3" w14:textId="77777777" w:rsidR="00C416D4" w:rsidRPr="00C416D4" w:rsidRDefault="00C416D4" w:rsidP="00C416D4">
      <w:r w:rsidRPr="00C416D4">
        <w:t>Fields: ts=20200101T000000Z, lat=+00.000000, lon=+000.000000, alt=+000000, x=+00006378137, y=+00000000000, z=+00000000000, chk=A2ADC3, uh=9999, uv=9999, tc=Q, ta=9999.</w:t>
      </w:r>
    </w:p>
    <w:p w14:paraId="6EE1FAF5" w14:textId="77777777" w:rsidR="00C416D4" w:rsidRPr="00C416D4" w:rsidRDefault="00C416D4" w:rsidP="00C416D4">
      <w:r w:rsidRPr="00C416D4">
        <w:t>Verification: (1) length=99; (2) recompute CRC32C</w:t>
      </w:r>
      <w:r w:rsidRPr="00C416D4">
        <w:noBreakHyphen/>
        <w:t>24 over 1–80; (3) reconcile ECEF↔geodetic within max(UH,UV,0.5 m).</w:t>
      </w:r>
    </w:p>
    <w:p w14:paraId="6E656C82" w14:textId="77777777" w:rsidR="00C416D4" w:rsidRPr="00C416D4" w:rsidRDefault="00C416D4" w:rsidP="00C416D4">
      <w:r w:rsidRPr="00C416D4">
        <w:lastRenderedPageBreak/>
        <w:pict w14:anchorId="13021824">
          <v:rect id="_x0000_i1094" style="width:0;height:1.5pt" o:hralign="center" o:hrstd="t" o:hr="t" fillcolor="#a0a0a0" stroked="f"/>
        </w:pict>
      </w:r>
    </w:p>
    <w:p w14:paraId="44009975" w14:textId="77777777" w:rsidR="00C416D4" w:rsidRPr="00C416D4" w:rsidRDefault="00C416D4" w:rsidP="00C416D4">
      <w:pPr>
        <w:rPr>
          <w:b/>
          <w:bCs/>
        </w:rPr>
      </w:pPr>
      <w:r w:rsidRPr="00C416D4">
        <w:rPr>
          <w:b/>
          <w:bCs/>
        </w:rPr>
        <w:t>References</w:t>
      </w:r>
    </w:p>
    <w:p w14:paraId="660BFC70" w14:textId="77777777" w:rsidR="00C416D4" w:rsidRPr="00C416D4" w:rsidRDefault="00C416D4" w:rsidP="00C416D4">
      <w:r w:rsidRPr="00C416D4">
        <w:t xml:space="preserve">Acton, C. H. (1996). Ancillary data services of NASA’s Navigation and Ancillary Information Facility. </w:t>
      </w:r>
      <w:r w:rsidRPr="00C416D4">
        <w:rPr>
          <w:i/>
          <w:iCs/>
        </w:rPr>
        <w:t>Planetary and Space Science, 44</w:t>
      </w:r>
      <w:r w:rsidRPr="00C416D4">
        <w:t xml:space="preserve">(1), 65–70. </w:t>
      </w:r>
      <w:hyperlink r:id="rId5" w:history="1">
        <w:r w:rsidRPr="00C416D4">
          <w:rPr>
            <w:rStyle w:val="Hyperlink"/>
          </w:rPr>
          <w:t>https://doi.org/10.1016/0032-0633(95)00107-7</w:t>
        </w:r>
      </w:hyperlink>
    </w:p>
    <w:p w14:paraId="74E033D8" w14:textId="77777777" w:rsidR="00C416D4" w:rsidRPr="00C416D4" w:rsidRDefault="00C416D4" w:rsidP="00C416D4">
      <w:r w:rsidRPr="00C416D4">
        <w:t xml:space="preserve">Charlot, P., Jacobs, C. S., Gordon, D., Lambert, S., de Vicente, P., Böhm, J., ... &amp; Xu, M. H. (2020). The third realization of the International Celestial Reference Frame by very long baseline interferometry. </w:t>
      </w:r>
      <w:r w:rsidRPr="00C416D4">
        <w:rPr>
          <w:i/>
          <w:iCs/>
        </w:rPr>
        <w:t>Astronomy &amp; Astrophysics, 644</w:t>
      </w:r>
      <w:r w:rsidRPr="00C416D4">
        <w:t xml:space="preserve">, A159. </w:t>
      </w:r>
      <w:hyperlink r:id="rId6" w:history="1">
        <w:r w:rsidRPr="00C416D4">
          <w:rPr>
            <w:rStyle w:val="Hyperlink"/>
          </w:rPr>
          <w:t>https://doi.org/10.1051/0004-6361/202038368</w:t>
        </w:r>
      </w:hyperlink>
    </w:p>
    <w:p w14:paraId="5831D988" w14:textId="77777777" w:rsidR="00C416D4" w:rsidRPr="00C416D4" w:rsidRDefault="00C416D4" w:rsidP="00C416D4">
      <w:r w:rsidRPr="00C416D4">
        <w:t xml:space="preserve">International Earth Rotation and Reference Systems Service. (2010). </w:t>
      </w:r>
      <w:r w:rsidRPr="00C416D4">
        <w:rPr>
          <w:i/>
          <w:iCs/>
        </w:rPr>
        <w:t>IERS Conventions (2010)</w:t>
      </w:r>
      <w:r w:rsidRPr="00C416D4">
        <w:t xml:space="preserve"> (IERS Technical Note 36). </w:t>
      </w:r>
      <w:hyperlink r:id="rId7" w:history="1">
        <w:r w:rsidRPr="00C416D4">
          <w:rPr>
            <w:rStyle w:val="Hyperlink"/>
          </w:rPr>
          <w:t>https://iers-conventions.obspm.fr</w:t>
        </w:r>
      </w:hyperlink>
    </w:p>
    <w:p w14:paraId="0B731E2F" w14:textId="77777777" w:rsidR="00C416D4" w:rsidRPr="00C416D4" w:rsidRDefault="00C416D4" w:rsidP="00C416D4">
      <w:r w:rsidRPr="00C416D4">
        <w:t xml:space="preserve">International Astronomical Union. (2018). IAU Resolution B2: The ICRF3 as the IAU Celestial Reference Frame. </w:t>
      </w:r>
      <w:hyperlink r:id="rId8" w:history="1">
        <w:r w:rsidRPr="00C416D4">
          <w:rPr>
            <w:rStyle w:val="Hyperlink"/>
          </w:rPr>
          <w:t>https://www.iau.org/static/resolutions/IAU2018_ResolB2_English.pdf</w:t>
        </w:r>
      </w:hyperlink>
    </w:p>
    <w:p w14:paraId="5A59BA81" w14:textId="77777777" w:rsidR="00C416D4" w:rsidRPr="00C416D4" w:rsidRDefault="00C416D4" w:rsidP="00C416D4">
      <w:r w:rsidRPr="00C416D4">
        <w:t xml:space="preserve">Manchester, R. N., Hobbs, G. B., Teoh, A., &amp; Hobbs, M. (2005). The Australia Telescope National Facility Pulsar Catalogue. </w:t>
      </w:r>
      <w:r w:rsidRPr="00C416D4">
        <w:rPr>
          <w:i/>
          <w:iCs/>
        </w:rPr>
        <w:t>The Astronomical Journal, 129</w:t>
      </w:r>
      <w:r w:rsidRPr="00C416D4">
        <w:t xml:space="preserve">(4), 1993–2006. </w:t>
      </w:r>
      <w:hyperlink r:id="rId9" w:history="1">
        <w:r w:rsidRPr="00C416D4">
          <w:rPr>
            <w:rStyle w:val="Hyperlink"/>
          </w:rPr>
          <w:t>https://doi.org/10.1086/428488</w:t>
        </w:r>
      </w:hyperlink>
    </w:p>
    <w:p w14:paraId="3F54C101" w14:textId="77777777" w:rsidR="00C416D4" w:rsidRPr="00C416D4" w:rsidRDefault="00C416D4" w:rsidP="00C416D4">
      <w:r w:rsidRPr="00C416D4">
        <w:t xml:space="preserve">Planck Collaboration, Aghanim, N., Akrami, Y., Ashdown, M., Aumont, J., Baccigalupi, C., ... &amp; Zonca, A. (2020). Planck 2018 results. VI. Cosmological parameters. </w:t>
      </w:r>
      <w:r w:rsidRPr="00C416D4">
        <w:rPr>
          <w:i/>
          <w:iCs/>
        </w:rPr>
        <w:t>Astronomy &amp; Astrophysics, 641</w:t>
      </w:r>
      <w:r w:rsidRPr="00C416D4">
        <w:t xml:space="preserve">, A6. </w:t>
      </w:r>
      <w:hyperlink r:id="rId10" w:history="1">
        <w:r w:rsidRPr="00C416D4">
          <w:rPr>
            <w:rStyle w:val="Hyperlink"/>
          </w:rPr>
          <w:t>https://doi.org/10.1051/0004-6361/201833910</w:t>
        </w:r>
      </w:hyperlink>
    </w:p>
    <w:p w14:paraId="317D0A8C" w14:textId="77777777" w:rsidR="00C416D4" w:rsidRPr="00C416D4" w:rsidRDefault="00C416D4" w:rsidP="00C416D4">
      <w:r w:rsidRPr="00C416D4">
        <w:t xml:space="preserve">Tully, R. B., Courtois, H. M., Hoffman, Y., &amp; Pomarède, D. (2014). The Laniakea supercluster of galaxies. </w:t>
      </w:r>
      <w:r w:rsidRPr="00C416D4">
        <w:rPr>
          <w:i/>
          <w:iCs/>
        </w:rPr>
        <w:t>Nature, 513</w:t>
      </w:r>
      <w:r w:rsidRPr="00C416D4">
        <w:t xml:space="preserve">(7516), 71–73. </w:t>
      </w:r>
      <w:hyperlink r:id="rId11" w:history="1">
        <w:r w:rsidRPr="00C416D4">
          <w:rPr>
            <w:rStyle w:val="Hyperlink"/>
          </w:rPr>
          <w:t>https://doi.org/10.1038/nature13674</w:t>
        </w:r>
      </w:hyperlink>
    </w:p>
    <w:p w14:paraId="250A65C4" w14:textId="77777777" w:rsidR="00C416D4" w:rsidRPr="00C416D4" w:rsidRDefault="00C416D4" w:rsidP="00C416D4">
      <w:r w:rsidRPr="00C416D4">
        <w:t>U.S. National Geospatial</w:t>
      </w:r>
      <w:r w:rsidRPr="00C416D4">
        <w:noBreakHyphen/>
        <w:t xml:space="preserve">Intelligence Agency. (2014). </w:t>
      </w:r>
      <w:r w:rsidRPr="00C416D4">
        <w:rPr>
          <w:i/>
          <w:iCs/>
        </w:rPr>
        <w:t>Department of Defense World Geodetic System 1984: Its definition and relationships with local geodetic systems</w:t>
      </w:r>
      <w:r w:rsidRPr="00C416D4">
        <w:t xml:space="preserve"> (NGA.STND.0036_1.0.0_WGS84). </w:t>
      </w:r>
      <w:hyperlink r:id="rId12" w:history="1">
        <w:r w:rsidRPr="00C416D4">
          <w:rPr>
            <w:rStyle w:val="Hyperlink"/>
          </w:rPr>
          <w:t>https://earth-info.nga.mil</w:t>
        </w:r>
      </w:hyperlink>
    </w:p>
    <w:p w14:paraId="1996B601" w14:textId="77777777" w:rsidR="0016291D" w:rsidRDefault="0016291D"/>
    <w:sectPr w:rsidR="001629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202"/>
    <w:multiLevelType w:val="multilevel"/>
    <w:tmpl w:val="0786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E42CC"/>
    <w:multiLevelType w:val="multilevel"/>
    <w:tmpl w:val="9F14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76D89"/>
    <w:multiLevelType w:val="multilevel"/>
    <w:tmpl w:val="F51E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D55289"/>
    <w:multiLevelType w:val="multilevel"/>
    <w:tmpl w:val="4764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67F1C"/>
    <w:multiLevelType w:val="multilevel"/>
    <w:tmpl w:val="6EF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020137"/>
    <w:multiLevelType w:val="multilevel"/>
    <w:tmpl w:val="814E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114074"/>
    <w:multiLevelType w:val="multilevel"/>
    <w:tmpl w:val="D6EE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1D7977"/>
    <w:multiLevelType w:val="multilevel"/>
    <w:tmpl w:val="3D9C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894656">
    <w:abstractNumId w:val="0"/>
  </w:num>
  <w:num w:numId="2" w16cid:durableId="1746490727">
    <w:abstractNumId w:val="7"/>
  </w:num>
  <w:num w:numId="3" w16cid:durableId="1637755295">
    <w:abstractNumId w:val="1"/>
  </w:num>
  <w:num w:numId="4" w16cid:durableId="1058939631">
    <w:abstractNumId w:val="2"/>
  </w:num>
  <w:num w:numId="5" w16cid:durableId="678892949">
    <w:abstractNumId w:val="5"/>
  </w:num>
  <w:num w:numId="6" w16cid:durableId="1601907655">
    <w:abstractNumId w:val="4"/>
  </w:num>
  <w:num w:numId="7" w16cid:durableId="955722890">
    <w:abstractNumId w:val="3"/>
  </w:num>
  <w:num w:numId="8" w16cid:durableId="4020668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6D4"/>
    <w:rsid w:val="0016291D"/>
    <w:rsid w:val="00227C70"/>
    <w:rsid w:val="003B2A7E"/>
    <w:rsid w:val="00891B5B"/>
    <w:rsid w:val="00C416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48555"/>
  <w15:chartTrackingRefBased/>
  <w15:docId w15:val="{62BA0A52-FC2F-426F-B0BF-A7203E51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6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6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6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6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6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6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6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6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6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6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6D4"/>
    <w:rPr>
      <w:rFonts w:eastAsiaTheme="majorEastAsia" w:cstheme="majorBidi"/>
      <w:color w:val="272727" w:themeColor="text1" w:themeTint="D8"/>
    </w:rPr>
  </w:style>
  <w:style w:type="paragraph" w:styleId="Title">
    <w:name w:val="Title"/>
    <w:basedOn w:val="Normal"/>
    <w:next w:val="Normal"/>
    <w:link w:val="TitleChar"/>
    <w:uiPriority w:val="10"/>
    <w:qFormat/>
    <w:rsid w:val="00C41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6D4"/>
    <w:pPr>
      <w:spacing w:before="160"/>
      <w:jc w:val="center"/>
    </w:pPr>
    <w:rPr>
      <w:i/>
      <w:iCs/>
      <w:color w:val="404040" w:themeColor="text1" w:themeTint="BF"/>
    </w:rPr>
  </w:style>
  <w:style w:type="character" w:customStyle="1" w:styleId="QuoteChar">
    <w:name w:val="Quote Char"/>
    <w:basedOn w:val="DefaultParagraphFont"/>
    <w:link w:val="Quote"/>
    <w:uiPriority w:val="29"/>
    <w:rsid w:val="00C416D4"/>
    <w:rPr>
      <w:i/>
      <w:iCs/>
      <w:color w:val="404040" w:themeColor="text1" w:themeTint="BF"/>
    </w:rPr>
  </w:style>
  <w:style w:type="paragraph" w:styleId="ListParagraph">
    <w:name w:val="List Paragraph"/>
    <w:basedOn w:val="Normal"/>
    <w:uiPriority w:val="34"/>
    <w:qFormat/>
    <w:rsid w:val="00C416D4"/>
    <w:pPr>
      <w:ind w:left="720"/>
      <w:contextualSpacing/>
    </w:pPr>
  </w:style>
  <w:style w:type="character" w:styleId="IntenseEmphasis">
    <w:name w:val="Intense Emphasis"/>
    <w:basedOn w:val="DefaultParagraphFont"/>
    <w:uiPriority w:val="21"/>
    <w:qFormat/>
    <w:rsid w:val="00C416D4"/>
    <w:rPr>
      <w:i/>
      <w:iCs/>
      <w:color w:val="0F4761" w:themeColor="accent1" w:themeShade="BF"/>
    </w:rPr>
  </w:style>
  <w:style w:type="paragraph" w:styleId="IntenseQuote">
    <w:name w:val="Intense Quote"/>
    <w:basedOn w:val="Normal"/>
    <w:next w:val="Normal"/>
    <w:link w:val="IntenseQuoteChar"/>
    <w:uiPriority w:val="30"/>
    <w:qFormat/>
    <w:rsid w:val="00C416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6D4"/>
    <w:rPr>
      <w:i/>
      <w:iCs/>
      <w:color w:val="0F4761" w:themeColor="accent1" w:themeShade="BF"/>
    </w:rPr>
  </w:style>
  <w:style w:type="character" w:styleId="IntenseReference">
    <w:name w:val="Intense Reference"/>
    <w:basedOn w:val="DefaultParagraphFont"/>
    <w:uiPriority w:val="32"/>
    <w:qFormat/>
    <w:rsid w:val="00C416D4"/>
    <w:rPr>
      <w:b/>
      <w:bCs/>
      <w:smallCaps/>
      <w:color w:val="0F4761" w:themeColor="accent1" w:themeShade="BF"/>
      <w:spacing w:val="5"/>
    </w:rPr>
  </w:style>
  <w:style w:type="character" w:styleId="Hyperlink">
    <w:name w:val="Hyperlink"/>
    <w:basedOn w:val="DefaultParagraphFont"/>
    <w:uiPriority w:val="99"/>
    <w:unhideWhenUsed/>
    <w:rsid w:val="00C416D4"/>
    <w:rPr>
      <w:color w:val="467886" w:themeColor="hyperlink"/>
      <w:u w:val="single"/>
    </w:rPr>
  </w:style>
  <w:style w:type="character" w:styleId="UnresolvedMention">
    <w:name w:val="Unresolved Mention"/>
    <w:basedOn w:val="DefaultParagraphFont"/>
    <w:uiPriority w:val="99"/>
    <w:semiHidden/>
    <w:unhideWhenUsed/>
    <w:rsid w:val="00C41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au.org/static/resolutions/IAU2018_ResolB2_English.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ers-conventions.obspm.fr/" TargetMode="External"/><Relationship Id="rId12" Type="http://schemas.openxmlformats.org/officeDocument/2006/relationships/hyperlink" Target="https://earth-info.nga.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51/0004-6361/202038368" TargetMode="External"/><Relationship Id="rId11" Type="http://schemas.openxmlformats.org/officeDocument/2006/relationships/hyperlink" Target="https://doi.org/10.1038/nature13674" TargetMode="External"/><Relationship Id="rId5" Type="http://schemas.openxmlformats.org/officeDocument/2006/relationships/hyperlink" Target="https://doi.org/10.1016/0032-0633(95)00107-7" TargetMode="External"/><Relationship Id="rId10" Type="http://schemas.openxmlformats.org/officeDocument/2006/relationships/hyperlink" Target="https://doi.org/10.1051/0004-6361/201833910" TargetMode="External"/><Relationship Id="rId4" Type="http://schemas.openxmlformats.org/officeDocument/2006/relationships/webSettings" Target="webSettings.xml"/><Relationship Id="rId9" Type="http://schemas.openxmlformats.org/officeDocument/2006/relationships/hyperlink" Target="https://doi.org/10.1086/42848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1813</Words>
  <Characters>10338</Characters>
  <Application>Microsoft Office Word</Application>
  <DocSecurity>0</DocSecurity>
  <Lines>86</Lines>
  <Paragraphs>24</Paragraphs>
  <ScaleCrop>false</ScaleCrop>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Martin</dc:creator>
  <cp:keywords/>
  <dc:description/>
  <cp:lastModifiedBy>Eric Martin</cp:lastModifiedBy>
  <cp:revision>1</cp:revision>
  <dcterms:created xsi:type="dcterms:W3CDTF">2025-08-10T07:38:00Z</dcterms:created>
  <dcterms:modified xsi:type="dcterms:W3CDTF">2025-08-10T07:39:00Z</dcterms:modified>
</cp:coreProperties>
</file>