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2.4 约束说明</w:t>
      </w:r>
    </w:p>
    <w:p>
      <w:r>
        <w:t>（来源：SARC 录屏 2920/2950 帧，mobile 全量解析 + 旁观者保护修复；派生整理，见核对记录）</w:t>
      </w:r>
    </w:p>
    <w:p>
      <w:r>
        <w:t>LRS.SARC.LIMIT.SPEC【01】ADC数字控制器不能早于模拟ADC解复位：</w:t>
      </w:r>
    </w:p>
    <w:p>
      <w:r>
        <w:t>LRS.SARC.LIMIT.SPEC【02】ADC数字控制器不能早于模拟ADC使能有效；</w:t>
      </w:r>
    </w:p>
    <w:p>
      <w:r>
        <w:t>LRS.SARC.LIMIT.SPEC【03】系统时钟频率不能低于ADC工作时钟频率；</w:t>
      </w:r>
    </w:p>
    <w:p>
      <w:r>
        <w:t>LRS.SARC.LIMIT.SPEC【04】外部输入的采样触发源脉冲需要为正脉冲，且脉冲宽度要大于1个系统时钟周期（因为是同步处理）；</w:t>
      </w:r>
    </w:p>
    <w:p>
      <w:r>
        <w:t>LRS.SARC.LIMIT.SPEC【05】使用超过16阶FIR滤波时，系统时钟频率必须大于ADC工作时钟频率的2倍以上：（2个连续需要FIR滤波处理的采样，需要最小间隔FIR滤波阶数个系统时钟周期）</w:t>
      </w:r>
    </w:p>
    <w:p>
      <w:r>
        <w:t>LRS.SARC.LIMIT.SPEC【06】ADC校准时，要求软件关闭模拟ADC使能，待校准流程完成后再打开模拟ADC使能；</w:t>
      </w:r>
    </w:p>
    <w:p>
      <w:r>
        <w:t>LRS.SARC.LIMIT.SPEC【07】对虚拟通道vc的配置，需要将对应的vcen关闭后进行配置，配置完成后再将vcen打开；</w:t>
      </w:r>
    </w:p>
    <w:p>
      <w:r>
        <w:t>LRS.SARC.LIMIT.SPEC【08】ADC数字控制器的使能信号需要早于控制器内的其他使能信号（比如vcen等）打开；</w:t>
      </w:r>
    </w:p>
    <w:p>
      <w:pPr>
        <w:pStyle w:val="Heading2"/>
      </w:pPr>
      <w:r>
        <w:t>核对记录</w:t>
      </w:r>
    </w:p>
    <w:p>
      <w:pPr>
        <w:pStyle w:val="ListBullet"/>
      </w:pPr>
      <w:r>
        <w:t>01：源图为'；'，mobile 识别为'：'；mixed 配置（mobile-det+server-rec）可修复 01 但导致 02/04 错误（修1坏2），故保留 mobile，列为已知局限。</w:t>
      </w:r>
    </w:p>
    <w:p>
      <w:pPr>
        <w:pStyle w:val="ListBullet"/>
      </w:pPr>
      <w:r>
        <w:t>05：时间戳污染已排除；正文完整。</w:t>
      </w:r>
    </w:p>
    <w:p>
      <w:pPr>
        <w:pStyle w:val="ListBullet"/>
      </w:pPr>
      <w:r>
        <w:t>06：水印'ETNCU'（2920 idx16，[159,419,217,469]）为独立水印行，位置居 06 条两半之间（x≈160 与其他水印一致），已按位置证据剔除；正文'待校准流程完成'完整。</w:t>
      </w:r>
    </w:p>
    <w:p>
      <w:pPr>
        <w:pStyle w:val="ListBullet"/>
      </w:pPr>
      <w:r>
        <w:t>07/08：'vcen'下划线缺失；源图下划线可见，1x 下 mobile/server 双模型均未识别。定向 4x 预处理可识别（已验证），但全图 2x 导致其他字符缺损（03缺'工'、04缺'入'），故保留 1x 结果，列为已知局限，未手工补字。</w:t>
      </w:r>
    </w:p>
    <w:p>
      <w:pPr>
        <w:pStyle w:val="ListBullet"/>
      </w:pPr>
      <w:r>
        <w:t>08：首行由 2950 帧恢复（含旁观者保护修复）；'——上'为 hurdles 垃圾已排除；'2022年12月22日'为日期污染已排除；续行归属已核对。</w:t>
      </w:r>
    </w:p>
    <w:p>
      <w:pPr>
        <w:pStyle w:val="ListBullet"/>
      </w:pPr>
      <w:r>
        <w:t>02/03/04：与期望完全一致。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