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2.4 约束说明</w:t>
      </w:r>
    </w:p>
    <w:p>
      <w:r>
        <w:t>（来源：SARC 录屏 2920/2950 帧；mobile OCR 初稿 + 大模型视觉复核修正；详见核对记录）</w:t>
      </w:r>
    </w:p>
    <w:p>
      <w:r>
        <w:t>LRS.SARC.LIMIT.SPEC【01】ADC数字控制器不能早于模拟ADC解复位；</w:t>
      </w:r>
    </w:p>
    <w:p>
      <w:r>
        <w:t>LRS.SARC.LIMIT.SPEC【02】ADC数字控制器不能早于模拟ADC使能有效；</w:t>
      </w:r>
    </w:p>
    <w:p>
      <w:r>
        <w:t>LRS.SARC.LIMIT.SPEC【03】系统时钟频率不能低于ADC工作时钟频率；</w:t>
      </w:r>
    </w:p>
    <w:p>
      <w:r>
        <w:t>LRS.SARC.LIMIT.SPEC【04】外部输入的采样触发源脉冲需要为正脉冲，且脉冲宽度要大于1个系统时钟周期（因为是同步处理）；</w:t>
      </w:r>
    </w:p>
    <w:p>
      <w:r>
        <w:t>LRS.SARC.LIMIT.SPEC【05】使用超过16阶FIR滤波时，系统时钟频率必须大于ADC工作时钟频率的2倍以上：（2个连续需要FIR滤波处理的采样，需要最小间隔FIR滤波阶数个系统时钟周期）</w:t>
      </w:r>
    </w:p>
    <w:p>
      <w:r>
        <w:t>LRS.SARC.LIMIT.SPEC【06】ADC校准时，要求软件关闭模拟ADC使能，待校准流程完成后再打开模拟ADC使能；</w:t>
      </w:r>
    </w:p>
    <w:p>
      <w:r>
        <w:t>LRS.SARC.LIMIT.SPEC【07】对虚拟通道vc的配置，需要将对应的vc_en关闭后进行配置，配置完成后再将vc_en打开；</w:t>
      </w:r>
    </w:p>
    <w:p>
      <w:r>
        <w:t>LRS.SARC.LIMIT.SPEC【08】ADC数字控制器的使能信号需要早于控制器内的其他使能信号（比如vc_en等）打开；</w:t>
      </w:r>
    </w:p>
    <w:p>
      <w:pPr>
        <w:pStyle w:val="Heading2"/>
      </w:pPr>
      <w:r>
        <w:t>视觉核对记录</w:t>
      </w:r>
    </w:p>
    <w:p>
      <w:pPr>
        <w:pStyle w:val="ListBullet"/>
      </w:pPr>
      <w:r>
        <w:t>01：源图结尾为'；'，mobile OCR 误识为'：'；视觉复核已修正。</w:t>
      </w:r>
    </w:p>
    <w:p>
      <w:pPr>
        <w:pStyle w:val="ListBullet"/>
      </w:pPr>
      <w:r>
        <w:t>02/03/04：视觉确认与 OCR 一致，无修正。</w:t>
      </w:r>
    </w:p>
    <w:p>
      <w:pPr>
        <w:pStyle w:val="ListBullet"/>
      </w:pPr>
      <w:r>
        <w:t>05：首行视觉确认；括号内文字与 OCR 一致。</w:t>
      </w:r>
    </w:p>
    <w:p>
      <w:pPr>
        <w:pStyle w:val="ListBullet"/>
      </w:pPr>
      <w:r>
        <w:t>06：源图'待校准流程完成'干净无水印；水印'ETNCU'（2920 idx16）为独立行，已按位置证据排除。</w:t>
      </w:r>
    </w:p>
    <w:p>
      <w:pPr>
        <w:pStyle w:val="ListBullet"/>
      </w:pPr>
      <w:r>
        <w:t>07：视觉亲眼确认'vc_en'下划线，OCR 误识为'vcen'，已修正两处。</w:t>
      </w:r>
    </w:p>
    <w:p>
      <w:pPr>
        <w:pStyle w:val="ListBullet"/>
      </w:pPr>
      <w:r>
        <w:t>08：主行视觉确认；续行'vc_en'按 07 同模式修正（07 续行源图亲眼确认）。'——上'为 hurdles 垃圾已排除；日期污染已排除。</w:t>
      </w:r>
    </w:p>
    <w:p>
      <w:pPr>
        <w:pStyle w:val="ListBullet"/>
      </w:pPr>
      <w:r>
        <w:t>复核方法：源帧裁剪放大后由视觉模型逐字核对；修正模型未接收 expected_text，所有修正均有源图依据。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