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278000" cy="642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78000" cy="642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312" w:right="312" w:bottom="312" w:left="312" w:header="720" w:footer="720" w:gutter="0"/>
          <w:cols w:space="720"/>
          <w:titlePg/>
          <w:docGrid w:linePitch="360"/>
        </w:sectPr>
      </w:pPr>
    </w:p>
    <w:p>
      <w:pPr>
        <w:spacing w:after="80"/>
      </w:pPr>
      <w:r>
        <w:rPr>
          <w:rFonts w:ascii="Inter" w:hAnsi="Inter" w:eastAsia="Inter"/>
          <w:b/>
          <w:color w:val="126B7A"/>
          <w:sz w:val="17"/>
        </w:rPr>
        <w:t>EXECUTIVE CONCEPT</w:t>
      </w:r>
    </w:p>
    <w:p>
      <w:pPr>
        <w:keepNext/>
        <w:spacing w:before="80" w:after="140"/>
      </w:pPr>
      <w:r>
        <w:rPr>
          <w:rFonts w:ascii="Inter" w:hAnsi="Inter" w:eastAsia="Inter"/>
          <w:b/>
          <w:color w:val="2A86C7"/>
          <w:sz w:val="36"/>
        </w:rPr>
        <w:t xml:space="preserve">1. </w:t>
      </w:r>
      <w:r>
        <w:rPr>
          <w:rFonts w:ascii="Inter" w:hAnsi="Inter" w:eastAsia="Inter"/>
          <w:b/>
          <w:color w:val="17324D"/>
          <w:sz w:val="36"/>
        </w:rPr>
        <w:t>Platform concept and clinical purpose</w:t>
      </w:r>
    </w:p>
    <w:p>
      <w:pPr>
        <w:spacing w:before="0" w:after="120" w:line="293" w:lineRule="auto"/>
      </w:pPr>
      <w:r>
        <w:rPr>
          <w:rFonts w:ascii="Inter" w:hAnsi="Inter" w:eastAsia="Inter"/>
          <w:color w:val="17324D"/>
          <w:sz w:val="20"/>
        </w:rPr>
        <w:t>SkinLink is designed as a Tele-Dermatology Referral Platform that connects rural health facilities with dermatology specialists. It enables healthcare workers to register a patient, capture clinical-quality skin lesion images, submit structured clinical information, and receive specialist diagnostic guidance and treatment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"/>
        <w:gridCol w:w="10008"/>
      </w:tblGrid>
      <w:tr>
        <w:tc>
          <w:tcPr>
            <w:tcW w:type="dxa" w:w="5074"/>
            <w:shd w:fill="126B7A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E8F4F7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7324D"/>
                <w:sz w:val="21"/>
              </w:rPr>
              <w:t>Primary purpose</w:t>
            </w:r>
            <w:r>
              <w:br/>
            </w:r>
            <w:r>
              <w:rPr>
                <w:rFonts w:ascii="Inter" w:hAnsi="Inter" w:eastAsia="Inter"/>
                <w:color w:val="667A8A"/>
                <w:sz w:val="18"/>
              </w:rPr>
              <w:t>Bring specialist-supported dermatology care closer to rural patients while improving referral quality, response time and continuity of care.</w:t>
            </w:r>
          </w:p>
        </w:tc>
      </w:tr>
    </w:tbl>
    <w:p>
      <w:pPr>
        <w:spacing w:after="20"/>
      </w:pPr>
    </w:p>
    <w:p>
      <w:pPr>
        <w:keepNext/>
        <w:spacing w:before="80" w:after="140"/>
      </w:pPr>
      <w:r>
        <w:rPr>
          <w:rFonts w:ascii="Inter" w:hAnsi="Inter" w:eastAsia="Inter"/>
          <w:b/>
          <w:color w:val="2A86C7"/>
          <w:sz w:val="36"/>
        </w:rPr>
        <w:t xml:space="preserve">2. </w:t>
      </w:r>
      <w:r>
        <w:rPr>
          <w:rFonts w:ascii="Inter" w:hAnsi="Inter" w:eastAsia="Inter"/>
          <w:b/>
          <w:color w:val="17324D"/>
          <w:sz w:val="36"/>
        </w:rPr>
        <w:t>Core problem the system addresses</w:t>
      </w:r>
    </w:p>
    <w:p>
      <w:pPr>
        <w:spacing w:before="0" w:after="120" w:line="293" w:lineRule="auto"/>
      </w:pPr>
      <w:r>
        <w:rPr>
          <w:rFonts w:ascii="Inter" w:hAnsi="Inter" w:eastAsia="Inter"/>
          <w:color w:val="17324D"/>
          <w:sz w:val="20"/>
        </w:rPr>
        <w:t>Rural patients often experience delayed or avoidable referral because dermatology expertise is concentrated in larger hospitals. The platform is intended to reduce four recurring barriers: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Limited specialist access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Few dermatologists are available at district level, leaving rural providers with limited specialist support.</w:t>
            </w:r>
          </w:p>
        </w:tc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Long travel distances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Patients may travel far to referral hospitals even when a case could be managed locally with specialist guidance.</w:t>
            </w:r>
          </w:p>
        </w:tc>
      </w:tr>
      <w:tr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Delayed diagnosis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Referral delays can prolong symptoms and postpone appropriate treatment or escalation.</w:t>
            </w:r>
          </w:p>
        </w:tc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Risk of misdiagnosis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Non-specialists may lack dermatology-specific experience, especially where image and history documentation are incomplete.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"/>
        <w:gridCol w:w="10008"/>
      </w:tblGrid>
      <w:tr>
        <w:tc>
          <w:tcPr>
            <w:tcW w:type="dxa" w:w="5074"/>
            <w:shd w:fill="2A86C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6F9FA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7324D"/>
                <w:sz w:val="21"/>
              </w:rPr>
              <w:t>Design response</w:t>
            </w:r>
            <w:r>
              <w:br/>
            </w:r>
            <w:r>
              <w:rPr>
                <w:rFonts w:ascii="Inter" w:hAnsi="Inter" w:eastAsia="Inter"/>
                <w:color w:val="667A8A"/>
                <w:sz w:val="18"/>
              </w:rPr>
              <w:t>A structured digital referral pathway combines consent, images, clinical notes, triage, specialist review, treatment guidance and follow-up in one traceable case history.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Inter" w:hAnsi="Inter" w:eastAsia="Inter"/>
          <w:b/>
          <w:color w:val="126B7A"/>
          <w:sz w:val="17"/>
        </w:rPr>
        <w:t>CLINICAL WORKFLOW</w:t>
      </w:r>
    </w:p>
    <w:p>
      <w:pPr>
        <w:keepNext/>
        <w:spacing w:before="80" w:after="140"/>
      </w:pPr>
      <w:r>
        <w:rPr>
          <w:rFonts w:ascii="Inter" w:hAnsi="Inter" w:eastAsia="Inter"/>
          <w:b/>
          <w:color w:val="2A86C7"/>
          <w:sz w:val="36"/>
        </w:rPr>
        <w:t xml:space="preserve">3. </w:t>
      </w:r>
      <w:r>
        <w:rPr>
          <w:rFonts w:ascii="Inter" w:hAnsi="Inter" w:eastAsia="Inter"/>
          <w:b/>
          <w:color w:val="17324D"/>
          <w:sz w:val="36"/>
        </w:rPr>
        <w:t>End-to-end referral journey</w:t>
      </w:r>
    </w:p>
    <w:p>
      <w:pPr>
        <w:spacing w:before="0" w:after="120" w:line="293" w:lineRule="auto"/>
      </w:pPr>
      <w:r>
        <w:rPr>
          <w:rFonts w:ascii="Inter" w:hAnsi="Inter" w:eastAsia="Inter"/>
          <w:color w:val="17324D"/>
          <w:sz w:val="20"/>
        </w:rPr>
        <w:t>The proposed workflow begins at the village clinic and continues through specialist review, guidance and outcome follow-up. Each stage produces a documented case event so that responsibility and clinical reasoning remain clear.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Inter" w:hAnsi="Inter" w:eastAsia="Inter"/>
          <w:i/>
          <w:color w:val="667A8A"/>
          <w:sz w:val="17"/>
        </w:rPr>
        <w:t>Figure 1. Proposed end-to-end clinical referral workflow.</w:t>
      </w:r>
    </w:p>
    <w:p>
      <w:pPr>
        <w:pStyle w:val="ListBullet"/>
        <w:spacing w:after="60" w:before="0" w:line="293" w:lineRule="auto"/>
        <w:ind w:left="274" w:hanging="187"/>
      </w:pPr>
      <w:r>
        <w:rPr>
          <w:rFonts w:ascii="Inter" w:hAnsi="Inter" w:eastAsia="Inter"/>
          <w:color w:val="17324D"/>
          <w:sz w:val="18"/>
        </w:rPr>
        <w:t>Urgent clinical red flags should trigger immediate escalation rather than waiting for routine remote review.</w:t>
      </w:r>
    </w:p>
    <w:p>
      <w:pPr>
        <w:pStyle w:val="ListBullet"/>
        <w:spacing w:after="60" w:before="0" w:line="293" w:lineRule="auto"/>
        <w:ind w:left="274" w:hanging="187"/>
      </w:pPr>
      <w:r>
        <w:rPr>
          <w:rFonts w:ascii="Inter" w:hAnsi="Inter" w:eastAsia="Inter"/>
          <w:color w:val="17324D"/>
          <w:sz w:val="18"/>
        </w:rPr>
        <w:t>Offline drafts and resilient synchronisation support facilities with unstable connectivity.</w:t>
      </w:r>
    </w:p>
    <w:p>
      <w:pPr>
        <w:pStyle w:val="ListBullet"/>
        <w:spacing w:after="60" w:before="0" w:line="293" w:lineRule="auto"/>
        <w:ind w:left="274" w:hanging="187"/>
      </w:pPr>
      <w:r>
        <w:rPr>
          <w:rFonts w:ascii="Inter" w:hAnsi="Inter" w:eastAsia="Inter"/>
          <w:color w:val="17324D"/>
          <w:sz w:val="18"/>
        </w:rPr>
        <w:t>The same case record should preserve the original images, specialist response, treatment and follow-up outcome.</w:t>
      </w:r>
    </w:p>
    <w:p>
      <w:r>
        <w:br w:type="page"/>
      </w:r>
    </w:p>
    <w:p>
      <w:pPr>
        <w:spacing w:after="80"/>
      </w:pPr>
      <w:r>
        <w:rPr>
          <w:rFonts w:ascii="Inter" w:hAnsi="Inter" w:eastAsia="Inter"/>
          <w:b/>
          <w:color w:val="126B7A"/>
          <w:sz w:val="17"/>
        </w:rPr>
        <w:t>VILLAGE CLINIC APP</w:t>
      </w:r>
    </w:p>
    <w:p>
      <w:pPr>
        <w:keepNext/>
        <w:spacing w:before="80" w:after="140"/>
      </w:pPr>
      <w:r>
        <w:rPr>
          <w:rFonts w:ascii="Inter" w:hAnsi="Inter" w:eastAsia="Inter"/>
          <w:b/>
          <w:color w:val="2A86C7"/>
          <w:sz w:val="36"/>
        </w:rPr>
        <w:t xml:space="preserve">4. </w:t>
      </w:r>
      <w:r>
        <w:rPr>
          <w:rFonts w:ascii="Inter" w:hAnsi="Inter" w:eastAsia="Inter"/>
          <w:b/>
          <w:color w:val="17324D"/>
          <w:sz w:val="36"/>
        </w:rPr>
        <w:t>Access, dashboard and patient registration</w:t>
      </w:r>
    </w:p>
    <w:p>
      <w:pPr>
        <w:spacing w:before="0" w:after="120" w:line="293" w:lineRule="auto"/>
      </w:pPr>
      <w:r>
        <w:rPr>
          <w:rFonts w:ascii="Inter" w:hAnsi="Inter" w:eastAsia="Inter"/>
          <w:color w:val="17324D"/>
          <w:sz w:val="20"/>
        </w:rPr>
        <w:t>The mobile experience is intentionally simple: healthcare workers can sign in securely, see synchronisation status, start a referral, and review existing cases without navigating complex menus.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nic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Inter" w:hAnsi="Inter" w:eastAsia="Inter"/>
          <w:i/>
          <w:color w:val="667A8A"/>
          <w:sz w:val="17"/>
        </w:rPr>
        <w:t>Figure 2. Secure access, clinical home dashboard and patient registration.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Approved-device access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Facility credentials, secure sign-in and optional offline use on approved devices.</w:t>
            </w:r>
          </w:p>
        </w:tc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Action-led dashboard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New referral, follow-up, open cases and guidance-ready cases are visible immediately.</w:t>
            </w:r>
          </w:p>
        </w:tc>
      </w:tr>
      <w:tr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Structured patient record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Demographics, location, contact, medical history, allergies and preferred language.</w:t>
            </w:r>
          </w:p>
        </w:tc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Data-quality prompts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Required fields and clear validation reduce incomplete referrals before image capture begins.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Inter" w:hAnsi="Inter" w:eastAsia="Inter"/>
          <w:b/>
          <w:color w:val="126B7A"/>
          <w:sz w:val="17"/>
        </w:rPr>
        <w:t>VILLAGE CLINIC APP</w:t>
      </w:r>
    </w:p>
    <w:p>
      <w:pPr>
        <w:keepNext/>
        <w:spacing w:before="80" w:after="140"/>
      </w:pPr>
      <w:r>
        <w:rPr>
          <w:rFonts w:ascii="Inter" w:hAnsi="Inter" w:eastAsia="Inter"/>
          <w:b/>
          <w:color w:val="2A86C7"/>
          <w:sz w:val="36"/>
        </w:rPr>
        <w:t xml:space="preserve">5. </w:t>
      </w:r>
      <w:r>
        <w:rPr>
          <w:rFonts w:ascii="Inter" w:hAnsi="Inter" w:eastAsia="Inter"/>
          <w:b/>
          <w:color w:val="17324D"/>
          <w:sz w:val="36"/>
        </w:rPr>
        <w:t>Consent and guided clinical image capture</w:t>
      </w:r>
    </w:p>
    <w:p>
      <w:pPr>
        <w:spacing w:before="0" w:after="120" w:line="293" w:lineRule="auto"/>
      </w:pPr>
      <w:r>
        <w:rPr>
          <w:rFonts w:ascii="Inter" w:hAnsi="Inter" w:eastAsia="Inter"/>
          <w:color w:val="17324D"/>
          <w:sz w:val="20"/>
        </w:rPr>
        <w:t>Image quality and patient consent are central to safe tele-dermatology. The app guides staff through permission, photography and quality review before clinical assessment.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nic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Inter" w:hAnsi="Inter" w:eastAsia="Inter"/>
          <w:i/>
          <w:color w:val="667A8A"/>
          <w:sz w:val="17"/>
        </w:rPr>
        <w:t>Figure 3. Consent documentation, guided lesion photography and image-quality checks.</w:t>
      </w:r>
    </w:p>
    <w:p>
      <w:pPr>
        <w:pStyle w:val="ListBullet"/>
        <w:spacing w:after="60" w:before="0" w:line="293" w:lineRule="auto"/>
        <w:ind w:left="274" w:hanging="187"/>
      </w:pPr>
      <w:r>
        <w:rPr>
          <w:rFonts w:ascii="Inter" w:hAnsi="Inter" w:eastAsia="Inter"/>
          <w:color w:val="17324D"/>
          <w:sz w:val="18"/>
        </w:rPr>
        <w:t>Consent wording explains photography, remote review, secure storage and authorised access.</w:t>
      </w:r>
    </w:p>
    <w:p>
      <w:pPr>
        <w:pStyle w:val="ListBullet"/>
        <w:spacing w:after="60" w:before="0" w:line="293" w:lineRule="auto"/>
        <w:ind w:left="274" w:hanging="187"/>
      </w:pPr>
      <w:r>
        <w:rPr>
          <w:rFonts w:ascii="Inter" w:hAnsi="Inter" w:eastAsia="Inter"/>
          <w:color w:val="17324D"/>
          <w:sz w:val="18"/>
        </w:rPr>
        <w:t>Capture guidance supports overview, close-up and scale-reference images.</w:t>
      </w:r>
    </w:p>
    <w:p>
      <w:pPr>
        <w:pStyle w:val="ListBullet"/>
        <w:spacing w:after="60" w:before="0" w:line="293" w:lineRule="auto"/>
        <w:ind w:left="274" w:hanging="187"/>
      </w:pPr>
      <w:r>
        <w:rPr>
          <w:rFonts w:ascii="Inter" w:hAnsi="Inter" w:eastAsia="Inter"/>
          <w:color w:val="17324D"/>
          <w:sz w:val="18"/>
        </w:rPr>
        <w:t>Automatic prompts check focus, lighting, lesion visibility and required angles before submission.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"/>
        <w:gridCol w:w="10008"/>
      </w:tblGrid>
      <w:tr>
        <w:tc>
          <w:tcPr>
            <w:tcW w:type="dxa" w:w="5074"/>
            <w:shd w:fill="F4A261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FF7E9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7324D"/>
                <w:sz w:val="21"/>
              </w:rPr>
              <w:t>Clinical photography standard</w:t>
            </w:r>
            <w:r>
              <w:br/>
            </w:r>
            <w:r>
              <w:rPr>
                <w:rFonts w:ascii="Inter" w:hAnsi="Inter" w:eastAsia="Inter"/>
                <w:color w:val="667A8A"/>
                <w:sz w:val="18"/>
              </w:rPr>
              <w:t>Workers should be trained to include surrounding normal skin, avoid identifiable body features where unnecessary, and repeat images when focus or lighting is inadequate.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Inter" w:hAnsi="Inter" w:eastAsia="Inter"/>
          <w:b/>
          <w:color w:val="126B7A"/>
          <w:sz w:val="17"/>
        </w:rPr>
        <w:t>VILLAGE CLINIC APP</w:t>
      </w:r>
    </w:p>
    <w:p>
      <w:pPr>
        <w:keepNext/>
        <w:spacing w:before="80" w:after="140"/>
      </w:pPr>
      <w:r>
        <w:rPr>
          <w:rFonts w:ascii="Inter" w:hAnsi="Inter" w:eastAsia="Inter"/>
          <w:b/>
          <w:color w:val="2A86C7"/>
          <w:sz w:val="36"/>
        </w:rPr>
        <w:t xml:space="preserve">6. </w:t>
      </w:r>
      <w:r>
        <w:rPr>
          <w:rFonts w:ascii="Inter" w:hAnsi="Inter" w:eastAsia="Inter"/>
          <w:b/>
          <w:color w:val="17324D"/>
          <w:sz w:val="36"/>
        </w:rPr>
        <w:t>Clinical assessment, case review and submission</w:t>
      </w:r>
    </w:p>
    <w:p>
      <w:pPr>
        <w:spacing w:before="0" w:after="120" w:line="293" w:lineRule="auto"/>
      </w:pPr>
      <w:r>
        <w:rPr>
          <w:rFonts w:ascii="Inter" w:hAnsi="Inter" w:eastAsia="Inter"/>
          <w:color w:val="17324D"/>
          <w:sz w:val="20"/>
        </w:rPr>
        <w:t>A structured assessment reduces ambiguity for the specialist. The worker records symptoms, duration, body site, previous treatment, associated conditions and red flags, then reviews the complete referral before secure submission.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nic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Inter" w:hAnsi="Inter" w:eastAsia="Inter"/>
          <w:i/>
          <w:color w:val="667A8A"/>
          <w:sz w:val="17"/>
        </w:rPr>
        <w:t>Figure 4. Clinical checklist, case summary and secure submission confirmation.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Structured clinical checklist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Symptoms, duration, site, severity indicators and previous treatment are recorded consistently.</w:t>
            </w:r>
          </w:p>
        </w:tc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Urgency classification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Routine or urgent status is based on clinical information and can be adjusted before submission.</w:t>
            </w:r>
          </w:p>
        </w:tc>
      </w:tr>
      <w:tr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Pre-submission review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The worker confirms patient details, image count, quality results and red-flag status.</w:t>
            </w:r>
          </w:p>
        </w:tc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Traceable confirmation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A unique case number, submission time, status and expected response window are displayed.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Inter" w:hAnsi="Inter" w:eastAsia="Inter"/>
          <w:b/>
          <w:color w:val="126B7A"/>
          <w:sz w:val="17"/>
        </w:rPr>
        <w:t>VILLAGE CLINIC APP</w:t>
      </w:r>
    </w:p>
    <w:p>
      <w:pPr>
        <w:keepNext/>
        <w:spacing w:before="80" w:after="140"/>
      </w:pPr>
      <w:r>
        <w:rPr>
          <w:rFonts w:ascii="Inter" w:hAnsi="Inter" w:eastAsia="Inter"/>
          <w:b/>
          <w:color w:val="2A86C7"/>
          <w:sz w:val="36"/>
        </w:rPr>
        <w:t xml:space="preserve">7. </w:t>
      </w:r>
      <w:r>
        <w:rPr>
          <w:rFonts w:ascii="Inter" w:hAnsi="Inter" w:eastAsia="Inter"/>
          <w:b/>
          <w:color w:val="17324D"/>
          <w:sz w:val="36"/>
        </w:rPr>
        <w:t>Case tracking, specialist guidance and follow-up</w:t>
      </w:r>
    </w:p>
    <w:p>
      <w:pPr>
        <w:spacing w:before="0" w:after="120" w:line="293" w:lineRule="auto"/>
      </w:pPr>
      <w:r>
        <w:rPr>
          <w:rFonts w:ascii="Inter" w:hAnsi="Inter" w:eastAsia="Inter"/>
          <w:color w:val="17324D"/>
          <w:sz w:val="20"/>
        </w:rPr>
        <w:t>The clinic should always know what is happening to a referral. Status milestones show whether the case is synchronised, assigned, under review or complete, while the guidance screen converts the specialist response into clear clinical actions.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nic_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Inter" w:hAnsi="Inter" w:eastAsia="Inter"/>
          <w:i/>
          <w:color w:val="667A8A"/>
          <w:sz w:val="17"/>
        </w:rPr>
        <w:t>Figure 5. Case status, treatment guidance and 7-day follow-up workflow.</w:t>
      </w:r>
    </w:p>
    <w:p>
      <w:pPr>
        <w:pStyle w:val="ListBullet"/>
        <w:spacing w:after="60" w:before="0" w:line="293" w:lineRule="auto"/>
        <w:ind w:left="274" w:hanging="187"/>
      </w:pPr>
      <w:r>
        <w:rPr>
          <w:rFonts w:ascii="Inter" w:hAnsi="Inter" w:eastAsia="Inter"/>
          <w:color w:val="17324D"/>
          <w:sz w:val="18"/>
        </w:rPr>
        <w:t>Guidance includes specialist impression, treatment plan, safety-net advice and follow-up interval.</w:t>
      </w:r>
    </w:p>
    <w:p>
      <w:pPr>
        <w:pStyle w:val="ListBullet"/>
        <w:spacing w:after="60" w:before="0" w:line="293" w:lineRule="auto"/>
        <w:ind w:left="274" w:hanging="187"/>
      </w:pPr>
      <w:r>
        <w:rPr>
          <w:rFonts w:ascii="Inter" w:hAnsi="Inter" w:eastAsia="Inter"/>
          <w:color w:val="17324D"/>
          <w:sz w:val="18"/>
        </w:rPr>
        <w:t>Follow-up compares progress images and records adherence, symptom change and new concerns.</w:t>
      </w:r>
    </w:p>
    <w:p>
      <w:pPr>
        <w:pStyle w:val="ListBullet"/>
        <w:spacing w:after="60" w:before="0" w:line="293" w:lineRule="auto"/>
        <w:ind w:left="274" w:hanging="187"/>
      </w:pPr>
      <w:r>
        <w:rPr>
          <w:rFonts w:ascii="Inter" w:hAnsi="Inter" w:eastAsia="Inter"/>
          <w:color w:val="17324D"/>
          <w:sz w:val="18"/>
        </w:rPr>
        <w:t>Cases can be reopened or escalated when the patient worsens or fails to improve.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"/>
        <w:gridCol w:w="10008"/>
      </w:tblGrid>
      <w:tr>
        <w:tc>
          <w:tcPr>
            <w:tcW w:type="dxa" w:w="5074"/>
            <w:shd w:fill="D95A5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DEEEE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7324D"/>
                <w:sz w:val="21"/>
              </w:rPr>
              <w:t>Illustrative clinical content</w:t>
            </w:r>
            <w:r>
              <w:br/>
            </w:r>
            <w:r>
              <w:rPr>
                <w:rFonts w:ascii="Inter" w:hAnsi="Inter" w:eastAsia="Inter"/>
                <w:color w:val="667A8A"/>
                <w:sz w:val="18"/>
              </w:rPr>
              <w:t>Treatment wording shown in the mockups is only an interface example. Live guidance must follow approved local clinical protocols and the responsible specialist’s judgement.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Inter" w:hAnsi="Inter" w:eastAsia="Inter"/>
          <w:b/>
          <w:color w:val="126B7A"/>
          <w:sz w:val="17"/>
        </w:rPr>
        <w:t>SPECIALIST EXPERIENCE</w:t>
      </w:r>
    </w:p>
    <w:p>
      <w:pPr>
        <w:keepNext/>
        <w:spacing w:before="80" w:after="140"/>
      </w:pPr>
      <w:r>
        <w:rPr>
          <w:rFonts w:ascii="Inter" w:hAnsi="Inter" w:eastAsia="Inter"/>
          <w:b/>
          <w:color w:val="2A86C7"/>
          <w:sz w:val="36"/>
        </w:rPr>
        <w:t xml:space="preserve">8. </w:t>
      </w:r>
      <w:r>
        <w:rPr>
          <w:rFonts w:ascii="Inter" w:hAnsi="Inter" w:eastAsia="Inter"/>
          <w:b/>
          <w:color w:val="17324D"/>
          <w:sz w:val="36"/>
        </w:rPr>
        <w:t>Specialist case queue and review dashboard</w:t>
      </w:r>
    </w:p>
    <w:p>
      <w:pPr>
        <w:spacing w:before="0" w:after="120" w:line="293" w:lineRule="auto"/>
      </w:pPr>
      <w:r>
        <w:rPr>
          <w:rFonts w:ascii="Inter" w:hAnsi="Inter" w:eastAsia="Inter"/>
          <w:color w:val="17324D"/>
          <w:sz w:val="20"/>
        </w:rPr>
        <w:t>Dermatologists require a high-density but calm workspace that prioritises urgent cases, presents image and history evidence together, and supports rapid completion without losing clinical context.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alist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Inter" w:hAnsi="Inter" w:eastAsia="Inter"/>
          <w:i/>
          <w:color w:val="667A8A"/>
          <w:sz w:val="17"/>
        </w:rPr>
        <w:t>Figure 6. Specialist dashboard with triage queue, image review, AI-assist panel and treatment 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Priority queue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Cases can be filtered by urgency, waiting time, facility, new submission or follow-up status.</w:t>
            </w:r>
          </w:p>
        </w:tc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Unified clinical view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Patient summary, symptoms, images, notes, red flags and prior communication appear in one case workspace.</w:t>
            </w:r>
          </w:p>
        </w:tc>
      </w:tr>
      <w:tr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Decision support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Optional AI suggestions are clearly separated from the specialist’s final assessment.</w:t>
            </w:r>
          </w:p>
        </w:tc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Clinical actions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Send guidance, request more images, clarify information, escalate in-person referral or schedule follow-up.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Inter" w:hAnsi="Inter" w:eastAsia="Inter"/>
          <w:b/>
          <w:color w:val="126B7A"/>
          <w:sz w:val="17"/>
        </w:rPr>
        <w:t>SPECIALIST EXPERIENCE</w:t>
      </w:r>
    </w:p>
    <w:p>
      <w:pPr>
        <w:keepNext/>
        <w:spacing w:before="80" w:after="140"/>
      </w:pPr>
      <w:r>
        <w:rPr>
          <w:rFonts w:ascii="Inter" w:hAnsi="Inter" w:eastAsia="Inter"/>
          <w:b/>
          <w:color w:val="2A86C7"/>
          <w:sz w:val="36"/>
        </w:rPr>
        <w:t xml:space="preserve">9. </w:t>
      </w:r>
      <w:r>
        <w:rPr>
          <w:rFonts w:ascii="Inter" w:hAnsi="Inter" w:eastAsia="Inter"/>
          <w:b/>
          <w:color w:val="17324D"/>
          <w:sz w:val="36"/>
        </w:rPr>
        <w:t>Image analysis, clarification and audit trail</w:t>
      </w:r>
    </w:p>
    <w:p>
      <w:pPr>
        <w:spacing w:before="0" w:after="120" w:line="293" w:lineRule="auto"/>
      </w:pPr>
      <w:r>
        <w:rPr>
          <w:rFonts w:ascii="Inter" w:hAnsi="Inter" w:eastAsia="Inter"/>
          <w:color w:val="17324D"/>
          <w:sz w:val="20"/>
        </w:rPr>
        <w:t>Remote review becomes safer when the specialist can inspect image detail, compare views, request missing evidence and see every interaction in chronological order.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alist_too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Inter" w:hAnsi="Inter" w:eastAsia="Inter"/>
          <w:i/>
          <w:color w:val="667A8A"/>
          <w:sz w:val="17"/>
        </w:rPr>
        <w:t>Figure 7. Image measurement and annotation, secure clarification and complete case audit history.</w:t>
      </w:r>
    </w:p>
    <w:p>
      <w:pPr>
        <w:pStyle w:val="ListBullet"/>
        <w:spacing w:after="60" w:before="0" w:line="293" w:lineRule="auto"/>
        <w:ind w:left="274" w:hanging="187"/>
      </w:pPr>
      <w:r>
        <w:rPr>
          <w:rFonts w:ascii="Inter" w:hAnsi="Inter" w:eastAsia="Inter"/>
          <w:color w:val="17324D"/>
          <w:sz w:val="18"/>
        </w:rPr>
        <w:t>Image tools may include zoom, brightness adjustment, side-by-side comparison, measurement and annotation.</w:t>
      </w:r>
    </w:p>
    <w:p>
      <w:pPr>
        <w:pStyle w:val="ListBullet"/>
        <w:spacing w:after="60" w:before="0" w:line="293" w:lineRule="auto"/>
        <w:ind w:left="274" w:hanging="187"/>
      </w:pPr>
      <w:r>
        <w:rPr>
          <w:rFonts w:ascii="Inter" w:hAnsi="Inter" w:eastAsia="Inter"/>
          <w:color w:val="17324D"/>
          <w:sz w:val="18"/>
        </w:rPr>
        <w:t>Secure messaging keeps questions and answers attached to the correct clinical case.</w:t>
      </w:r>
    </w:p>
    <w:p>
      <w:pPr>
        <w:pStyle w:val="ListBullet"/>
        <w:spacing w:after="60" w:before="0" w:line="293" w:lineRule="auto"/>
        <w:ind w:left="274" w:hanging="187"/>
      </w:pPr>
      <w:r>
        <w:rPr>
          <w:rFonts w:ascii="Inter" w:hAnsi="Inter" w:eastAsia="Inter"/>
          <w:color w:val="17324D"/>
          <w:sz w:val="18"/>
        </w:rPr>
        <w:t>The audit trail records submission, assignment, access, requests, uploads, decisions and later edits.</w:t>
      </w:r>
    </w:p>
    <w:p>
      <w:r>
        <w:br w:type="page"/>
      </w:r>
    </w:p>
    <w:p>
      <w:pPr>
        <w:spacing w:after="80"/>
      </w:pPr>
      <w:r>
        <w:rPr>
          <w:rFonts w:ascii="Inter" w:hAnsi="Inter" w:eastAsia="Inter"/>
          <w:b/>
          <w:color w:val="126B7A"/>
          <w:sz w:val="17"/>
        </w:rPr>
        <w:t>PLATFORM SCOPE</w:t>
      </w:r>
    </w:p>
    <w:p>
      <w:pPr>
        <w:keepNext/>
        <w:spacing w:before="80" w:after="140"/>
      </w:pPr>
      <w:r>
        <w:rPr>
          <w:rFonts w:ascii="Inter" w:hAnsi="Inter" w:eastAsia="Inter"/>
          <w:b/>
          <w:color w:val="2A86C7"/>
          <w:sz w:val="36"/>
        </w:rPr>
        <w:t xml:space="preserve">10. </w:t>
      </w:r>
      <w:r>
        <w:rPr>
          <w:rFonts w:ascii="Inter" w:hAnsi="Inter" w:eastAsia="Inter"/>
          <w:b/>
          <w:color w:val="17324D"/>
          <w:sz w:val="36"/>
        </w:rPr>
        <w:t>Key actors and functional modules</w:t>
      </w:r>
    </w:p>
    <w:p>
      <w:pPr>
        <w:spacing w:before="0" w:after="120" w:line="293" w:lineRule="auto"/>
      </w:pPr>
      <w:r>
        <w:rPr>
          <w:rFonts w:ascii="Inter" w:hAnsi="Inter" w:eastAsia="Inter"/>
          <w:color w:val="17324D"/>
          <w:sz w:val="20"/>
        </w:rPr>
        <w:t>The platform connects four principal actors—patient, rural healthcare provider, dermatologist and health facility—through a set of modules covering the full referral lifecycle.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ors_modu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Inter" w:hAnsi="Inter" w:eastAsia="Inter"/>
          <w:i/>
          <w:color w:val="667A8A"/>
          <w:sz w:val="17"/>
        </w:rPr>
        <w:t>Figure 8. System actors and proposed functional modules.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"/>
        <w:gridCol w:w="10008"/>
      </w:tblGrid>
      <w:tr>
        <w:tc>
          <w:tcPr>
            <w:tcW w:type="dxa" w:w="5074"/>
            <w:shd w:fill="126B7A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EAF4F6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7324D"/>
                <w:sz w:val="21"/>
              </w:rPr>
              <w:t>Single continuous case history</w:t>
            </w:r>
            <w:r>
              <w:br/>
            </w:r>
            <w:r>
              <w:rPr>
                <w:rFonts w:ascii="Inter" w:hAnsi="Inter" w:eastAsia="Inter"/>
                <w:color w:val="667A8A"/>
                <w:sz w:val="18"/>
              </w:rPr>
              <w:t>Consent, clinical data, images, specialist reasoning, guidance, treatment, follow-up and outcome should remain linked under one case identity.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Inter" w:hAnsi="Inter" w:eastAsia="Inter"/>
          <w:b/>
          <w:color w:val="126B7A"/>
          <w:sz w:val="17"/>
        </w:rPr>
        <w:t>TECHNOLOGY DESIGN</w:t>
      </w:r>
    </w:p>
    <w:p>
      <w:pPr>
        <w:keepNext/>
        <w:spacing w:before="80" w:after="140"/>
      </w:pPr>
      <w:r>
        <w:rPr>
          <w:rFonts w:ascii="Inter" w:hAnsi="Inter" w:eastAsia="Inter"/>
          <w:b/>
          <w:color w:val="2A86C7"/>
          <w:sz w:val="36"/>
        </w:rPr>
        <w:t xml:space="preserve">11. </w:t>
      </w:r>
      <w:r>
        <w:rPr>
          <w:rFonts w:ascii="Inter" w:hAnsi="Inter" w:eastAsia="Inter"/>
          <w:b/>
          <w:color w:val="17324D"/>
          <w:sz w:val="36"/>
        </w:rPr>
        <w:t>Technology architecture and data flow</w:t>
      </w:r>
    </w:p>
    <w:p>
      <w:pPr>
        <w:spacing w:before="0" w:after="120" w:line="293" w:lineRule="auto"/>
      </w:pPr>
      <w:r>
        <w:rPr>
          <w:rFonts w:ascii="Inter" w:hAnsi="Inter" w:eastAsia="Inter"/>
          <w:color w:val="17324D"/>
          <w:sz w:val="20"/>
        </w:rPr>
        <w:t>The architecture separates user interfaces, application services, secure data storage and infrastructure. This supports independent scaling, strong access control and later integration with broader health information systems.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Inter" w:hAnsi="Inter" w:eastAsia="Inter"/>
          <w:i/>
          <w:color w:val="667A8A"/>
          <w:sz w:val="17"/>
        </w:rPr>
        <w:t>Figure 9. Proposed logical technology architecture for SkinLink.</w:t>
      </w:r>
    </w:p>
    <w:p>
      <w:pPr>
        <w:pStyle w:val="ListBullet"/>
        <w:spacing w:after="60" w:before="0" w:line="293" w:lineRule="auto"/>
        <w:ind w:left="274" w:hanging="187"/>
      </w:pPr>
      <w:r>
        <w:rPr>
          <w:rFonts w:ascii="Inter" w:hAnsi="Inter" w:eastAsia="Inter"/>
          <w:color w:val="17324D"/>
          <w:sz w:val="18"/>
        </w:rPr>
        <w:t>The Village Clinic App should support encrypted local drafts and reliable synchronisation after connectivity returns.</w:t>
      </w:r>
    </w:p>
    <w:p>
      <w:pPr>
        <w:pStyle w:val="ListBullet"/>
        <w:spacing w:after="60" w:before="0" w:line="293" w:lineRule="auto"/>
        <w:ind w:left="274" w:hanging="187"/>
      </w:pPr>
      <w:r>
        <w:rPr>
          <w:rFonts w:ascii="Inter" w:hAnsi="Inter" w:eastAsia="Inter"/>
          <w:color w:val="17324D"/>
          <w:sz w:val="18"/>
        </w:rPr>
        <w:t>The central platform stores patient data, images, case history, decisions and audit events under role-based access.</w:t>
      </w:r>
    </w:p>
    <w:p>
      <w:pPr>
        <w:pStyle w:val="ListBullet"/>
        <w:spacing w:after="60" w:before="0" w:line="293" w:lineRule="auto"/>
        <w:ind w:left="274" w:hanging="187"/>
      </w:pPr>
      <w:r>
        <w:rPr>
          <w:rFonts w:ascii="Inter" w:hAnsi="Inter" w:eastAsia="Inter"/>
          <w:color w:val="17324D"/>
          <w:sz w:val="18"/>
        </w:rPr>
        <w:t>Future interoperability should use approved health-information standards and national integration requirements.</w:t>
      </w:r>
    </w:p>
    <w:p>
      <w:r>
        <w:br w:type="page"/>
      </w:r>
    </w:p>
    <w:p>
      <w:pPr>
        <w:spacing w:after="80"/>
      </w:pPr>
      <w:r>
        <w:rPr>
          <w:rFonts w:ascii="Inter" w:hAnsi="Inter" w:eastAsia="Inter"/>
          <w:b/>
          <w:color w:val="126B7A"/>
          <w:sz w:val="17"/>
        </w:rPr>
        <w:t>GOVERNANCE AND SAFETY</w:t>
      </w:r>
    </w:p>
    <w:p>
      <w:pPr>
        <w:keepNext/>
        <w:spacing w:before="80" w:after="140"/>
      </w:pPr>
      <w:r>
        <w:rPr>
          <w:rFonts w:ascii="Inter" w:hAnsi="Inter" w:eastAsia="Inter"/>
          <w:b/>
          <w:color w:val="2A86C7"/>
          <w:sz w:val="36"/>
        </w:rPr>
        <w:t xml:space="preserve">12. </w:t>
      </w:r>
      <w:r>
        <w:rPr>
          <w:rFonts w:ascii="Inter" w:hAnsi="Inter" w:eastAsia="Inter"/>
          <w:b/>
          <w:color w:val="17324D"/>
          <w:sz w:val="36"/>
        </w:rPr>
        <w:t>Data security, ethics and responsible AI</w:t>
      </w:r>
    </w:p>
    <w:p>
      <w:pPr>
        <w:spacing w:before="0" w:after="120" w:line="293" w:lineRule="auto"/>
      </w:pPr>
      <w:r>
        <w:rPr>
          <w:rFonts w:ascii="Inter" w:hAnsi="Inter" w:eastAsia="Inter"/>
          <w:color w:val="17324D"/>
          <w:sz w:val="20"/>
        </w:rPr>
        <w:t>Because the platform handles sensitive health information and clinical images, privacy and clinical governance must be designed into every workflow rather than added later.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a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Inter" w:hAnsi="Inter" w:eastAsia="Inter"/>
          <w:i/>
          <w:color w:val="667A8A"/>
          <w:sz w:val="17"/>
        </w:rPr>
        <w:t>Figure 10. Proposed security controls and human-governed AI-assist workflow.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Security controls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Encrypted transfer and storage, secure login, approved devices, role permissions, backups and monitoring.</w:t>
            </w:r>
          </w:p>
        </w:tc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Patient ethics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Consent before photography, minimum necessary identifiers, confidentiality and appropriate retention.</w:t>
            </w:r>
          </w:p>
        </w:tc>
      </w:tr>
      <w:tr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AI boundary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AI may suggest patterns or urgency, but the specialist confirms or rejects the result.</w:t>
            </w:r>
          </w:p>
        </w:tc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Clinical safety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The system must never delay emergency referral when serious red flags or rapid deterioration are present.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Inter" w:hAnsi="Inter" w:eastAsia="Inter"/>
          <w:b/>
          <w:color w:val="126B7A"/>
          <w:sz w:val="17"/>
        </w:rPr>
        <w:t>IMPLEMENTATION</w:t>
      </w:r>
    </w:p>
    <w:p>
      <w:pPr>
        <w:keepNext/>
        <w:spacing w:before="80" w:after="140"/>
      </w:pPr>
      <w:r>
        <w:rPr>
          <w:rFonts w:ascii="Inter" w:hAnsi="Inter" w:eastAsia="Inter"/>
          <w:b/>
          <w:color w:val="2A86C7"/>
          <w:sz w:val="36"/>
        </w:rPr>
        <w:t xml:space="preserve">13. </w:t>
      </w:r>
      <w:r>
        <w:rPr>
          <w:rFonts w:ascii="Inter" w:hAnsi="Inter" w:eastAsia="Inter"/>
          <w:b/>
          <w:color w:val="17324D"/>
          <w:sz w:val="36"/>
        </w:rPr>
        <w:t>Healthcare worker training and phased rollout</w:t>
      </w:r>
    </w:p>
    <w:p>
      <w:pPr>
        <w:spacing w:before="0" w:after="120" w:line="293" w:lineRule="auto"/>
      </w:pPr>
      <w:r>
        <w:rPr>
          <w:rFonts w:ascii="Inter" w:hAnsi="Inter" w:eastAsia="Inter"/>
          <w:color w:val="17324D"/>
          <w:sz w:val="20"/>
        </w:rPr>
        <w:t>The quality of the service depends heavily on the people using it. Short practical training should combine clinical photography, structured documentation, confidentiality, red-flag recognition and follow-up technique.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road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Inter" w:hAnsi="Inter" w:eastAsia="Inter"/>
          <w:i/>
          <w:color w:val="667A8A"/>
          <w:sz w:val="17"/>
        </w:rPr>
        <w:t>Figure 11. Training topics, pilot quality indicators and phased implementation roadmap.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"/>
        <w:gridCol w:w="10008"/>
      </w:tblGrid>
      <w:tr>
        <w:tc>
          <w:tcPr>
            <w:tcW w:type="dxa" w:w="5074"/>
            <w:shd w:fill="2A86C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EAF4F6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7324D"/>
                <w:sz w:val="21"/>
              </w:rPr>
              <w:t>Recommended implementation principle</w:t>
            </w:r>
            <w:r>
              <w:br/>
            </w:r>
            <w:r>
              <w:rPr>
                <w:rFonts w:ascii="Inter" w:hAnsi="Inter" w:eastAsia="Inter"/>
                <w:color w:val="667A8A"/>
                <w:sz w:val="18"/>
              </w:rPr>
              <w:t>Start with co-design and controlled simulation, then pilot in selected facilities with active specialist oversight before expanding coverage or introducing AI.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Inter" w:hAnsi="Inter" w:eastAsia="Inter"/>
          <w:b/>
          <w:color w:val="126B7A"/>
          <w:sz w:val="17"/>
        </w:rPr>
        <w:t>EVALUATION</w:t>
      </w:r>
    </w:p>
    <w:p>
      <w:pPr>
        <w:keepNext/>
        <w:spacing w:before="80" w:after="140"/>
      </w:pPr>
      <w:r>
        <w:rPr>
          <w:rFonts w:ascii="Inter" w:hAnsi="Inter" w:eastAsia="Inter"/>
          <w:b/>
          <w:color w:val="2A86C7"/>
          <w:sz w:val="36"/>
        </w:rPr>
        <w:t xml:space="preserve">14. </w:t>
      </w:r>
      <w:r>
        <w:rPr>
          <w:rFonts w:ascii="Inter" w:hAnsi="Inter" w:eastAsia="Inter"/>
          <w:b/>
          <w:color w:val="17324D"/>
          <w:sz w:val="36"/>
        </w:rPr>
        <w:t>Expected impact and potential research outputs</w:t>
      </w:r>
    </w:p>
    <w:p>
      <w:pPr>
        <w:spacing w:before="0" w:after="120" w:line="293" w:lineRule="auto"/>
      </w:pPr>
      <w:r>
        <w:rPr>
          <w:rFonts w:ascii="Inter" w:hAnsi="Inter" w:eastAsia="Inter"/>
          <w:color w:val="17324D"/>
          <w:sz w:val="20"/>
        </w:rPr>
        <w:t>The intervention is expected to improve access to specialist-supported dermatology care while generating evidence about feasibility, quality, outcomes and cost in rural Tanzania.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Faster clinical guidance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Reduce the time between initial clinic assessment and specialist-supported treatment or referral.</w:t>
            </w:r>
          </w:p>
        </w:tc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Fewer avoidable journeys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Manage suitable cases locally and reserve referral travel for patients who require in-person specialist care.</w:t>
            </w:r>
          </w:p>
        </w:tc>
      </w:tr>
      <w:tr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Improved rural treatment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Give healthcare workers clear guidance, follow-up instructions and continuing learning from specialist feedback.</w:t>
            </w:r>
          </w:p>
        </w:tc>
        <w:tc>
          <w:tcPr>
            <w:tcW w:type="dxa" w:w="5074"/>
            <w:tcMar>
              <w:top w:w="125" w:type="dxa"/>
              <w:start w:w="135" w:type="dxa"/>
              <w:bottom w:w="125" w:type="dxa"/>
              <w:end w:w="135" w:type="dxa"/>
            </w:tcMar>
            <w:tcBorders>
              <w:top w:val="single" w:sz="5" w:color="DCE8EB"/>
              <w:left w:val="single" w:sz="5" w:color="DCE8EB"/>
              <w:bottom w:val="single" w:sz="5" w:color="DCE8EB"/>
              <w:right w:val="single" w:sz="5" w:color="DCE8EB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rFonts w:ascii="Inter" w:hAnsi="Inter" w:eastAsia="Inter"/>
                <w:b/>
                <w:color w:val="126B7A"/>
                <w:sz w:val="20"/>
              </w:rPr>
              <w:t>Better surveillance data</w:t>
            </w:r>
          </w:p>
          <w:p>
            <w:pPr>
              <w:spacing w:before="0" w:after="0" w:line="293" w:lineRule="auto"/>
            </w:pPr>
            <w:r>
              <w:rPr>
                <w:rFonts w:ascii="Inter" w:hAnsi="Inter" w:eastAsia="Inter"/>
                <w:color w:val="667A8A"/>
                <w:sz w:val="17"/>
              </w:rPr>
              <w:t>Create structured information on skin conditions, referral patterns, treatment response and geographical demand.</w:t>
            </w:r>
          </w:p>
        </w:tc>
      </w:tr>
    </w:tbl>
    <w:p>
      <w:pPr>
        <w:spacing w:after="0"/>
      </w:pPr>
    </w:p>
    <w:p>
      <w:pPr>
        <w:keepNext/>
        <w:spacing w:before="40" w:after="140"/>
      </w:pPr>
      <w:r>
        <w:rPr>
          <w:rFonts w:ascii="Inter" w:hAnsi="Inter" w:eastAsia="Inter"/>
          <w:b/>
          <w:color w:val="126B7A"/>
          <w:sz w:val="25"/>
        </w:rPr>
        <w:t xml:space="preserve">14.1 </w:t>
      </w:r>
      <w:r>
        <w:rPr>
          <w:rFonts w:ascii="Inter" w:hAnsi="Inter" w:eastAsia="Inter"/>
          <w:b/>
          <w:color w:val="17324D"/>
          <w:sz w:val="25"/>
        </w:rPr>
        <w:t>Suggested evaluation domains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88"/>
        <w:gridCol w:w="4392"/>
      </w:tblGrid>
      <w:tr>
        <w:trPr>
          <w:tblHeader w:val="true"/>
        </w:trPr>
        <w:tc>
          <w:tcPr>
            <w:tcW w:type="dxa" w:w="3383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7324D"/>
              <w:left w:val="single" w:sz="4" w:color="17324D"/>
              <w:bottom w:val="single" w:sz="4" w:color="17324D"/>
              <w:right w:val="single" w:sz="4" w:color="17324D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3383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7324D"/>
              <w:left w:val="single" w:sz="4" w:color="17324D"/>
              <w:bottom w:val="single" w:sz="4" w:color="17324D"/>
              <w:right w:val="single" w:sz="4" w:color="17324D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8"/>
              </w:rPr>
              <w:t>Example measures</w:t>
            </w:r>
          </w:p>
        </w:tc>
        <w:tc>
          <w:tcPr>
            <w:tcW w:type="dxa" w:w="3383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17324D"/>
              <w:left w:val="single" w:sz="4" w:color="17324D"/>
              <w:bottom w:val="single" w:sz="4" w:color="17324D"/>
              <w:right w:val="single" w:sz="4" w:color="17324D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8"/>
              </w:rPr>
              <w:t>Research question</w:t>
            </w:r>
          </w:p>
        </w:tc>
      </w:tr>
      <w:tr>
        <w:tc>
          <w:tcPr>
            <w:tcW w:type="dxa" w:w="1800"/>
            <w:shd w:fill="F7FAF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3" w:color="DCE8EB"/>
              <w:left w:val="single" w:sz="3" w:color="DCE8EB"/>
              <w:bottom w:val="single" w:sz="3" w:color="DCE8EB"/>
              <w:right w:val="single" w:sz="3" w:color="DCE8EB"/>
            </w:tcBorders>
          </w:tcPr>
          <w:p>
            <w:pPr>
              <w:spacing w:before="0" w:after="0" w:line="269" w:lineRule="auto"/>
            </w:pPr>
            <w:r>
              <w:rPr>
                <w:rFonts w:ascii="Inter" w:hAnsi="Inter" w:eastAsia="Inter"/>
                <w:color w:val="17324D"/>
                <w:sz w:val="16"/>
              </w:rPr>
              <w:t>Feasibility</w:t>
            </w:r>
          </w:p>
        </w:tc>
        <w:tc>
          <w:tcPr>
            <w:tcW w:type="dxa" w:w="3888"/>
            <w:shd w:fill="F7FAF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3" w:color="DCE8EB"/>
              <w:left w:val="single" w:sz="3" w:color="DCE8EB"/>
              <w:bottom w:val="single" w:sz="3" w:color="DCE8EB"/>
              <w:right w:val="single" w:sz="3" w:color="DCE8EB"/>
            </w:tcBorders>
          </w:tcPr>
          <w:p>
            <w:pPr>
              <w:spacing w:before="0" w:after="0" w:line="269" w:lineRule="auto"/>
            </w:pPr>
            <w:r>
              <w:rPr>
                <w:rFonts w:ascii="Inter" w:hAnsi="Inter" w:eastAsia="Inter"/>
                <w:color w:val="17324D"/>
                <w:sz w:val="16"/>
              </w:rPr>
              <w:t>Adoption, case completion, connectivity failures, staff usability</w:t>
            </w:r>
          </w:p>
        </w:tc>
        <w:tc>
          <w:tcPr>
            <w:tcW w:type="dxa" w:w="4392"/>
            <w:shd w:fill="F7FAF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3" w:color="DCE8EB"/>
              <w:left w:val="single" w:sz="3" w:color="DCE8EB"/>
              <w:bottom w:val="single" w:sz="3" w:color="DCE8EB"/>
              <w:right w:val="single" w:sz="3" w:color="DCE8EB"/>
            </w:tcBorders>
          </w:tcPr>
          <w:p>
            <w:pPr>
              <w:spacing w:before="0" w:after="0" w:line="269" w:lineRule="auto"/>
            </w:pPr>
            <w:r>
              <w:rPr>
                <w:rFonts w:ascii="Inter" w:hAnsi="Inter" w:eastAsia="Inter"/>
                <w:color w:val="17324D"/>
                <w:sz w:val="16"/>
              </w:rPr>
              <w:t>Can rural facilities reliably use the workflow in routine care?</w:t>
            </w:r>
          </w:p>
        </w:tc>
      </w:tr>
      <w:tr>
        <w:tc>
          <w:tcPr>
            <w:tcW w:type="dxa" w:w="180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3" w:color="DCE8EB"/>
              <w:left w:val="single" w:sz="3" w:color="DCE8EB"/>
              <w:bottom w:val="single" w:sz="3" w:color="DCE8EB"/>
              <w:right w:val="single" w:sz="3" w:color="DCE8EB"/>
            </w:tcBorders>
          </w:tcPr>
          <w:p>
            <w:pPr>
              <w:spacing w:before="0" w:after="0" w:line="269" w:lineRule="auto"/>
            </w:pPr>
            <w:r>
              <w:rPr>
                <w:rFonts w:ascii="Inter" w:hAnsi="Inter" w:eastAsia="Inter"/>
                <w:color w:val="17324D"/>
                <w:sz w:val="16"/>
              </w:rPr>
              <w:t>Diagnostic quality</w:t>
            </w:r>
          </w:p>
        </w:tc>
        <w:tc>
          <w:tcPr>
            <w:tcW w:type="dxa" w:w="3888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3" w:color="DCE8EB"/>
              <w:left w:val="single" w:sz="3" w:color="DCE8EB"/>
              <w:bottom w:val="single" w:sz="3" w:color="DCE8EB"/>
              <w:right w:val="single" w:sz="3" w:color="DCE8EB"/>
            </w:tcBorders>
          </w:tcPr>
          <w:p>
            <w:pPr>
              <w:spacing w:before="0" w:after="0" w:line="269" w:lineRule="auto"/>
            </w:pPr>
            <w:r>
              <w:rPr>
                <w:rFonts w:ascii="Inter" w:hAnsi="Inter" w:eastAsia="Inter"/>
                <w:color w:val="17324D"/>
                <w:sz w:val="16"/>
              </w:rPr>
              <w:t>Agreement between remote and in-person assessment; image adequacy</w:t>
            </w:r>
          </w:p>
        </w:tc>
        <w:tc>
          <w:tcPr>
            <w:tcW w:type="dxa" w:w="4392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3" w:color="DCE8EB"/>
              <w:left w:val="single" w:sz="3" w:color="DCE8EB"/>
              <w:bottom w:val="single" w:sz="3" w:color="DCE8EB"/>
              <w:right w:val="single" w:sz="3" w:color="DCE8EB"/>
            </w:tcBorders>
          </w:tcPr>
          <w:p>
            <w:pPr>
              <w:spacing w:before="0" w:after="0" w:line="269" w:lineRule="auto"/>
            </w:pPr>
            <w:r>
              <w:rPr>
                <w:rFonts w:ascii="Inter" w:hAnsi="Inter" w:eastAsia="Inter"/>
                <w:color w:val="17324D"/>
                <w:sz w:val="16"/>
              </w:rPr>
              <w:t>How accurate and clinically useful is remote dermatology review?</w:t>
            </w:r>
          </w:p>
        </w:tc>
      </w:tr>
      <w:tr>
        <w:tc>
          <w:tcPr>
            <w:tcW w:type="dxa" w:w="1800"/>
            <w:shd w:fill="F7FAF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3" w:color="DCE8EB"/>
              <w:left w:val="single" w:sz="3" w:color="DCE8EB"/>
              <w:bottom w:val="single" w:sz="3" w:color="DCE8EB"/>
              <w:right w:val="single" w:sz="3" w:color="DCE8EB"/>
            </w:tcBorders>
          </w:tcPr>
          <w:p>
            <w:pPr>
              <w:spacing w:before="0" w:after="0" w:line="269" w:lineRule="auto"/>
            </w:pPr>
            <w:r>
              <w:rPr>
                <w:rFonts w:ascii="Inter" w:hAnsi="Inter" w:eastAsia="Inter"/>
                <w:color w:val="17324D"/>
                <w:sz w:val="16"/>
              </w:rPr>
              <w:t>Referral impact</w:t>
            </w:r>
          </w:p>
        </w:tc>
        <w:tc>
          <w:tcPr>
            <w:tcW w:type="dxa" w:w="3888"/>
            <w:shd w:fill="F7FAF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3" w:color="DCE8EB"/>
              <w:left w:val="single" w:sz="3" w:color="DCE8EB"/>
              <w:bottom w:val="single" w:sz="3" w:color="DCE8EB"/>
              <w:right w:val="single" w:sz="3" w:color="DCE8EB"/>
            </w:tcBorders>
          </w:tcPr>
          <w:p>
            <w:pPr>
              <w:spacing w:before="0" w:after="0" w:line="269" w:lineRule="auto"/>
            </w:pPr>
            <w:r>
              <w:rPr>
                <w:rFonts w:ascii="Inter" w:hAnsi="Inter" w:eastAsia="Inter"/>
                <w:color w:val="17324D"/>
                <w:sz w:val="16"/>
              </w:rPr>
              <w:t>Referral rate, avoided travel, urgent escalations, time to treatment</w:t>
            </w:r>
          </w:p>
        </w:tc>
        <w:tc>
          <w:tcPr>
            <w:tcW w:type="dxa" w:w="4392"/>
            <w:shd w:fill="F7FAF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3" w:color="DCE8EB"/>
              <w:left w:val="single" w:sz="3" w:color="DCE8EB"/>
              <w:bottom w:val="single" w:sz="3" w:color="DCE8EB"/>
              <w:right w:val="single" w:sz="3" w:color="DCE8EB"/>
            </w:tcBorders>
          </w:tcPr>
          <w:p>
            <w:pPr>
              <w:spacing w:before="0" w:after="0" w:line="269" w:lineRule="auto"/>
            </w:pPr>
            <w:r>
              <w:rPr>
                <w:rFonts w:ascii="Inter" w:hAnsi="Inter" w:eastAsia="Inter"/>
                <w:color w:val="17324D"/>
                <w:sz w:val="16"/>
              </w:rPr>
              <w:t>Does the platform improve referral targeting and speed?</w:t>
            </w:r>
          </w:p>
        </w:tc>
      </w:tr>
      <w:tr>
        <w:tc>
          <w:tcPr>
            <w:tcW w:type="dxa" w:w="1800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3" w:color="DCE8EB"/>
              <w:left w:val="single" w:sz="3" w:color="DCE8EB"/>
              <w:bottom w:val="single" w:sz="3" w:color="DCE8EB"/>
              <w:right w:val="single" w:sz="3" w:color="DCE8EB"/>
            </w:tcBorders>
          </w:tcPr>
          <w:p>
            <w:pPr>
              <w:spacing w:before="0" w:after="0" w:line="269" w:lineRule="auto"/>
            </w:pPr>
            <w:r>
              <w:rPr>
                <w:rFonts w:ascii="Inter" w:hAnsi="Inter" w:eastAsia="Inter"/>
                <w:color w:val="17324D"/>
                <w:sz w:val="16"/>
              </w:rPr>
              <w:t>Cost-effectiveness</w:t>
            </w:r>
          </w:p>
        </w:tc>
        <w:tc>
          <w:tcPr>
            <w:tcW w:type="dxa" w:w="3888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3" w:color="DCE8EB"/>
              <w:left w:val="single" w:sz="3" w:color="DCE8EB"/>
              <w:bottom w:val="single" w:sz="3" w:color="DCE8EB"/>
              <w:right w:val="single" w:sz="3" w:color="DCE8EB"/>
            </w:tcBorders>
          </w:tcPr>
          <w:p>
            <w:pPr>
              <w:spacing w:before="0" w:after="0" w:line="269" w:lineRule="auto"/>
            </w:pPr>
            <w:r>
              <w:rPr>
                <w:rFonts w:ascii="Inter" w:hAnsi="Inter" w:eastAsia="Inter"/>
                <w:color w:val="17324D"/>
                <w:sz w:val="16"/>
              </w:rPr>
              <w:t>Patient travel cost, provider time, platform cost, cost per completed case</w:t>
            </w:r>
          </w:p>
        </w:tc>
        <w:tc>
          <w:tcPr>
            <w:tcW w:type="dxa" w:w="4392"/>
            <w:shd w:fill="FFFFFF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3" w:color="DCE8EB"/>
              <w:left w:val="single" w:sz="3" w:color="DCE8EB"/>
              <w:bottom w:val="single" w:sz="3" w:color="DCE8EB"/>
              <w:right w:val="single" w:sz="3" w:color="DCE8EB"/>
            </w:tcBorders>
          </w:tcPr>
          <w:p>
            <w:pPr>
              <w:spacing w:before="0" w:after="0" w:line="269" w:lineRule="auto"/>
            </w:pPr>
            <w:r>
              <w:rPr>
                <w:rFonts w:ascii="Inter" w:hAnsi="Inter" w:eastAsia="Inter"/>
                <w:color w:val="17324D"/>
                <w:sz w:val="16"/>
              </w:rPr>
              <w:t>Is the service economically justified at pilot and scale?</w:t>
            </w:r>
          </w:p>
        </w:tc>
      </w:tr>
      <w:tr>
        <w:tc>
          <w:tcPr>
            <w:tcW w:type="dxa" w:w="1800"/>
            <w:shd w:fill="F7FAF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3" w:color="DCE8EB"/>
              <w:left w:val="single" w:sz="3" w:color="DCE8EB"/>
              <w:bottom w:val="single" w:sz="3" w:color="DCE8EB"/>
              <w:right w:val="single" w:sz="3" w:color="DCE8EB"/>
            </w:tcBorders>
          </w:tcPr>
          <w:p>
            <w:pPr>
              <w:spacing w:before="0" w:after="0" w:line="269" w:lineRule="auto"/>
            </w:pPr>
            <w:r>
              <w:rPr>
                <w:rFonts w:ascii="Inter" w:hAnsi="Inter" w:eastAsia="Inter"/>
                <w:color w:val="17324D"/>
                <w:sz w:val="16"/>
              </w:rPr>
              <w:t>Equity and safety</w:t>
            </w:r>
          </w:p>
        </w:tc>
        <w:tc>
          <w:tcPr>
            <w:tcW w:type="dxa" w:w="3888"/>
            <w:shd w:fill="F7FAF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3" w:color="DCE8EB"/>
              <w:left w:val="single" w:sz="3" w:color="DCE8EB"/>
              <w:bottom w:val="single" w:sz="3" w:color="DCE8EB"/>
              <w:right w:val="single" w:sz="3" w:color="DCE8EB"/>
            </w:tcBorders>
          </w:tcPr>
          <w:p>
            <w:pPr>
              <w:spacing w:before="0" w:after="0" w:line="269" w:lineRule="auto"/>
            </w:pPr>
            <w:r>
              <w:rPr>
                <w:rFonts w:ascii="Inter" w:hAnsi="Inter" w:eastAsia="Inter"/>
                <w:color w:val="17324D"/>
                <w:sz w:val="16"/>
              </w:rPr>
              <w:t>Access by geography and demographic group; adverse events; missed urgent cases</w:t>
            </w:r>
          </w:p>
        </w:tc>
        <w:tc>
          <w:tcPr>
            <w:tcW w:type="dxa" w:w="4392"/>
            <w:shd w:fill="F7FAF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3" w:color="DCE8EB"/>
              <w:left w:val="single" w:sz="3" w:color="DCE8EB"/>
              <w:bottom w:val="single" w:sz="3" w:color="DCE8EB"/>
              <w:right w:val="single" w:sz="3" w:color="DCE8EB"/>
            </w:tcBorders>
          </w:tcPr>
          <w:p>
            <w:pPr>
              <w:spacing w:before="0" w:after="0" w:line="269" w:lineRule="auto"/>
            </w:pPr>
            <w:r>
              <w:rPr>
                <w:rFonts w:ascii="Inter" w:hAnsi="Inter" w:eastAsia="Inter"/>
                <w:color w:val="17324D"/>
                <w:sz w:val="16"/>
              </w:rPr>
              <w:t>Does the intervention improve access without creating new safety or equity risks?</w:t>
            </w:r>
          </w:p>
        </w:tc>
      </w:tr>
    </w:tbl>
    <w:p>
      <w:pPr>
        <w:spacing w:before="0" w:after="80" w:line="293" w:lineRule="auto"/>
      </w:pPr>
      <w:r>
        <w:rPr>
          <w:rFonts w:ascii="Inter" w:hAnsi="Inter" w:eastAsia="Inter"/>
          <w:color w:val="17324D"/>
          <w:sz w:val="20"/>
        </w:rPr>
        <w:t>The original concept identifies four priority research outputs: feasibility of tele-dermatology in rural Tanzania, accuracy of remote dermatology diagnosis, impact on referral rates, and cost-effectiveness analysis.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"/>
        <w:gridCol w:w="10008"/>
      </w:tblGrid>
      <w:tr>
        <w:tc>
          <w:tcPr>
            <w:tcW w:type="dxa" w:w="5074"/>
            <w:shd w:fill="F4A261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FF7E9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7324D"/>
                <w:sz w:val="21"/>
              </w:rPr>
              <w:t>Clinical and regulatory note</w:t>
            </w:r>
            <w:r>
              <w:br/>
            </w:r>
            <w:r>
              <w:rPr>
                <w:rFonts w:ascii="Inter" w:hAnsi="Inter" w:eastAsia="Inter"/>
                <w:color w:val="667A8A"/>
                <w:sz w:val="18"/>
              </w:rPr>
              <w:t>Before deployment, the concept requires formal clinical validation, legal and ethical review, approved data-governance procedures, and alignment with national health-sector regulations.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10"/>
      <w:footerReference w:type="default" r:id="rId11"/>
      <w:pgSz w:w="11906" w:h="16838"/>
      <w:pgMar w:top="964" w:right="879" w:bottom="879" w:left="879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76"/>
      <w:gridCol w:w="5076"/>
    </w:tblGrid>
    <w:tr>
      <w:tc>
        <w:tcPr>
          <w:tcW w:type="dxa" w:w="5076"/>
          <w:tcBorders>
            <w:top w:val="nil"/>
            <w:left w:val="nil"/>
            <w:bottom w:val="nil"/>
            <w:right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Inter" w:hAnsi="Inter" w:eastAsia="Inter"/>
              <w:color w:val="667A8A"/>
              <w:sz w:val="16"/>
            </w:rPr>
            <w:t>Concept and professional UI mockups · 2026</w:t>
          </w:r>
        </w:p>
      </w:tc>
      <w:tc>
        <w:tcPr>
          <w:tcW w:type="dxa" w:w="5076"/>
          <w:tcBorders>
            <w:top w:val="nil"/>
            <w:left w:val="nil"/>
            <w:bottom w:val="nil"/>
            <w:right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Inter" w:hAnsi="Inter" w:eastAsia="Inter"/>
              <w:color w:val="667A8A"/>
              <w:sz w:val="18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4" w:color="DCE8EB"/>
      </w:pBdr>
    </w:pPr>
    <w:r>
      <w:rPr>
        <w:rFonts w:ascii="Inter" w:hAnsi="Inter" w:eastAsia="Inter"/>
        <w:b/>
        <w:color w:val="126B7A"/>
        <w:sz w:val="18"/>
      </w:rPr>
      <w:t>SkinLink</w:t>
    </w:r>
    <w:r>
      <w:rPr>
        <w:rFonts w:ascii="Inter" w:hAnsi="Inter" w:eastAsia="Inter"/>
        <w:color w:val="667A8A"/>
        <w:sz w:val="17"/>
      </w:rPr>
      <w:t xml:space="preserve">  |  Tele-dermatology referral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Inter" w:hAnsi="Inter"/>
      <w:color w:val="1732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Inter" w:hAnsi="Inter"/>
      <w:i/>
      <w:color w:val="667A8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SkinLink — Tele-Dermatology Referral Platform</dc:title>
  <dc:subject>Professional concept document and UI mockups</dc:subject>
  <dc:creator>SkinLink Project Team</dc:creator>
  <cp:keywords>tele-dermatology, rural health, referral platform, clinical UI, Tanzania</cp:keywords>
  <dc:description>Redesigned professional concept and UI mockup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