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Los Angeles Bridge loans -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world of finance is complex and perplexing to many. When it comes to getting quick approval and funds for real estate backed loans, investors prefer hard money bridge loans. We offer Bridge loans to our potential customers who need quick funds to finance real estate projects. By having a deep knowledge of every aspect of the real estate business, we 'bridge' immediate cash flow needs by providing Bridge loans.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Bridge financing can be the best option in many situations especially when you need a quick fund against the existing equity within real estate. So many people get confused about bridge loan and how it works. So we're here to simplify it for you. A bridge loan is a short term loan of up to one year which is generally used in the real estate sector. This loan is secured by a real estate property that serves as collateral. Real estate investors often choose Bridge loans because of the fast approval and funding. Businesses turn to bridge loans when they have a time lag between the purchase of one property and the sale of another property. Hard money bridge loans can be funded within a few days. Borrowers who borrow hard money Bridge loans from private lenders pay a premium interest rate and other charges such as convenience fees and origination points. They are expected to put real estate property as collateral.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been providing Bridge loans to our clients across Los Angeles and many of our clients are continuously using our services for their real estate financing needs. We would love to have you too, in the list of our valuable customers.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