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100" w:before="100"/>
      </w:pPr>
      <w:r>
        <w:t xml:space="preserve"/>
      </w:r>
    </w:p>
    <w:p>
      <w:pPr>
        <w:spacing w:after="60" w:before="0"/>
        <w:jc w:val="center"/>
      </w:pPr>
      <w:r>
        <w:rPr>
          <w:rFonts w:ascii="Arial" w:cs="Arial" w:eastAsia="Arial" w:hAnsi="Arial"/>
          <w:b/>
          <w:bCs/>
          <w:color w:val="5D3A00"/>
          <w:sz w:val="56"/>
          <w:szCs w:val="56"/>
        </w:rPr>
        <w:t xml:space="preserve">Customer Behavior Analysis</w:t>
      </w:r>
    </w:p>
    <w:p>
      <w:pPr>
        <w:spacing w:after="200" w:before="40"/>
        <w:jc w:val="center"/>
      </w:pPr>
      <w:r>
        <w:rPr>
          <w:rFonts w:ascii="Arial" w:cs="Arial" w:eastAsia="Arial" w:hAnsi="Arial"/>
          <w:i/>
          <w:iCs/>
          <w:color w:val="7B5E00"/>
          <w:sz w:val="30"/>
          <w:szCs w:val="30"/>
        </w:rPr>
        <w:t xml:space="preserve">End-to-End Data Analytics Project Report</w:t>
      </w:r>
    </w:p>
    <w:p>
      <w:pPr>
        <w:pBdr>
          <w:bottom w:val="single" w:color="A67C00" w:sz="8" w:space="6"/>
        </w:pBdr>
        <w:spacing w:after="300" w:before="0"/>
        <w:jc w:val="center"/>
      </w:pPr>
      <w:r>
        <w:t xml:space="preserve"/>
      </w:r>
    </w:p>
    <w:p>
      <w:pPr>
        <w:spacing w:after="100" w:before="100"/>
      </w:pPr>
      <w:r>
        <w:t xml:space="preserve"/>
      </w:r>
    </w:p>
    <w:p>
      <w:pPr>
        <w:jc w:val="center"/>
      </w:pPr>
      <w:r>
        <w:rPr>
          <w:rFonts w:ascii="Arial" w:cs="Arial" w:eastAsia="Arial" w:hAnsi="Arial"/>
          <w:i/>
          <w:iCs/>
          <w:color w:val="444444"/>
          <w:sz w:val="22"/>
          <w:szCs w:val="22"/>
        </w:rPr>
        <w:t xml:space="preserve">A comprehensive walkthrough of customer loyalty, purchasing trends,</w:t>
      </w:r>
    </w:p>
    <w:p>
      <w:pPr>
        <w:spacing w:after="280"/>
        <w:jc w:val="center"/>
      </w:pPr>
      <w:r>
        <w:rPr>
          <w:rFonts w:ascii="Arial" w:cs="Arial" w:eastAsia="Arial" w:hAnsi="Arial"/>
          <w:i/>
          <w:iCs/>
          <w:color w:val="444444"/>
          <w:sz w:val="22"/>
          <w:szCs w:val="22"/>
        </w:rPr>
        <w:t xml:space="preserve">and behavior analysis using Python, SQL, and Power BI.</w:t>
      </w:r>
    </w:p>
    <w:p>
      <w:pPr>
        <w:spacing w:after="100" w:before="100"/>
      </w:pPr>
      <w:r>
        <w:t xml:space="preserve"/>
      </w:r>
    </w:p>
    <w:p>
      <w:pPr>
        <w:spacing w:after="100" w:before="100"/>
      </w:pPr>
      <w:r>
        <w:t xml:space="preserve"/>
      </w:r>
    </w:p>
    <w:p>
      <w:pPr>
        <w:jc w:val="center"/>
      </w:pPr>
      <w:r>
        <w:rPr>
          <w:rFonts w:ascii="Arial" w:cs="Arial" w:eastAsia="Arial" w:hAnsi="Arial"/>
          <w:color w:val="444444"/>
          <w:sz w:val="22"/>
          <w:szCs w:val="22"/>
        </w:rPr>
        <w:t xml:space="preserve">April 2026</w:t>
      </w:r>
    </w:p>
    <w:p>
      <w:pPr>
        <w:jc w:val="center"/>
      </w:pPr>
      <w:r>
        <w:rPr>
          <w:rFonts w:ascii="Arial" w:cs="Arial" w:eastAsia="Arial" w:hAnsi="Arial"/>
          <w:color w:val="8B3A0F"/>
          <w:sz w:val="20"/>
          <w:szCs w:val="20"/>
        </w:rPr>
        <w:t xml:space="preserve">Tools: Python  |  PostgreSQL  |  Power BI  |  Gamma AI  |  GitHub</w:t>
      </w:r>
    </w:p>
    <w:p>
      <w:pPr>
        <w:spacing w:after="100" w:before="100"/>
      </w:pPr>
      <w:r>
        <w:t xml:space="preserve"/>
      </w:r>
    </w:p>
    <w:p>
      <w:pPr>
        <w:spacing w:after="100" w:before="100"/>
      </w:pPr>
      <w:r>
        <w:t xml:space="preserve"/>
      </w:r>
    </w:p>
    <w:p>
      <w:pPr>
        <w:spacing w:after="100" w:before="100"/>
      </w:pPr>
      <w:r>
        <w:t xml:space="preserve"/>
      </w:r>
    </w:p>
    <w:p>
      <w:pPr>
        <w:spacing w:after="100" w:before="100"/>
      </w:pPr>
      <w:r>
        <w:t xml:space="preserve"/>
      </w:r>
    </w:p>
    <w:p>
      <w:pPr>
        <w:spacing w:after="100" w:before="100"/>
      </w:pPr>
      <w:r>
        <w:t xml:space="preserve"/>
      </w:r>
    </w:p>
    <w:p>
      <w:pPr>
        <w:spacing w:after="100" w:before="100"/>
      </w:pPr>
      <w:r>
        <w:t xml:space="preserve"/>
      </w:r>
    </w:p>
    <w:p>
      <w:pPr>
        <w:pStyle w:val="Heading1"/>
        <w:pBdr>
          <w:bottom w:val="single" w:color="A67C00" w:sz="8" w:space="6"/>
        </w:pBdr>
        <w:spacing w:after="140" w:before="400"/>
      </w:pPr>
      <w:r>
        <w:rPr>
          <w:rFonts w:ascii="Arial" w:cs="Arial" w:eastAsia="Arial" w:hAnsi="Arial"/>
          <w:b/>
          <w:bCs/>
          <w:color w:val="5D3A00"/>
          <w:sz w:val="34"/>
          <w:szCs w:val="34"/>
        </w:rPr>
        <w:t xml:space="preserve">1. Executive Summary</w:t>
      </w:r>
    </w:p>
    <w:p>
      <w:pPr>
        <w:spacing w:after="80" w:before="80"/>
        <w:jc w:val="both"/>
      </w:pPr>
      <w:r>
        <w:rPr>
          <w:rFonts w:ascii="Arial" w:cs="Arial" w:eastAsia="Arial" w:hAnsi="Arial"/>
          <w:color w:val="444444"/>
          <w:sz w:val="22"/>
          <w:szCs w:val="22"/>
        </w:rPr>
        <w:t xml:space="preserve">This report documents a complete end-to-end data analytics project focused on understanding customer behavior, loyalty patterns, and purchasing trends for a retail business. The project spans six structured phases — from business problem definition through data engineering, SQL-based business analysis, visual dashboard design, stakeholder reporting, and public portfolio deployment.</w:t>
      </w:r>
    </w:p>
    <w:p>
      <w:pPr>
        <w:spacing w:after="100" w:before="100"/>
      </w:pPr>
      <w:r>
        <w:t xml:space="preserve"/>
      </w:r>
    </w:p>
    <w:p>
      <w:pPr>
        <w:spacing w:after="80" w:before="80"/>
        <w:jc w:val="both"/>
      </w:pPr>
      <w:r>
        <w:rPr>
          <w:rFonts w:ascii="Arial" w:cs="Arial" w:eastAsia="Arial" w:hAnsi="Arial"/>
          <w:color w:val="444444"/>
          <w:sz w:val="22"/>
          <w:szCs w:val="22"/>
        </w:rPr>
        <w:t xml:space="preserve">The Power BI Customer Behavior Dashboard developed as the core deliverable reveals the following headline metrics from a dataset of 3,900 customers: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5ECD7" w:val="clear"/>
            <w:tcMar>
              <w:top w:type="dxa" w:w="120"/>
              <w:left w:type="dxa" w:w="140"/>
              <w:bottom w:type="dxa" w:w="120"/>
              <w:right w:type="dxa" w:w="140"/>
            </w:tcMar>
          </w:tcPr>
          <w:p>
            <w:pPr>
              <w:jc w:val="center"/>
            </w:pPr>
            <w:r>
              <w:rPr>
                <w:rFonts w:ascii="Arial" w:cs="Arial" w:eastAsia="Arial" w:hAnsi="Arial"/>
                <w:b/>
                <w:bCs/>
                <w:color w:val="8B3A0F"/>
                <w:sz w:val="32"/>
                <w:szCs w:val="32"/>
              </w:rPr>
              <w:t xml:space="preserve">3,900</w:t>
            </w:r>
          </w:p>
          <w:p>
            <w:pPr>
              <w:spacing w:before="40"/>
              <w:jc w:val="center"/>
            </w:pPr>
            <w:r>
              <w:rPr>
                <w:rFonts w:ascii="Arial" w:cs="Arial" w:eastAsia="Arial" w:hAnsi="Arial"/>
                <w:color w:val="444444"/>
                <w:sz w:val="18"/>
                <w:szCs w:val="18"/>
              </w:rPr>
              <w:t xml:space="preserve">Number of Customers</w:t>
            </w:r>
          </w:p>
        </w:tc>
        <w:tc>
          <w:tcPr>
            <w:tcW w:type="dxa" w:w="2340"/>
            <w:tcBorders>
              <w:top w:val="single" w:color="CCCCCC" w:sz="1"/>
              <w:left w:val="single" w:color="CCCCCC" w:sz="1"/>
              <w:bottom w:val="single" w:color="CCCCCC" w:sz="1"/>
              <w:right w:val="single" w:color="CCCCCC" w:sz="1"/>
            </w:tcBorders>
            <w:shd w:fill="F5ECD7" w:val="clear"/>
            <w:tcMar>
              <w:top w:type="dxa" w:w="120"/>
              <w:left w:type="dxa" w:w="140"/>
              <w:bottom w:type="dxa" w:w="120"/>
              <w:right w:type="dxa" w:w="140"/>
            </w:tcMar>
          </w:tcPr>
          <w:p>
            <w:pPr>
              <w:jc w:val="center"/>
            </w:pPr>
            <w:r>
              <w:rPr>
                <w:rFonts w:ascii="Arial" w:cs="Arial" w:eastAsia="Arial" w:hAnsi="Arial"/>
                <w:b/>
                <w:bCs/>
                <w:color w:val="8B3A0F"/>
                <w:sz w:val="32"/>
                <w:szCs w:val="32"/>
              </w:rPr>
              <w:t xml:space="preserve">$59.76</w:t>
            </w:r>
          </w:p>
          <w:p>
            <w:pPr>
              <w:spacing w:before="40"/>
              <w:jc w:val="center"/>
            </w:pPr>
            <w:r>
              <w:rPr>
                <w:rFonts w:ascii="Arial" w:cs="Arial" w:eastAsia="Arial" w:hAnsi="Arial"/>
                <w:color w:val="444444"/>
                <w:sz w:val="18"/>
                <w:szCs w:val="18"/>
              </w:rPr>
              <w:t xml:space="preserve">Avg Purchase Amount</w:t>
            </w:r>
          </w:p>
        </w:tc>
        <w:tc>
          <w:tcPr>
            <w:tcW w:type="dxa" w:w="2340"/>
            <w:tcBorders>
              <w:top w:val="single" w:color="CCCCCC" w:sz="1"/>
              <w:left w:val="single" w:color="CCCCCC" w:sz="1"/>
              <w:bottom w:val="single" w:color="CCCCCC" w:sz="1"/>
              <w:right w:val="single" w:color="CCCCCC" w:sz="1"/>
            </w:tcBorders>
            <w:shd w:fill="F5ECD7" w:val="clear"/>
            <w:tcMar>
              <w:top w:type="dxa" w:w="120"/>
              <w:left w:type="dxa" w:w="140"/>
              <w:bottom w:type="dxa" w:w="120"/>
              <w:right w:type="dxa" w:w="140"/>
            </w:tcMar>
          </w:tcPr>
          <w:p>
            <w:pPr>
              <w:jc w:val="center"/>
            </w:pPr>
            <w:r>
              <w:rPr>
                <w:rFonts w:ascii="Arial" w:cs="Arial" w:eastAsia="Arial" w:hAnsi="Arial"/>
                <w:b/>
                <w:bCs/>
                <w:color w:val="8B3A0F"/>
                <w:sz w:val="32"/>
                <w:szCs w:val="32"/>
              </w:rPr>
              <w:t xml:space="preserve">3.75 / 5</w:t>
            </w:r>
          </w:p>
          <w:p>
            <w:pPr>
              <w:spacing w:before="40"/>
              <w:jc w:val="center"/>
            </w:pPr>
            <w:r>
              <w:rPr>
                <w:rFonts w:ascii="Arial" w:cs="Arial" w:eastAsia="Arial" w:hAnsi="Arial"/>
                <w:color w:val="444444"/>
                <w:sz w:val="18"/>
                <w:szCs w:val="18"/>
              </w:rPr>
              <w:t xml:space="preserve">Avg Review Rating</w:t>
            </w:r>
          </w:p>
        </w:tc>
        <w:tc>
          <w:tcPr>
            <w:tcW w:type="dxa" w:w="2340"/>
            <w:tcBorders>
              <w:top w:val="single" w:color="CCCCCC" w:sz="1"/>
              <w:left w:val="single" w:color="CCCCCC" w:sz="1"/>
              <w:bottom w:val="single" w:color="CCCCCC" w:sz="1"/>
              <w:right w:val="single" w:color="CCCCCC" w:sz="1"/>
            </w:tcBorders>
            <w:shd w:fill="F5ECD7" w:val="clear"/>
            <w:tcMar>
              <w:top w:type="dxa" w:w="120"/>
              <w:left w:type="dxa" w:w="140"/>
              <w:bottom w:type="dxa" w:w="120"/>
              <w:right w:type="dxa" w:w="140"/>
            </w:tcMar>
          </w:tcPr>
          <w:p>
            <w:pPr>
              <w:jc w:val="center"/>
            </w:pPr>
            <w:r>
              <w:rPr>
                <w:rFonts w:ascii="Arial" w:cs="Arial" w:eastAsia="Arial" w:hAnsi="Arial"/>
                <w:b/>
                <w:bCs/>
                <w:color w:val="8B3A0F"/>
                <w:sz w:val="32"/>
                <w:szCs w:val="32"/>
              </w:rPr>
              <w:t xml:space="preserve">27% (Subscribed)</w:t>
            </w:r>
          </w:p>
          <w:p>
            <w:pPr>
              <w:spacing w:before="40"/>
              <w:jc w:val="center"/>
            </w:pPr>
            <w:r>
              <w:rPr>
                <w:rFonts w:ascii="Arial" w:cs="Arial" w:eastAsia="Arial" w:hAnsi="Arial"/>
                <w:color w:val="444444"/>
                <w:sz w:val="18"/>
                <w:szCs w:val="18"/>
              </w:rPr>
              <w:t xml:space="preserve">Subscription Rate</w:t>
            </w:r>
          </w:p>
        </w:tc>
      </w:tr>
    </w:tbl>
    <w:p>
      <w:pPr>
        <w:spacing w:after="100" w:before="100"/>
      </w:pPr>
      <w:r>
        <w:t xml:space="preserve"/>
      </w:r>
    </w:p>
    <w:p>
      <w:pPr>
        <w:spacing w:after="80" w:before="80"/>
        <w:jc w:val="both"/>
      </w:pPr>
      <w:r>
        <w:rPr>
          <w:rFonts w:ascii="Arial" w:cs="Arial" w:eastAsia="Arial" w:hAnsi="Arial"/>
          <w:color w:val="444444"/>
          <w:sz w:val="22"/>
          <w:szCs w:val="22"/>
        </w:rPr>
        <w:t xml:space="preserve">These insights equip business stakeholders with actionable intelligence to optimize marketing strategies, improve customer retention, and prioritize high-revenue product categories.</w:t>
      </w:r>
    </w:p>
    <w:p>
      <w:pPr>
        <w:pStyle w:val="Heading1"/>
        <w:pBdr>
          <w:bottom w:val="single" w:color="A67C00" w:sz="8" w:space="6"/>
        </w:pBdr>
        <w:spacing w:after="140" w:before="400"/>
      </w:pPr>
      <w:r>
        <w:rPr>
          <w:rFonts w:ascii="Arial" w:cs="Arial" w:eastAsia="Arial" w:hAnsi="Arial"/>
          <w:b/>
          <w:bCs/>
          <w:color w:val="5D3A00"/>
          <w:sz w:val="34"/>
          <w:szCs w:val="34"/>
        </w:rPr>
        <w:t xml:space="preserve">2. Project Overview</w:t>
      </w:r>
    </w:p>
    <w:p>
      <w:pPr>
        <w:spacing w:after="80" w:before="80"/>
        <w:jc w:val="both"/>
      </w:pPr>
      <w:r>
        <w:rPr>
          <w:rFonts w:ascii="Arial" w:cs="Arial" w:eastAsia="Arial" w:hAnsi="Arial"/>
          <w:color w:val="444444"/>
          <w:sz w:val="22"/>
          <w:szCs w:val="22"/>
        </w:rPr>
        <w:t xml:space="preserve">The project was designed to simulate a real-world data analyst workflow, covering all critical stages from raw data ingestion to stakeholder presentation. Each phase builds upon the previous, ensuring logical continuity from raw data to business insight.</w:t>
      </w:r>
    </w:p>
    <w:p>
      <w:pPr>
        <w:spacing w:after="100" w:before="100"/>
      </w:pPr>
      <w:r>
        <w:t xml:space="preserve"/>
      </w:r>
    </w:p>
    <w:p>
      <w:pPr>
        <w:pStyle w:val="Heading2"/>
        <w:spacing w:after="100" w:before="260"/>
      </w:pPr>
      <w:r>
        <w:rPr>
          <w:rFonts w:ascii="Arial" w:cs="Arial" w:eastAsia="Arial" w:hAnsi="Arial"/>
          <w:b/>
          <w:bCs/>
          <w:color w:val="7B5E00"/>
          <w:sz w:val="26"/>
          <w:szCs w:val="26"/>
        </w:rPr>
        <w:t xml:space="preserve">2.1 Project Phases at a Glance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500"/>
        <w:gridCol w:w="5060"/>
      </w:tblGrid>
      <w:tr>
        <w:tc>
          <w:tcPr>
            <w:tcW w:type="dxa" w:w="600"/>
            <w:tcBorders>
              <w:top w:val="single" w:color="CCCCCC" w:sz="1"/>
              <w:left w:val="single" w:color="CCCCCC" w:sz="1"/>
              <w:bottom w:val="single" w:color="CCCCCC" w:sz="1"/>
              <w:right w:val="single" w:color="CCCCCC" w:sz="1"/>
            </w:tcBorders>
            <w:shd w:fill="5D3A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5D3A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Phase</w:t>
            </w:r>
          </w:p>
        </w:tc>
        <w:tc>
          <w:tcPr>
            <w:tcW w:type="dxa" w:w="1500"/>
            <w:tcBorders>
              <w:top w:val="single" w:color="CCCCCC" w:sz="1"/>
              <w:left w:val="single" w:color="CCCCCC" w:sz="1"/>
              <w:bottom w:val="single" w:color="CCCCCC" w:sz="1"/>
              <w:right w:val="single" w:color="CCCCCC" w:sz="1"/>
            </w:tcBorders>
            <w:shd w:fill="5D3A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Timestamp</w:t>
            </w:r>
          </w:p>
        </w:tc>
        <w:tc>
          <w:tcPr>
            <w:tcW w:type="dxa" w:w="5060"/>
            <w:tcBorders>
              <w:top w:val="single" w:color="CCCCCC" w:sz="1"/>
              <w:left w:val="single" w:color="CCCCCC" w:sz="1"/>
              <w:bottom w:val="single" w:color="CCCCCC" w:sz="1"/>
              <w:right w:val="single" w:color="CCCCCC" w:sz="1"/>
            </w:tcBorders>
            <w:shd w:fill="5D3A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shd w:fill="E8D5A3" w:val="clear"/>
            <w:tcMar>
              <w:top w:type="dxa" w:w="100"/>
              <w:left w:type="dxa" w:w="120"/>
              <w:bottom w:type="dxa" w:w="100"/>
              <w:right w:type="dxa" w:w="120"/>
            </w:tcMar>
          </w:tcPr>
          <w:p>
            <w:pPr>
              <w:jc w:val="center"/>
            </w:pPr>
            <w:r>
              <w:rPr>
                <w:rFonts w:ascii="Arial" w:cs="Arial" w:eastAsia="Arial" w:hAnsi="Arial"/>
                <w:b/>
                <w:bCs/>
                <w:color w:val="5D3A00"/>
                <w:sz w:val="20"/>
                <w:szCs w:val="20"/>
              </w:rPr>
              <w:t xml:space="preserve">1</w:t>
            </w:r>
          </w:p>
        </w:tc>
        <w:tc>
          <w:tcPr>
            <w:tcW w:type="dxa" w:w="2200"/>
            <w:tcBorders>
              <w:top w:val="single" w:color="CCCCCC" w:sz="1"/>
              <w:left w:val="single" w:color="CCCCCC" w:sz="1"/>
              <w:bottom w:val="single" w:color="CCCCCC" w:sz="1"/>
              <w:right w:val="single" w:color="CCCCCC" w:sz="1"/>
            </w:tcBorders>
            <w:shd w:fill="E8D5A3" w:val="clear"/>
            <w:tcMar>
              <w:top w:type="dxa" w:w="100"/>
              <w:left w:type="dxa" w:w="120"/>
              <w:bottom w:type="dxa" w:w="100"/>
              <w:right w:type="dxa" w:w="120"/>
            </w:tcMar>
          </w:tcPr>
          <w:p>
            <w:r>
              <w:rPr>
                <w:rFonts w:ascii="Arial" w:cs="Arial" w:eastAsia="Arial" w:hAnsi="Arial"/>
                <w:b/>
                <w:bCs/>
                <w:color w:val="7B5E00"/>
                <w:sz w:val="20"/>
                <w:szCs w:val="20"/>
              </w:rPr>
              <w:t xml:space="preserve">Business Problem Definition</w:t>
            </w:r>
          </w:p>
        </w:tc>
        <w:tc>
          <w:tcPr>
            <w:tcW w:type="dxa" w:w="1500"/>
            <w:tcBorders>
              <w:top w:val="single" w:color="CCCCCC" w:sz="1"/>
              <w:left w:val="single" w:color="CCCCCC" w:sz="1"/>
              <w:bottom w:val="single" w:color="CCCCCC" w:sz="1"/>
              <w:right w:val="single" w:color="CCCCCC" w:sz="1"/>
            </w:tcBorders>
            <w:shd w:fill="E8D5A3" w:val="clear"/>
            <w:tcMar>
              <w:top w:type="dxa" w:w="100"/>
              <w:left w:type="dxa" w:w="120"/>
              <w:bottom w:type="dxa" w:w="100"/>
              <w:right w:type="dxa" w:w="120"/>
            </w:tcMar>
          </w:tcPr>
          <w:p>
            <w:r>
              <w:rPr>
                <w:rFonts w:ascii="Arial" w:cs="Arial" w:eastAsia="Arial" w:hAnsi="Arial"/>
                <w:color w:val="8B3A0F"/>
                <w:sz w:val="19"/>
                <w:szCs w:val="19"/>
              </w:rPr>
              <w:t xml:space="preserve">0:00 – 2:25</w:t>
            </w:r>
          </w:p>
        </w:tc>
        <w:tc>
          <w:tcPr>
            <w:tcW w:type="dxa" w:w="5060"/>
            <w:tcBorders>
              <w:top w:val="single" w:color="CCCCCC" w:sz="1"/>
              <w:left w:val="single" w:color="CCCCCC" w:sz="1"/>
              <w:bottom w:val="single" w:color="CCCCCC" w:sz="1"/>
              <w:right w:val="single" w:color="CCCCCC" w:sz="1"/>
            </w:tcBorders>
            <w:shd w:fill="F5ECD7" w:val="clear"/>
            <w:tcMar>
              <w:top w:type="dxa" w:w="100"/>
              <w:left w:type="dxa" w:w="120"/>
              <w:bottom w:type="dxa" w:w="100"/>
              <w:right w:type="dxa" w:w="120"/>
            </w:tcMar>
          </w:tcPr>
          <w:p>
            <w:r>
              <w:rPr>
                <w:rFonts w:ascii="Arial" w:cs="Arial" w:eastAsia="Arial" w:hAnsi="Arial"/>
                <w:color w:val="444444"/>
                <w:sz w:val="20"/>
                <w:szCs w:val="20"/>
              </w:rPr>
              <w:t xml:space="preserve">Established project context around understanding customer behavior, loyalty, and purchasing trends.</w:t>
            </w:r>
          </w:p>
        </w:tc>
      </w:tr>
      <w:tr>
        <w:tc>
          <w:tcPr>
            <w:tcW w:type="dxa" w:w="600"/>
            <w:tcBorders>
              <w:top w:val="single" w:color="CCCCCC" w:sz="1"/>
              <w:left w:val="single" w:color="CCCCCC" w:sz="1"/>
              <w:bottom w:val="single" w:color="CCCCCC" w:sz="1"/>
              <w:right w:val="single" w:color="CCCCCC" w:sz="1"/>
            </w:tcBorders>
            <w:shd w:fill="F5ECD7" w:val="clear"/>
            <w:tcMar>
              <w:top w:type="dxa" w:w="100"/>
              <w:left w:type="dxa" w:w="120"/>
              <w:bottom w:type="dxa" w:w="100"/>
              <w:right w:type="dxa" w:w="120"/>
            </w:tcMar>
          </w:tcPr>
          <w:p>
            <w:pPr>
              <w:jc w:val="center"/>
            </w:pPr>
            <w:r>
              <w:rPr>
                <w:rFonts w:ascii="Arial" w:cs="Arial" w:eastAsia="Arial" w:hAnsi="Arial"/>
                <w:b/>
                <w:bCs/>
                <w:color w:val="5D3A00"/>
                <w:sz w:val="20"/>
                <w:szCs w:val="20"/>
              </w:rPr>
              <w:t xml:space="preserve">2</w:t>
            </w:r>
          </w:p>
        </w:tc>
        <w:tc>
          <w:tcPr>
            <w:tcW w:type="dxa" w:w="2200"/>
            <w:tcBorders>
              <w:top w:val="single" w:color="CCCCCC" w:sz="1"/>
              <w:left w:val="single" w:color="CCCCCC" w:sz="1"/>
              <w:bottom w:val="single" w:color="CCCCCC" w:sz="1"/>
              <w:right w:val="single" w:color="CCCCCC" w:sz="1"/>
            </w:tcBorders>
            <w:shd w:fill="F5ECD7" w:val="clear"/>
            <w:tcMar>
              <w:top w:type="dxa" w:w="100"/>
              <w:left w:type="dxa" w:w="120"/>
              <w:bottom w:type="dxa" w:w="100"/>
              <w:right w:type="dxa" w:w="120"/>
            </w:tcMar>
          </w:tcPr>
          <w:p>
            <w:r>
              <w:rPr>
                <w:rFonts w:ascii="Arial" w:cs="Arial" w:eastAsia="Arial" w:hAnsi="Arial"/>
                <w:b/>
                <w:bCs/>
                <w:color w:val="7B5E00"/>
                <w:sz w:val="20"/>
                <w:szCs w:val="20"/>
              </w:rPr>
              <w:t xml:space="preserve">Data Cleaning &amp; EDA (Python)</w:t>
            </w:r>
          </w:p>
        </w:tc>
        <w:tc>
          <w:tcPr>
            <w:tcW w:type="dxa" w:w="1500"/>
            <w:tcBorders>
              <w:top w:val="single" w:color="CCCCCC" w:sz="1"/>
              <w:left w:val="single" w:color="CCCCCC" w:sz="1"/>
              <w:bottom w:val="single" w:color="CCCCCC" w:sz="1"/>
              <w:right w:val="single" w:color="CCCCCC" w:sz="1"/>
            </w:tcBorders>
            <w:shd w:fill="F5ECD7" w:val="clear"/>
            <w:tcMar>
              <w:top w:type="dxa" w:w="100"/>
              <w:left w:type="dxa" w:w="120"/>
              <w:bottom w:type="dxa" w:w="100"/>
              <w:right w:type="dxa" w:w="120"/>
            </w:tcMar>
          </w:tcPr>
          <w:p>
            <w:r>
              <w:rPr>
                <w:rFonts w:ascii="Arial" w:cs="Arial" w:eastAsia="Arial" w:hAnsi="Arial"/>
                <w:color w:val="8B3A0F"/>
                <w:sz w:val="19"/>
                <w:szCs w:val="19"/>
              </w:rPr>
              <w:t xml:space="preserve">2:26 – 25:14</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44444"/>
                <w:sz w:val="20"/>
                <w:szCs w:val="20"/>
              </w:rPr>
              <w:t xml:space="preserve">Used pandas to load data, handled missing values via category-based imputation, and performed exploratory data analysis.</w:t>
            </w:r>
          </w:p>
        </w:tc>
      </w:tr>
      <w:tr>
        <w:tc>
          <w:tcPr>
            <w:tcW w:type="dxa" w:w="600"/>
            <w:tcBorders>
              <w:top w:val="single" w:color="CCCCCC" w:sz="1"/>
              <w:left w:val="single" w:color="CCCCCC" w:sz="1"/>
              <w:bottom w:val="single" w:color="CCCCCC" w:sz="1"/>
              <w:right w:val="single" w:color="CCCCCC" w:sz="1"/>
            </w:tcBorders>
            <w:shd w:fill="E8D5A3" w:val="clear"/>
            <w:tcMar>
              <w:top w:type="dxa" w:w="100"/>
              <w:left w:type="dxa" w:w="120"/>
              <w:bottom w:type="dxa" w:w="100"/>
              <w:right w:type="dxa" w:w="120"/>
            </w:tcMar>
          </w:tcPr>
          <w:p>
            <w:pPr>
              <w:jc w:val="center"/>
            </w:pPr>
            <w:r>
              <w:rPr>
                <w:rFonts w:ascii="Arial" w:cs="Arial" w:eastAsia="Arial" w:hAnsi="Arial"/>
                <w:b/>
                <w:bCs/>
                <w:color w:val="5D3A00"/>
                <w:sz w:val="20"/>
                <w:szCs w:val="20"/>
              </w:rPr>
              <w:t xml:space="preserve">3</w:t>
            </w:r>
          </w:p>
        </w:tc>
        <w:tc>
          <w:tcPr>
            <w:tcW w:type="dxa" w:w="2200"/>
            <w:tcBorders>
              <w:top w:val="single" w:color="CCCCCC" w:sz="1"/>
              <w:left w:val="single" w:color="CCCCCC" w:sz="1"/>
              <w:bottom w:val="single" w:color="CCCCCC" w:sz="1"/>
              <w:right w:val="single" w:color="CCCCCC" w:sz="1"/>
            </w:tcBorders>
            <w:shd w:fill="E8D5A3" w:val="clear"/>
            <w:tcMar>
              <w:top w:type="dxa" w:w="100"/>
              <w:left w:type="dxa" w:w="120"/>
              <w:bottom w:type="dxa" w:w="100"/>
              <w:right w:type="dxa" w:w="120"/>
            </w:tcMar>
          </w:tcPr>
          <w:p>
            <w:r>
              <w:rPr>
                <w:rFonts w:ascii="Arial" w:cs="Arial" w:eastAsia="Arial" w:hAnsi="Arial"/>
                <w:b/>
                <w:bCs/>
                <w:color w:val="7B5E00"/>
                <w:sz w:val="20"/>
                <w:szCs w:val="20"/>
              </w:rPr>
              <w:t xml:space="preserve">Business Analysis (SQL)</w:t>
            </w:r>
          </w:p>
        </w:tc>
        <w:tc>
          <w:tcPr>
            <w:tcW w:type="dxa" w:w="1500"/>
            <w:tcBorders>
              <w:top w:val="single" w:color="CCCCCC" w:sz="1"/>
              <w:left w:val="single" w:color="CCCCCC" w:sz="1"/>
              <w:bottom w:val="single" w:color="CCCCCC" w:sz="1"/>
              <w:right w:val="single" w:color="CCCCCC" w:sz="1"/>
            </w:tcBorders>
            <w:shd w:fill="E8D5A3" w:val="clear"/>
            <w:tcMar>
              <w:top w:type="dxa" w:w="100"/>
              <w:left w:type="dxa" w:w="120"/>
              <w:bottom w:type="dxa" w:w="100"/>
              <w:right w:type="dxa" w:w="120"/>
            </w:tcMar>
          </w:tcPr>
          <w:p>
            <w:r>
              <w:rPr>
                <w:rFonts w:ascii="Arial" w:cs="Arial" w:eastAsia="Arial" w:hAnsi="Arial"/>
                <w:color w:val="8B3A0F"/>
                <w:sz w:val="19"/>
                <w:szCs w:val="19"/>
              </w:rPr>
              <w:t xml:space="preserve">25:15 – 48:59</w:t>
            </w:r>
          </w:p>
        </w:tc>
        <w:tc>
          <w:tcPr>
            <w:tcW w:type="dxa" w:w="5060"/>
            <w:tcBorders>
              <w:top w:val="single" w:color="CCCCCC" w:sz="1"/>
              <w:left w:val="single" w:color="CCCCCC" w:sz="1"/>
              <w:bottom w:val="single" w:color="CCCCCC" w:sz="1"/>
              <w:right w:val="single" w:color="CCCCCC" w:sz="1"/>
            </w:tcBorders>
            <w:shd w:fill="F5ECD7" w:val="clear"/>
            <w:tcMar>
              <w:top w:type="dxa" w:w="100"/>
              <w:left w:type="dxa" w:w="120"/>
              <w:bottom w:type="dxa" w:w="100"/>
              <w:right w:type="dxa" w:w="120"/>
            </w:tcMar>
          </w:tcPr>
          <w:p>
            <w:r>
              <w:rPr>
                <w:rFonts w:ascii="Arial" w:cs="Arial" w:eastAsia="Arial" w:hAnsi="Arial"/>
                <w:color w:val="444444"/>
                <w:sz w:val="20"/>
                <w:szCs w:val="20"/>
              </w:rPr>
              <w:t xml:space="preserve">Connected dataset to PostgreSQL; executed advanced queries for revenue by demographics, discount rates, and customer segmentation.</w:t>
            </w:r>
          </w:p>
        </w:tc>
      </w:tr>
      <w:tr>
        <w:tc>
          <w:tcPr>
            <w:tcW w:type="dxa" w:w="600"/>
            <w:tcBorders>
              <w:top w:val="single" w:color="CCCCCC" w:sz="1"/>
              <w:left w:val="single" w:color="CCCCCC" w:sz="1"/>
              <w:bottom w:val="single" w:color="CCCCCC" w:sz="1"/>
              <w:right w:val="single" w:color="CCCCCC" w:sz="1"/>
            </w:tcBorders>
            <w:shd w:fill="F5ECD7" w:val="clear"/>
            <w:tcMar>
              <w:top w:type="dxa" w:w="100"/>
              <w:left w:type="dxa" w:w="120"/>
              <w:bottom w:type="dxa" w:w="100"/>
              <w:right w:type="dxa" w:w="120"/>
            </w:tcMar>
          </w:tcPr>
          <w:p>
            <w:pPr>
              <w:jc w:val="center"/>
            </w:pPr>
            <w:r>
              <w:rPr>
                <w:rFonts w:ascii="Arial" w:cs="Arial" w:eastAsia="Arial" w:hAnsi="Arial"/>
                <w:b/>
                <w:bCs/>
                <w:color w:val="5D3A00"/>
                <w:sz w:val="20"/>
                <w:szCs w:val="20"/>
              </w:rPr>
              <w:t xml:space="preserve">4</w:t>
            </w:r>
          </w:p>
        </w:tc>
        <w:tc>
          <w:tcPr>
            <w:tcW w:type="dxa" w:w="2200"/>
            <w:tcBorders>
              <w:top w:val="single" w:color="CCCCCC" w:sz="1"/>
              <w:left w:val="single" w:color="CCCCCC" w:sz="1"/>
              <w:bottom w:val="single" w:color="CCCCCC" w:sz="1"/>
              <w:right w:val="single" w:color="CCCCCC" w:sz="1"/>
            </w:tcBorders>
            <w:shd w:fill="F5ECD7" w:val="clear"/>
            <w:tcMar>
              <w:top w:type="dxa" w:w="100"/>
              <w:left w:type="dxa" w:w="120"/>
              <w:bottom w:type="dxa" w:w="100"/>
              <w:right w:type="dxa" w:w="120"/>
            </w:tcMar>
          </w:tcPr>
          <w:p>
            <w:r>
              <w:rPr>
                <w:rFonts w:ascii="Arial" w:cs="Arial" w:eastAsia="Arial" w:hAnsi="Arial"/>
                <w:b/>
                <w:bCs/>
                <w:color w:val="7B5E00"/>
                <w:sz w:val="20"/>
                <w:szCs w:val="20"/>
              </w:rPr>
              <w:t xml:space="preserve">Dashboard Creation (Power BI)</w:t>
            </w:r>
          </w:p>
        </w:tc>
        <w:tc>
          <w:tcPr>
            <w:tcW w:type="dxa" w:w="1500"/>
            <w:tcBorders>
              <w:top w:val="single" w:color="CCCCCC" w:sz="1"/>
              <w:left w:val="single" w:color="CCCCCC" w:sz="1"/>
              <w:bottom w:val="single" w:color="CCCCCC" w:sz="1"/>
              <w:right w:val="single" w:color="CCCCCC" w:sz="1"/>
            </w:tcBorders>
            <w:shd w:fill="F5ECD7" w:val="clear"/>
            <w:tcMar>
              <w:top w:type="dxa" w:w="100"/>
              <w:left w:type="dxa" w:w="120"/>
              <w:bottom w:type="dxa" w:w="100"/>
              <w:right w:type="dxa" w:w="120"/>
            </w:tcMar>
          </w:tcPr>
          <w:p>
            <w:r>
              <w:rPr>
                <w:rFonts w:ascii="Arial" w:cs="Arial" w:eastAsia="Arial" w:hAnsi="Arial"/>
                <w:color w:val="8B3A0F"/>
                <w:sz w:val="19"/>
                <w:szCs w:val="19"/>
              </w:rPr>
              <w:t xml:space="preserve">49:00 – 1:14:21</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44444"/>
                <w:sz w:val="20"/>
                <w:szCs w:val="20"/>
              </w:rPr>
              <w:t xml:space="preserve">Built interactive dashboard with KPI cards, donut chart, bar charts, and slicers for subscription, gender, category, and shipping type.</w:t>
            </w:r>
          </w:p>
        </w:tc>
      </w:tr>
      <w:tr>
        <w:tc>
          <w:tcPr>
            <w:tcW w:type="dxa" w:w="600"/>
            <w:tcBorders>
              <w:top w:val="single" w:color="CCCCCC" w:sz="1"/>
              <w:left w:val="single" w:color="CCCCCC" w:sz="1"/>
              <w:bottom w:val="single" w:color="CCCCCC" w:sz="1"/>
              <w:right w:val="single" w:color="CCCCCC" w:sz="1"/>
            </w:tcBorders>
            <w:shd w:fill="E8D5A3" w:val="clear"/>
            <w:tcMar>
              <w:top w:type="dxa" w:w="100"/>
              <w:left w:type="dxa" w:w="120"/>
              <w:bottom w:type="dxa" w:w="100"/>
              <w:right w:type="dxa" w:w="120"/>
            </w:tcMar>
          </w:tcPr>
          <w:p>
            <w:pPr>
              <w:jc w:val="center"/>
            </w:pPr>
            <w:r>
              <w:rPr>
                <w:rFonts w:ascii="Arial" w:cs="Arial" w:eastAsia="Arial" w:hAnsi="Arial"/>
                <w:b/>
                <w:bCs/>
                <w:color w:val="5D3A00"/>
                <w:sz w:val="20"/>
                <w:szCs w:val="20"/>
              </w:rPr>
              <w:t xml:space="preserve">5</w:t>
            </w:r>
          </w:p>
        </w:tc>
        <w:tc>
          <w:tcPr>
            <w:tcW w:type="dxa" w:w="2200"/>
            <w:tcBorders>
              <w:top w:val="single" w:color="CCCCCC" w:sz="1"/>
              <w:left w:val="single" w:color="CCCCCC" w:sz="1"/>
              <w:bottom w:val="single" w:color="CCCCCC" w:sz="1"/>
              <w:right w:val="single" w:color="CCCCCC" w:sz="1"/>
            </w:tcBorders>
            <w:shd w:fill="E8D5A3" w:val="clear"/>
            <w:tcMar>
              <w:top w:type="dxa" w:w="100"/>
              <w:left w:type="dxa" w:w="120"/>
              <w:bottom w:type="dxa" w:w="100"/>
              <w:right w:type="dxa" w:w="120"/>
            </w:tcMar>
          </w:tcPr>
          <w:p>
            <w:r>
              <w:rPr>
                <w:rFonts w:ascii="Arial" w:cs="Arial" w:eastAsia="Arial" w:hAnsi="Arial"/>
                <w:b/>
                <w:bCs/>
                <w:color w:val="7B5E00"/>
                <w:sz w:val="20"/>
                <w:szCs w:val="20"/>
              </w:rPr>
              <w:t xml:space="preserve">Documentation &amp; Reporting</w:t>
            </w:r>
          </w:p>
        </w:tc>
        <w:tc>
          <w:tcPr>
            <w:tcW w:type="dxa" w:w="1500"/>
            <w:tcBorders>
              <w:top w:val="single" w:color="CCCCCC" w:sz="1"/>
              <w:left w:val="single" w:color="CCCCCC" w:sz="1"/>
              <w:bottom w:val="single" w:color="CCCCCC" w:sz="1"/>
              <w:right w:val="single" w:color="CCCCCC" w:sz="1"/>
            </w:tcBorders>
            <w:shd w:fill="E8D5A3" w:val="clear"/>
            <w:tcMar>
              <w:top w:type="dxa" w:w="100"/>
              <w:left w:type="dxa" w:w="120"/>
              <w:bottom w:type="dxa" w:w="100"/>
              <w:right w:type="dxa" w:w="120"/>
            </w:tcMar>
          </w:tcPr>
          <w:p>
            <w:r>
              <w:rPr>
                <w:rFonts w:ascii="Arial" w:cs="Arial" w:eastAsia="Arial" w:hAnsi="Arial"/>
                <w:color w:val="8B3A0F"/>
                <w:sz w:val="19"/>
                <w:szCs w:val="19"/>
              </w:rPr>
              <w:t xml:space="preserve">1:14:22 – 1:17:47</w:t>
            </w:r>
          </w:p>
        </w:tc>
        <w:tc>
          <w:tcPr>
            <w:tcW w:type="dxa" w:w="5060"/>
            <w:tcBorders>
              <w:top w:val="single" w:color="CCCCCC" w:sz="1"/>
              <w:left w:val="single" w:color="CCCCCC" w:sz="1"/>
              <w:bottom w:val="single" w:color="CCCCCC" w:sz="1"/>
              <w:right w:val="single" w:color="CCCCCC" w:sz="1"/>
            </w:tcBorders>
            <w:shd w:fill="F5ECD7" w:val="clear"/>
            <w:tcMar>
              <w:top w:type="dxa" w:w="100"/>
              <w:left w:type="dxa" w:w="120"/>
              <w:bottom w:type="dxa" w:w="100"/>
              <w:right w:type="dxa" w:w="120"/>
            </w:tcMar>
          </w:tcPr>
          <w:p>
            <w:r>
              <w:rPr>
                <w:rFonts w:ascii="Arial" w:cs="Arial" w:eastAsia="Arial" w:hAnsi="Arial"/>
                <w:color w:val="444444"/>
                <w:sz w:val="20"/>
                <w:szCs w:val="20"/>
              </w:rPr>
              <w:t xml:space="preserve">Created a formal project report and used Gamma AI to produce a professional stakeholder presentation deck.</w:t>
            </w:r>
          </w:p>
        </w:tc>
      </w:tr>
      <w:tr>
        <w:tc>
          <w:tcPr>
            <w:tcW w:type="dxa" w:w="600"/>
            <w:tcBorders>
              <w:top w:val="single" w:color="CCCCCC" w:sz="1"/>
              <w:left w:val="single" w:color="CCCCCC" w:sz="1"/>
              <w:bottom w:val="single" w:color="CCCCCC" w:sz="1"/>
              <w:right w:val="single" w:color="CCCCCC" w:sz="1"/>
            </w:tcBorders>
            <w:shd w:fill="F5ECD7" w:val="clear"/>
            <w:tcMar>
              <w:top w:type="dxa" w:w="100"/>
              <w:left w:type="dxa" w:w="120"/>
              <w:bottom w:type="dxa" w:w="100"/>
              <w:right w:type="dxa" w:w="120"/>
            </w:tcMar>
          </w:tcPr>
          <w:p>
            <w:pPr>
              <w:jc w:val="center"/>
            </w:pPr>
            <w:r>
              <w:rPr>
                <w:rFonts w:ascii="Arial" w:cs="Arial" w:eastAsia="Arial" w:hAnsi="Arial"/>
                <w:b/>
                <w:bCs/>
                <w:color w:val="5D3A00"/>
                <w:sz w:val="20"/>
                <w:szCs w:val="20"/>
              </w:rPr>
              <w:t xml:space="preserve">6</w:t>
            </w:r>
          </w:p>
        </w:tc>
        <w:tc>
          <w:tcPr>
            <w:tcW w:type="dxa" w:w="2200"/>
            <w:tcBorders>
              <w:top w:val="single" w:color="CCCCCC" w:sz="1"/>
              <w:left w:val="single" w:color="CCCCCC" w:sz="1"/>
              <w:bottom w:val="single" w:color="CCCCCC" w:sz="1"/>
              <w:right w:val="single" w:color="CCCCCC" w:sz="1"/>
            </w:tcBorders>
            <w:shd w:fill="F5ECD7" w:val="clear"/>
            <w:tcMar>
              <w:top w:type="dxa" w:w="100"/>
              <w:left w:type="dxa" w:w="120"/>
              <w:bottom w:type="dxa" w:w="100"/>
              <w:right w:type="dxa" w:w="120"/>
            </w:tcMar>
          </w:tcPr>
          <w:p>
            <w:r>
              <w:rPr>
                <w:rFonts w:ascii="Arial" w:cs="Arial" w:eastAsia="Arial" w:hAnsi="Arial"/>
                <w:b/>
                <w:bCs/>
                <w:color w:val="7B5E00"/>
                <w:sz w:val="20"/>
                <w:szCs w:val="20"/>
              </w:rPr>
              <w:t xml:space="preserve">Portfolio Deployment</w:t>
            </w:r>
          </w:p>
        </w:tc>
        <w:tc>
          <w:tcPr>
            <w:tcW w:type="dxa" w:w="1500"/>
            <w:tcBorders>
              <w:top w:val="single" w:color="CCCCCC" w:sz="1"/>
              <w:left w:val="single" w:color="CCCCCC" w:sz="1"/>
              <w:bottom w:val="single" w:color="CCCCCC" w:sz="1"/>
              <w:right w:val="single" w:color="CCCCCC" w:sz="1"/>
            </w:tcBorders>
            <w:shd w:fill="F5ECD7" w:val="clear"/>
            <w:tcMar>
              <w:top w:type="dxa" w:w="100"/>
              <w:left w:type="dxa" w:w="120"/>
              <w:bottom w:type="dxa" w:w="100"/>
              <w:right w:type="dxa" w:w="120"/>
            </w:tcMar>
          </w:tcPr>
          <w:p>
            <w:r>
              <w:rPr>
                <w:rFonts w:ascii="Arial" w:cs="Arial" w:eastAsia="Arial" w:hAnsi="Arial"/>
                <w:color w:val="8B3A0F"/>
                <w:sz w:val="19"/>
                <w:szCs w:val="19"/>
              </w:rPr>
              <w:t xml:space="preserve">1:17:48 – 1:23:20</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44444"/>
                <w:sz w:val="20"/>
                <w:szCs w:val="20"/>
              </w:rPr>
              <w:t xml:space="preserve">Published the project on GitHub and shared on LinkedIn to attract potential employers.</w:t>
            </w:r>
          </w:p>
        </w:tc>
      </w:tr>
    </w:tbl>
    <w:p>
      <w:pPr>
        <w:pStyle w:val="Heading1"/>
        <w:pBdr>
          <w:bottom w:val="single" w:color="A67C00" w:sz="8" w:space="6"/>
        </w:pBdr>
        <w:spacing w:after="140" w:before="400"/>
      </w:pPr>
      <w:r>
        <w:rPr>
          <w:rFonts w:ascii="Arial" w:cs="Arial" w:eastAsia="Arial" w:hAnsi="Arial"/>
          <w:b/>
          <w:bCs/>
          <w:color w:val="5D3A00"/>
          <w:sz w:val="34"/>
          <w:szCs w:val="34"/>
        </w:rPr>
        <w:t xml:space="preserve">3. Phase-by-Phase Analysis</w:t>
      </w:r>
    </w:p>
    <w:p>
      <w:pPr>
        <w:pStyle w:val="Heading2"/>
        <w:spacing w:after="100" w:before="260"/>
      </w:pPr>
      <w:r>
        <w:rPr>
          <w:rFonts w:ascii="Arial" w:cs="Arial" w:eastAsia="Arial" w:hAnsi="Arial"/>
          <w:b/>
          <w:bCs/>
          <w:color w:val="7B5E00"/>
          <w:sz w:val="26"/>
          <w:szCs w:val="26"/>
        </w:rPr>
        <w:t xml:space="preserve">3.1 Business Problem Definition  (0:00 – 2:25)</w:t>
      </w:r>
    </w:p>
    <w:p>
      <w:pPr>
        <w:spacing w:after="80" w:before="80"/>
        <w:jc w:val="both"/>
      </w:pPr>
      <w:r>
        <w:rPr>
          <w:rFonts w:ascii="Arial" w:cs="Arial" w:eastAsia="Arial" w:hAnsi="Arial"/>
          <w:color w:val="444444"/>
          <w:sz w:val="22"/>
          <w:szCs w:val="22"/>
        </w:rPr>
        <w:t xml:space="preserve">The project begins by establishing a clear analytical objective. The core business questions driving the analysis are:</w:t>
      </w:r>
    </w:p>
    <w:p>
      <w:pPr>
        <w:pStyle w:val="ListParagraph"/>
        <w:numPr>
          <w:ilvl w:val="0"/>
          <w:numId w:val="2"/>
        </w:numPr>
        <w:spacing w:after="60" w:before="60"/>
      </w:pPr>
      <w:r>
        <w:rPr>
          <w:rFonts w:ascii="Arial" w:cs="Arial" w:eastAsia="Arial" w:hAnsi="Arial"/>
          <w:color w:val="444444"/>
          <w:sz w:val="22"/>
          <w:szCs w:val="22"/>
        </w:rPr>
        <w:t xml:space="preserve">Who are our customers, and how do their demographics influence purchasing behavior?</w:t>
      </w:r>
    </w:p>
    <w:p>
      <w:pPr>
        <w:pStyle w:val="ListParagraph"/>
        <w:numPr>
          <w:ilvl w:val="0"/>
          <w:numId w:val="2"/>
        </w:numPr>
        <w:spacing w:after="60" w:before="60"/>
      </w:pPr>
      <w:r>
        <w:rPr>
          <w:rFonts w:ascii="Arial" w:cs="Arial" w:eastAsia="Arial" w:hAnsi="Arial"/>
          <w:color w:val="444444"/>
          <w:sz w:val="22"/>
          <w:szCs w:val="22"/>
        </w:rPr>
        <w:t xml:space="preserve">Which product categories generate the most revenue and sales volume?</w:t>
      </w:r>
    </w:p>
    <w:p>
      <w:pPr>
        <w:pStyle w:val="ListParagraph"/>
        <w:numPr>
          <w:ilvl w:val="0"/>
          <w:numId w:val="2"/>
        </w:numPr>
        <w:spacing w:after="60" w:before="60"/>
      </w:pPr>
      <w:r>
        <w:rPr>
          <w:rFonts w:ascii="Arial" w:cs="Arial" w:eastAsia="Arial" w:hAnsi="Arial"/>
          <w:color w:val="444444"/>
          <w:sz w:val="22"/>
          <w:szCs w:val="22"/>
        </w:rPr>
        <w:t xml:space="preserve">How does subscription status impact overall customer value?</w:t>
      </w:r>
    </w:p>
    <w:p>
      <w:pPr>
        <w:pStyle w:val="ListParagraph"/>
        <w:numPr>
          <w:ilvl w:val="0"/>
          <w:numId w:val="2"/>
        </w:numPr>
        <w:spacing w:after="60" w:before="60"/>
      </w:pPr>
      <w:r>
        <w:rPr>
          <w:rFonts w:ascii="Arial" w:cs="Arial" w:eastAsia="Arial" w:hAnsi="Arial"/>
          <w:color w:val="444444"/>
          <w:sz w:val="22"/>
          <w:szCs w:val="22"/>
        </w:rPr>
        <w:t xml:space="preserve">Which age groups represent the most commercially significant segments?</w:t>
      </w:r>
    </w:p>
    <w:p>
      <w:pPr>
        <w:pStyle w:val="ListParagraph"/>
        <w:numPr>
          <w:ilvl w:val="0"/>
          <w:numId w:val="2"/>
        </w:numPr>
        <w:spacing w:after="60" w:before="60"/>
      </w:pPr>
      <w:r>
        <w:rPr>
          <w:rFonts w:ascii="Arial" w:cs="Arial" w:eastAsia="Arial" w:hAnsi="Arial"/>
          <w:color w:val="444444"/>
          <w:sz w:val="22"/>
          <w:szCs w:val="22"/>
        </w:rPr>
        <w:t xml:space="preserve">How can shipping preferences and loyalty signals be leveraged for retention strategies?</w:t>
      </w:r>
    </w:p>
    <w:p>
      <w:pPr>
        <w:spacing w:after="100" w:before="100"/>
      </w:pPr>
      <w:r>
        <w:t xml:space="preserve"/>
      </w:r>
    </w:p>
    <w:p>
      <w:pPr>
        <w:spacing w:after="80" w:before="80"/>
        <w:jc w:val="both"/>
      </w:pPr>
      <w:r>
        <w:rPr>
          <w:rFonts w:ascii="Arial" w:cs="Arial" w:eastAsia="Arial" w:hAnsi="Arial"/>
          <w:color w:val="444444"/>
          <w:sz w:val="22"/>
          <w:szCs w:val="22"/>
        </w:rPr>
        <w:t xml:space="preserve">By framing these questions upfront, the project ensures that every subsequent phase is purpose-driven and aligned with measurable business outcomes.</w:t>
      </w:r>
    </w:p>
    <w:p>
      <w:pPr>
        <w:pStyle w:val="Heading2"/>
        <w:spacing w:after="100" w:before="260"/>
      </w:pPr>
      <w:r>
        <w:rPr>
          <w:rFonts w:ascii="Arial" w:cs="Arial" w:eastAsia="Arial" w:hAnsi="Arial"/>
          <w:b/>
          <w:bCs/>
          <w:color w:val="7B5E00"/>
          <w:sz w:val="26"/>
          <w:szCs w:val="26"/>
        </w:rPr>
        <w:t xml:space="preserve">3.2 Data Cleaning &amp; Exploratory Data Analysis — Python  (2:26 – 25:14)</w:t>
      </w:r>
    </w:p>
    <w:p>
      <w:pPr>
        <w:spacing w:after="80" w:before="80"/>
        <w:jc w:val="both"/>
      </w:pPr>
      <w:r>
        <w:rPr>
          <w:rFonts w:ascii="Arial" w:cs="Arial" w:eastAsia="Arial" w:hAnsi="Arial"/>
          <w:color w:val="444444"/>
          <w:sz w:val="22"/>
          <w:szCs w:val="22"/>
        </w:rPr>
        <w:t xml:space="preserve">Python with the pandas library served as the primary tool for data ingestion and preprocessing. The key steps performed in this phase include:</w:t>
      </w:r>
    </w:p>
    <w:p>
      <w:pPr>
        <w:pStyle w:val="ListParagraph"/>
        <w:numPr>
          <w:ilvl w:val="0"/>
          <w:numId w:val="2"/>
        </w:numPr>
        <w:spacing w:after="60" w:before="60"/>
      </w:pPr>
      <w:r>
        <w:rPr>
          <w:rFonts w:ascii="Arial" w:cs="Arial" w:eastAsia="Arial" w:hAnsi="Arial"/>
          <w:color w:val="444444"/>
          <w:sz w:val="22"/>
          <w:szCs w:val="22"/>
        </w:rPr>
        <w:t xml:space="preserve">Loading the raw CSV dataset into a pandas DataFrame for initial inspection and profiling.</w:t>
      </w:r>
    </w:p>
    <w:p>
      <w:pPr>
        <w:pStyle w:val="ListParagraph"/>
        <w:numPr>
          <w:ilvl w:val="0"/>
          <w:numId w:val="2"/>
        </w:numPr>
        <w:spacing w:after="60" w:before="60"/>
      </w:pPr>
      <w:r>
        <w:rPr>
          <w:rFonts w:ascii="Arial" w:cs="Arial" w:eastAsia="Arial" w:hAnsi="Arial"/>
          <w:color w:val="444444"/>
          <w:sz w:val="22"/>
          <w:szCs w:val="22"/>
        </w:rPr>
        <w:t xml:space="preserve">Identifying and quantifying missing values across all columns.</w:t>
      </w:r>
    </w:p>
    <w:p>
      <w:pPr>
        <w:pStyle w:val="ListParagraph"/>
        <w:numPr>
          <w:ilvl w:val="0"/>
          <w:numId w:val="2"/>
        </w:numPr>
        <w:spacing w:after="60" w:before="60"/>
      </w:pPr>
      <w:r>
        <w:rPr>
          <w:rFonts w:ascii="Arial" w:cs="Arial" w:eastAsia="Arial" w:hAnsi="Arial"/>
          <w:color w:val="444444"/>
          <w:sz w:val="22"/>
          <w:szCs w:val="22"/>
        </w:rPr>
        <w:t xml:space="preserve">Applying category-based imputation to fill missing values intelligently, preserving distributional integrity rather than using naive mean or median substitution.</w:t>
      </w:r>
    </w:p>
    <w:p>
      <w:pPr>
        <w:pStyle w:val="ListParagraph"/>
        <w:numPr>
          <w:ilvl w:val="0"/>
          <w:numId w:val="2"/>
        </w:numPr>
        <w:spacing w:after="60" w:before="60"/>
      </w:pPr>
      <w:r>
        <w:rPr>
          <w:rFonts w:ascii="Arial" w:cs="Arial" w:eastAsia="Arial" w:hAnsi="Arial"/>
          <w:color w:val="444444"/>
          <w:sz w:val="22"/>
          <w:szCs w:val="22"/>
        </w:rPr>
        <w:t xml:space="preserve">Inspecting data types, value distributions, and statistical summaries for each feature.</w:t>
      </w:r>
    </w:p>
    <w:p>
      <w:pPr>
        <w:pStyle w:val="ListParagraph"/>
        <w:numPr>
          <w:ilvl w:val="0"/>
          <w:numId w:val="2"/>
        </w:numPr>
        <w:spacing w:after="60" w:before="60"/>
      </w:pPr>
      <w:r>
        <w:rPr>
          <w:rFonts w:ascii="Arial" w:cs="Arial" w:eastAsia="Arial" w:hAnsi="Arial"/>
          <w:color w:val="444444"/>
          <w:sz w:val="22"/>
          <w:szCs w:val="22"/>
        </w:rPr>
        <w:t xml:space="preserve">Visualizing patterns in purchase amounts, age group distributions, and category frequencies to surface early insights before formal analysis.</w:t>
      </w:r>
    </w:p>
    <w:p>
      <w:pPr>
        <w:spacing w:after="100" w:before="100"/>
      </w:pPr>
      <w:r>
        <w:t xml:space="preserve"/>
      </w:r>
    </w:p>
    <w:p>
      <w:pPr>
        <w:spacing w:after="80" w:before="80"/>
        <w:jc w:val="both"/>
      </w:pPr>
      <w:r>
        <w:rPr>
          <w:rFonts w:ascii="Arial" w:cs="Arial" w:eastAsia="Arial" w:hAnsi="Arial"/>
          <w:color w:val="444444"/>
          <w:sz w:val="22"/>
          <w:szCs w:val="22"/>
        </w:rPr>
        <w:t xml:space="preserve">This phase ensured the dataset was clean, consistent, and analytically ready before being transferred to SQL for business-level querying.</w:t>
      </w:r>
    </w:p>
    <w:p>
      <w:pPr>
        <w:pStyle w:val="Heading2"/>
        <w:spacing w:after="100" w:before="260"/>
      </w:pPr>
      <w:r>
        <w:rPr>
          <w:rFonts w:ascii="Arial" w:cs="Arial" w:eastAsia="Arial" w:hAnsi="Arial"/>
          <w:b/>
          <w:bCs/>
          <w:color w:val="7B5E00"/>
          <w:sz w:val="26"/>
          <w:szCs w:val="26"/>
        </w:rPr>
        <w:t xml:space="preserve">3.3 Business Analysis — SQL / PostgreSQL  (25:15 – 48:59)</w:t>
      </w:r>
    </w:p>
    <w:p>
      <w:pPr>
        <w:spacing w:after="80" w:before="80"/>
        <w:jc w:val="both"/>
      </w:pPr>
      <w:r>
        <w:rPr>
          <w:rFonts w:ascii="Arial" w:cs="Arial" w:eastAsia="Arial" w:hAnsi="Arial"/>
          <w:color w:val="444444"/>
          <w:sz w:val="22"/>
          <w:szCs w:val="22"/>
        </w:rPr>
        <w:t xml:space="preserve">The cleaned dataset was ingested into a PostgreSQL database to enable structured, scalable querying. The SQL analysis phase covered the following analytical dimensions:</w:t>
      </w:r>
    </w:p>
    <w:p>
      <w:pPr>
        <w:pStyle w:val="ListParagraph"/>
        <w:numPr>
          <w:ilvl w:val="0"/>
          <w:numId w:val="2"/>
        </w:numPr>
        <w:spacing w:after="60" w:before="60"/>
      </w:pPr>
      <w:r>
        <w:rPr>
          <w:rFonts w:ascii="Arial" w:cs="Arial" w:eastAsia="Arial" w:hAnsi="Arial"/>
          <w:color w:val="444444"/>
          <w:sz w:val="22"/>
          <w:szCs w:val="22"/>
        </w:rPr>
        <w:t xml:space="preserve">Revenue segmentation by customer demographics including gender and age group.</w:t>
      </w:r>
    </w:p>
    <w:p>
      <w:pPr>
        <w:pStyle w:val="ListParagraph"/>
        <w:numPr>
          <w:ilvl w:val="0"/>
          <w:numId w:val="2"/>
        </w:numPr>
        <w:spacing w:after="60" w:before="60"/>
      </w:pPr>
      <w:r>
        <w:rPr>
          <w:rFonts w:ascii="Arial" w:cs="Arial" w:eastAsia="Arial" w:hAnsi="Arial"/>
          <w:color w:val="444444"/>
          <w:sz w:val="22"/>
          <w:szCs w:val="22"/>
        </w:rPr>
        <w:t xml:space="preserve">Discount rate analysis per product category to identify margin impact across the catalog.</w:t>
      </w:r>
    </w:p>
    <w:p>
      <w:pPr>
        <w:pStyle w:val="ListParagraph"/>
        <w:numPr>
          <w:ilvl w:val="0"/>
          <w:numId w:val="2"/>
        </w:numPr>
        <w:spacing w:after="60" w:before="60"/>
      </w:pPr>
      <w:r>
        <w:rPr>
          <w:rFonts w:ascii="Arial" w:cs="Arial" w:eastAsia="Arial" w:hAnsi="Arial"/>
          <w:color w:val="444444"/>
          <w:sz w:val="22"/>
          <w:szCs w:val="22"/>
        </w:rPr>
        <w:t xml:space="preserve">Customer segmentation based on purchasing frequency, average spend, and loyalty status.</w:t>
      </w:r>
    </w:p>
    <w:p>
      <w:pPr>
        <w:pStyle w:val="ListParagraph"/>
        <w:numPr>
          <w:ilvl w:val="0"/>
          <w:numId w:val="2"/>
        </w:numPr>
        <w:spacing w:after="60" w:before="60"/>
      </w:pPr>
      <w:r>
        <w:rPr>
          <w:rFonts w:ascii="Arial" w:cs="Arial" w:eastAsia="Arial" w:hAnsi="Arial"/>
          <w:color w:val="444444"/>
          <w:sz w:val="22"/>
          <w:szCs w:val="22"/>
        </w:rPr>
        <w:t xml:space="preserve">Subscription vs. non-subscription customer comparisons on revenue contribution.</w:t>
      </w:r>
    </w:p>
    <w:p>
      <w:pPr>
        <w:pStyle w:val="ListParagraph"/>
        <w:numPr>
          <w:ilvl w:val="0"/>
          <w:numId w:val="2"/>
        </w:numPr>
        <w:spacing w:after="60" w:before="60"/>
      </w:pPr>
      <w:r>
        <w:rPr>
          <w:rFonts w:ascii="Arial" w:cs="Arial" w:eastAsia="Arial" w:hAnsi="Arial"/>
          <w:color w:val="444444"/>
          <w:sz w:val="22"/>
          <w:szCs w:val="22"/>
        </w:rPr>
        <w:t xml:space="preserve">Shipping preference distribution and its correlation with purchase volume and frequency.</w:t>
      </w:r>
    </w:p>
    <w:p>
      <w:pPr>
        <w:spacing w:after="100" w:before="100"/>
      </w:pPr>
      <w:r>
        <w:t xml:space="preserve"/>
      </w:r>
    </w:p>
    <w:p>
      <w:pPr>
        <w:spacing w:after="80" w:before="80"/>
        <w:jc w:val="both"/>
      </w:pPr>
      <w:r>
        <w:rPr>
          <w:rFonts w:ascii="Arial" w:cs="Arial" w:eastAsia="Arial" w:hAnsi="Arial"/>
          <w:color w:val="444444"/>
          <w:sz w:val="22"/>
          <w:szCs w:val="22"/>
        </w:rPr>
        <w:t xml:space="preserve">SQL's ability to handle large datasets with complex multi-dimensional aggregations made it ideal for these queries, which directly formed the data model behind the Power BI dashboard.</w:t>
      </w:r>
    </w:p>
    <w:p>
      <w:pPr>
        <w:pStyle w:val="Heading2"/>
        <w:spacing w:after="100" w:before="260"/>
      </w:pPr>
      <w:r>
        <w:rPr>
          <w:rFonts w:ascii="Arial" w:cs="Arial" w:eastAsia="Arial" w:hAnsi="Arial"/>
          <w:b/>
          <w:bCs/>
          <w:color w:val="7B5E00"/>
          <w:sz w:val="26"/>
          <w:szCs w:val="26"/>
        </w:rPr>
        <w:t xml:space="preserve">3.4 Dashboard Creation — Power BI  (49:00 – 1:14:21)</w:t>
      </w:r>
    </w:p>
    <w:p>
      <w:pPr>
        <w:spacing w:after="80" w:before="80"/>
        <w:jc w:val="both"/>
      </w:pPr>
      <w:r>
        <w:rPr>
          <w:rFonts w:ascii="Arial" w:cs="Arial" w:eastAsia="Arial" w:hAnsi="Arial"/>
          <w:color w:val="444444"/>
          <w:sz w:val="22"/>
          <w:szCs w:val="22"/>
        </w:rPr>
        <w:t xml:space="preserve">The Power BI dashboard, titled 'Customer Behavior Dashboard', is the primary visual deliverable of this project. It is designed for business stakeholders requiring quick, interactive access to sales and customer intelligence without needing to query raw data directly.</w:t>
      </w:r>
    </w:p>
    <w:p>
      <w:pPr>
        <w:spacing w:after="100" w:before="100"/>
      </w:pPr>
      <w:r>
        <w:t xml:space="preserve"/>
      </w:r>
    </w:p>
    <w:p>
      <w:pPr>
        <w:pStyle w:val="Heading2"/>
        <w:spacing w:after="100" w:before="260"/>
      </w:pPr>
      <w:r>
        <w:rPr>
          <w:rFonts w:ascii="Arial" w:cs="Arial" w:eastAsia="Arial" w:hAnsi="Arial"/>
          <w:b/>
          <w:bCs/>
          <w:color w:val="7B5E00"/>
          <w:sz w:val="26"/>
          <w:szCs w:val="26"/>
        </w:rPr>
        <w:t xml:space="preserve">KPI Cards</w:t>
      </w:r>
    </w:p>
    <w:p>
      <w:pPr>
        <w:spacing w:after="80" w:before="80"/>
        <w:jc w:val="both"/>
      </w:pPr>
      <w:r>
        <w:rPr>
          <w:rFonts w:ascii="Arial" w:cs="Arial" w:eastAsia="Arial" w:hAnsi="Arial"/>
          <w:color w:val="444444"/>
          <w:sz w:val="22"/>
          <w:szCs w:val="22"/>
        </w:rPr>
        <w:t xml:space="preserve">Three headline KPI cards at the top of the dashboard provide instant business context:</w:t>
      </w:r>
    </w:p>
    <w:p>
      <w:pPr>
        <w:pStyle w:val="ListParagraph"/>
        <w:numPr>
          <w:ilvl w:val="0"/>
          <w:numId w:val="2"/>
        </w:numPr>
        <w:spacing w:after="60" w:before="60"/>
      </w:pPr>
      <w:r>
        <w:rPr>
          <w:rFonts w:ascii="Arial" w:cs="Arial" w:eastAsia="Arial" w:hAnsi="Arial"/>
          <w:color w:val="444444"/>
          <w:sz w:val="22"/>
          <w:szCs w:val="22"/>
        </w:rPr>
        <w:t xml:space="preserve">3,900 Total Customers — establishes the scale of the dataset and customer base.</w:t>
      </w:r>
    </w:p>
    <w:p>
      <w:pPr>
        <w:pStyle w:val="ListParagraph"/>
        <w:numPr>
          <w:ilvl w:val="0"/>
          <w:numId w:val="2"/>
        </w:numPr>
        <w:spacing w:after="60" w:before="60"/>
      </w:pPr>
      <w:r>
        <w:rPr>
          <w:rFonts w:ascii="Arial" w:cs="Arial" w:eastAsia="Arial" w:hAnsi="Arial"/>
          <w:color w:val="444444"/>
          <w:sz w:val="22"/>
          <w:szCs w:val="22"/>
        </w:rPr>
        <w:t xml:space="preserve">$59.76 Average Purchase Amount — benchmarks the average customer spend per transaction.</w:t>
      </w:r>
    </w:p>
    <w:p>
      <w:pPr>
        <w:pStyle w:val="ListParagraph"/>
        <w:numPr>
          <w:ilvl w:val="0"/>
          <w:numId w:val="2"/>
        </w:numPr>
        <w:spacing w:after="60" w:before="60"/>
      </w:pPr>
      <w:r>
        <w:rPr>
          <w:rFonts w:ascii="Arial" w:cs="Arial" w:eastAsia="Arial" w:hAnsi="Arial"/>
          <w:color w:val="444444"/>
          <w:sz w:val="22"/>
          <w:szCs w:val="22"/>
        </w:rPr>
        <w:t xml:space="preserve">3.75 Average Review Rating — reflects overall customer satisfaction on a 5-point scale.</w:t>
      </w:r>
    </w:p>
    <w:p>
      <w:pPr>
        <w:spacing w:after="100" w:before="100"/>
      </w:pPr>
      <w:r>
        <w:t xml:space="preserve"/>
      </w:r>
    </w:p>
    <w:p>
      <w:pPr>
        <w:pStyle w:val="Heading2"/>
        <w:spacing w:after="100" w:before="260"/>
      </w:pPr>
      <w:r>
        <w:rPr>
          <w:rFonts w:ascii="Arial" w:cs="Arial" w:eastAsia="Arial" w:hAnsi="Arial"/>
          <w:b/>
          <w:bCs/>
          <w:color w:val="7B5E00"/>
          <w:sz w:val="26"/>
          <w:szCs w:val="26"/>
        </w:rPr>
        <w:t xml:space="preserve">Subscription Status Distribution</w:t>
      </w:r>
    </w:p>
    <w:p>
      <w:pPr>
        <w:spacing w:after="80" w:before="80"/>
        <w:jc w:val="both"/>
      </w:pPr>
      <w:r>
        <w:rPr>
          <w:rFonts w:ascii="Arial" w:cs="Arial" w:eastAsia="Arial" w:hAnsi="Arial"/>
          <w:color w:val="444444"/>
          <w:sz w:val="22"/>
          <w:szCs w:val="22"/>
        </w:rPr>
        <w:t xml:space="preserve">A donut chart reveals that 73% of customers are not subscribed, while 27% hold active subscriptions. This signals a substantial opportunity to convert non-subscribed customers through targeted loyalty and membership programs.</w:t>
      </w:r>
    </w:p>
    <w:p>
      <w:pPr>
        <w:spacing w:after="100" w:before="100"/>
      </w:pPr>
      <w:r>
        <w:t xml:space="preserve"/>
      </w:r>
    </w:p>
    <w:p>
      <w:pPr>
        <w:pStyle w:val="Heading2"/>
        <w:spacing w:after="100" w:before="260"/>
      </w:pPr>
      <w:r>
        <w:rPr>
          <w:rFonts w:ascii="Arial" w:cs="Arial" w:eastAsia="Arial" w:hAnsi="Arial"/>
          <w:b/>
          <w:bCs/>
          <w:color w:val="7B5E00"/>
          <w:sz w:val="26"/>
          <w:szCs w:val="26"/>
        </w:rPr>
        <w:t xml:space="preserve">Revenue &amp; Sales by Category</w:t>
      </w:r>
    </w:p>
    <w:p>
      <w:pPr>
        <w:spacing w:after="80" w:before="80"/>
        <w:jc w:val="both"/>
      </w:pPr>
      <w:r>
        <w:rPr>
          <w:rFonts w:ascii="Arial" w:cs="Arial" w:eastAsia="Arial" w:hAnsi="Arial"/>
          <w:color w:val="444444"/>
          <w:sz w:val="22"/>
          <w:szCs w:val="22"/>
        </w:rPr>
        <w:t xml:space="preserve">Bar chart analysis shows a clear performance hierarchy across the four product categories: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7B5E00" w:val="clear"/>
            <w:tcMar>
              <w:top w:type="dxa" w:w="90"/>
              <w:left w:type="dxa" w:w="130"/>
              <w:bottom w:type="dxa" w:w="90"/>
              <w:right w:type="dxa" w:w="130"/>
            </w:tcMar>
          </w:tcPr>
          <w:p>
            <w:r>
              <w:rPr>
                <w:rFonts w:ascii="Arial" w:cs="Arial" w:eastAsia="Arial" w:hAnsi="Arial"/>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7B5E00" w:val="clear"/>
            <w:tcMar>
              <w:top w:type="dxa" w:w="90"/>
              <w:left w:type="dxa" w:w="130"/>
              <w:bottom w:type="dxa" w:w="90"/>
              <w:right w:type="dxa" w:w="130"/>
            </w:tcMar>
          </w:tcPr>
          <w:p>
            <w:r>
              <w:rPr>
                <w:rFonts w:ascii="Arial" w:cs="Arial" w:eastAsia="Arial" w:hAnsi="Arial"/>
                <w:b/>
                <w:bCs/>
                <w:color w:val="FFFFFF"/>
                <w:sz w:val="20"/>
                <w:szCs w:val="20"/>
              </w:rPr>
              <w:t xml:space="preserve">Revenue (Approx.)</w:t>
            </w:r>
          </w:p>
        </w:tc>
        <w:tc>
          <w:tcPr>
            <w:tcW w:type="dxa" w:w="3120"/>
            <w:tcBorders>
              <w:top w:val="single" w:color="CCCCCC" w:sz="1"/>
              <w:left w:val="single" w:color="CCCCCC" w:sz="1"/>
              <w:bottom w:val="single" w:color="CCCCCC" w:sz="1"/>
              <w:right w:val="single" w:color="CCCCCC" w:sz="1"/>
            </w:tcBorders>
            <w:shd w:fill="7B5E00" w:val="clear"/>
            <w:tcMar>
              <w:top w:type="dxa" w:w="90"/>
              <w:left w:type="dxa" w:w="130"/>
              <w:bottom w:type="dxa" w:w="90"/>
              <w:right w:type="dxa" w:w="130"/>
            </w:tcMar>
          </w:tcPr>
          <w:p>
            <w:r>
              <w:rPr>
                <w:rFonts w:ascii="Arial" w:cs="Arial" w:eastAsia="Arial" w:hAnsi="Arial"/>
                <w:b/>
                <w:bCs/>
                <w:color w:val="FFFFFF"/>
                <w:sz w:val="20"/>
                <w:szCs w:val="20"/>
              </w:rPr>
              <w:t xml:space="preserve">Sales Volume (Approx.)</w:t>
            </w:r>
          </w:p>
        </w:tc>
      </w:tr>
      <w:tr>
        <w:tc>
          <w:tcPr>
            <w:tcW w:type="dxa" w:w="3120"/>
            <w:tcBorders>
              <w:top w:val="single" w:color="CCCCCC" w:sz="1"/>
              <w:left w:val="single" w:color="CCCCCC" w:sz="1"/>
              <w:bottom w:val="single" w:color="CCCCCC" w:sz="1"/>
              <w:right w:val="single" w:color="CCCCCC" w:sz="1"/>
            </w:tcBorders>
            <w:shd w:fill="F5ECD7" w:val="clear"/>
            <w:tcMar>
              <w:top w:type="dxa" w:w="90"/>
              <w:left w:type="dxa" w:w="130"/>
              <w:bottom w:type="dxa" w:w="90"/>
              <w:right w:type="dxa" w:w="130"/>
            </w:tcMar>
          </w:tcPr>
          <w:p>
            <w:r>
              <w:rPr>
                <w:rFonts w:ascii="Arial" w:cs="Arial" w:eastAsia="Arial" w:hAnsi="Arial"/>
                <w:color w:val="444444"/>
                <w:sz w:val="20"/>
                <w:szCs w:val="20"/>
              </w:rPr>
              <w:t xml:space="preserve">Clothing</w:t>
            </w:r>
          </w:p>
        </w:tc>
        <w:tc>
          <w:tcPr>
            <w:tcW w:type="dxa" w:w="3120"/>
            <w:tcBorders>
              <w:top w:val="single" w:color="CCCCCC" w:sz="1"/>
              <w:left w:val="single" w:color="CCCCCC" w:sz="1"/>
              <w:bottom w:val="single" w:color="CCCCCC" w:sz="1"/>
              <w:right w:val="single" w:color="CCCCCC" w:sz="1"/>
            </w:tcBorders>
            <w:shd w:fill="F5ECD7" w:val="clear"/>
            <w:tcMar>
              <w:top w:type="dxa" w:w="90"/>
              <w:left w:type="dxa" w:w="130"/>
              <w:bottom w:type="dxa" w:w="90"/>
              <w:right w:type="dxa" w:w="130"/>
            </w:tcMar>
          </w:tcPr>
          <w:p>
            <w:r>
              <w:rPr>
                <w:rFonts w:ascii="Arial" w:cs="Arial" w:eastAsia="Arial" w:hAnsi="Arial"/>
                <w:color w:val="444444"/>
                <w:sz w:val="20"/>
                <w:szCs w:val="20"/>
              </w:rPr>
              <w:t xml:space="preserve">~$100K (Highest)</w:t>
            </w:r>
          </w:p>
        </w:tc>
        <w:tc>
          <w:tcPr>
            <w:tcW w:type="dxa" w:w="3120"/>
            <w:tcBorders>
              <w:top w:val="single" w:color="CCCCCC" w:sz="1"/>
              <w:left w:val="single" w:color="CCCCCC" w:sz="1"/>
              <w:bottom w:val="single" w:color="CCCCCC" w:sz="1"/>
              <w:right w:val="single" w:color="CCCCCC" w:sz="1"/>
            </w:tcBorders>
            <w:shd w:fill="F5ECD7" w:val="clear"/>
            <w:tcMar>
              <w:top w:type="dxa" w:w="90"/>
              <w:left w:type="dxa" w:w="130"/>
              <w:bottom w:type="dxa" w:w="90"/>
              <w:right w:type="dxa" w:w="130"/>
            </w:tcMar>
          </w:tcPr>
          <w:p>
            <w:r>
              <w:rPr>
                <w:rFonts w:ascii="Arial" w:cs="Arial" w:eastAsia="Arial" w:hAnsi="Arial"/>
                <w:color w:val="444444"/>
                <w:sz w:val="20"/>
                <w:szCs w:val="20"/>
              </w:rPr>
              <w:t xml:space="preserve">~1,750 units (Highest)</w:t>
            </w:r>
          </w:p>
        </w:tc>
      </w:tr>
      <w:tr>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444444"/>
                <w:sz w:val="20"/>
                <w:szCs w:val="20"/>
              </w:rPr>
              <w:t xml:space="preserve">Accessories</w:t>
            </w:r>
          </w:p>
        </w:tc>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444444"/>
                <w:sz w:val="20"/>
                <w:szCs w:val="20"/>
              </w:rPr>
              <w:t xml:space="preserve">~$75K</w:t>
            </w:r>
          </w:p>
        </w:tc>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444444"/>
                <w:sz w:val="20"/>
                <w:szCs w:val="20"/>
              </w:rPr>
              <w:t xml:space="preserve">~1,250 units</w:t>
            </w:r>
          </w:p>
        </w:tc>
      </w:tr>
      <w:tr>
        <w:tc>
          <w:tcPr>
            <w:tcW w:type="dxa" w:w="3120"/>
            <w:tcBorders>
              <w:top w:val="single" w:color="CCCCCC" w:sz="1"/>
              <w:left w:val="single" w:color="CCCCCC" w:sz="1"/>
              <w:bottom w:val="single" w:color="CCCCCC" w:sz="1"/>
              <w:right w:val="single" w:color="CCCCCC" w:sz="1"/>
            </w:tcBorders>
            <w:shd w:fill="F5ECD7" w:val="clear"/>
            <w:tcMar>
              <w:top w:type="dxa" w:w="90"/>
              <w:left w:type="dxa" w:w="130"/>
              <w:bottom w:type="dxa" w:w="90"/>
              <w:right w:type="dxa" w:w="130"/>
            </w:tcMar>
          </w:tcPr>
          <w:p>
            <w:r>
              <w:rPr>
                <w:rFonts w:ascii="Arial" w:cs="Arial" w:eastAsia="Arial" w:hAnsi="Arial"/>
                <w:color w:val="444444"/>
                <w:sz w:val="20"/>
                <w:szCs w:val="20"/>
              </w:rPr>
              <w:t xml:space="preserve">Footwear</w:t>
            </w:r>
          </w:p>
        </w:tc>
        <w:tc>
          <w:tcPr>
            <w:tcW w:type="dxa" w:w="3120"/>
            <w:tcBorders>
              <w:top w:val="single" w:color="CCCCCC" w:sz="1"/>
              <w:left w:val="single" w:color="CCCCCC" w:sz="1"/>
              <w:bottom w:val="single" w:color="CCCCCC" w:sz="1"/>
              <w:right w:val="single" w:color="CCCCCC" w:sz="1"/>
            </w:tcBorders>
            <w:shd w:fill="F5ECD7" w:val="clear"/>
            <w:tcMar>
              <w:top w:type="dxa" w:w="90"/>
              <w:left w:type="dxa" w:w="130"/>
              <w:bottom w:type="dxa" w:w="90"/>
              <w:right w:type="dxa" w:w="130"/>
            </w:tcMar>
          </w:tcPr>
          <w:p>
            <w:r>
              <w:rPr>
                <w:rFonts w:ascii="Arial" w:cs="Arial" w:eastAsia="Arial" w:hAnsi="Arial"/>
                <w:color w:val="444444"/>
                <w:sz w:val="20"/>
                <w:szCs w:val="20"/>
              </w:rPr>
              <w:t xml:space="preserve">~$40K</w:t>
            </w:r>
          </w:p>
        </w:tc>
        <w:tc>
          <w:tcPr>
            <w:tcW w:type="dxa" w:w="3120"/>
            <w:tcBorders>
              <w:top w:val="single" w:color="CCCCCC" w:sz="1"/>
              <w:left w:val="single" w:color="CCCCCC" w:sz="1"/>
              <w:bottom w:val="single" w:color="CCCCCC" w:sz="1"/>
              <w:right w:val="single" w:color="CCCCCC" w:sz="1"/>
            </w:tcBorders>
            <w:shd w:fill="F5ECD7" w:val="clear"/>
            <w:tcMar>
              <w:top w:type="dxa" w:w="90"/>
              <w:left w:type="dxa" w:w="130"/>
              <w:bottom w:type="dxa" w:w="90"/>
              <w:right w:type="dxa" w:w="130"/>
            </w:tcMar>
          </w:tcPr>
          <w:p>
            <w:r>
              <w:rPr>
                <w:rFonts w:ascii="Arial" w:cs="Arial" w:eastAsia="Arial" w:hAnsi="Arial"/>
                <w:color w:val="444444"/>
                <w:sz w:val="20"/>
                <w:szCs w:val="20"/>
              </w:rPr>
              <w:t xml:space="preserve">~600 units</w:t>
            </w:r>
          </w:p>
        </w:tc>
      </w:tr>
      <w:tr>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444444"/>
                <w:sz w:val="20"/>
                <w:szCs w:val="20"/>
              </w:rPr>
              <w:t xml:space="preserve">Outerwear</w:t>
            </w:r>
          </w:p>
        </w:tc>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444444"/>
                <w:sz w:val="20"/>
                <w:szCs w:val="20"/>
              </w:rPr>
              <w:t xml:space="preserve">~$20K (Lowest)</w:t>
            </w:r>
          </w:p>
        </w:tc>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444444"/>
                <w:sz w:val="20"/>
                <w:szCs w:val="20"/>
              </w:rPr>
              <w:t xml:space="preserve">~300 units (Lowest)</w:t>
            </w:r>
          </w:p>
        </w:tc>
      </w:tr>
    </w:tbl>
    <w:p>
      <w:pPr>
        <w:spacing w:after="100" w:before="100"/>
      </w:pPr>
      <w:r>
        <w:t xml:space="preserve"/>
      </w:r>
    </w:p>
    <w:p>
      <w:pPr>
        <w:spacing w:after="80" w:before="80"/>
        <w:jc w:val="both"/>
      </w:pPr>
      <w:r>
        <w:rPr>
          <w:rFonts w:ascii="Arial" w:cs="Arial" w:eastAsia="Arial" w:hAnsi="Arial"/>
          <w:color w:val="444444"/>
          <w:sz w:val="22"/>
          <w:szCs w:val="22"/>
        </w:rPr>
        <w:t xml:space="preserve">Clothing dominates both revenue and sales volume, confirming it as the anchor category for this retailer. Outerwear underperforms significantly, warranting further investigation into pricing, seasonality, and demand drivers.</w:t>
      </w:r>
    </w:p>
    <w:p>
      <w:pPr>
        <w:spacing w:after="100" w:before="100"/>
      </w:pPr>
      <w:r>
        <w:t xml:space="preserve"/>
      </w:r>
    </w:p>
    <w:p>
      <w:pPr>
        <w:pStyle w:val="Heading2"/>
        <w:spacing w:after="100" w:before="260"/>
      </w:pPr>
      <w:r>
        <w:rPr>
          <w:rFonts w:ascii="Arial" w:cs="Arial" w:eastAsia="Arial" w:hAnsi="Arial"/>
          <w:b/>
          <w:bCs/>
          <w:color w:val="7B5E00"/>
          <w:sz w:val="26"/>
          <w:szCs w:val="26"/>
        </w:rPr>
        <w:t xml:space="preserve">Revenue &amp; Sales by Age Group</w:t>
      </w:r>
    </w:p>
    <w:p>
      <w:pPr>
        <w:spacing w:after="80" w:before="80"/>
        <w:jc w:val="both"/>
      </w:pPr>
      <w:r>
        <w:rPr>
          <w:rFonts w:ascii="Arial" w:cs="Arial" w:eastAsia="Arial" w:hAnsi="Arial"/>
          <w:color w:val="444444"/>
          <w:sz w:val="22"/>
          <w:szCs w:val="22"/>
        </w:rPr>
        <w:t xml:space="preserve">Horizontal bar charts break down commercial performance by customer age group:</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7B5E00" w:val="clear"/>
            <w:tcMar>
              <w:top w:type="dxa" w:w="90"/>
              <w:left w:type="dxa" w:w="130"/>
              <w:bottom w:type="dxa" w:w="90"/>
              <w:right w:type="dxa" w:w="130"/>
            </w:tcMar>
          </w:tcPr>
          <w:p>
            <w:r>
              <w:rPr>
                <w:rFonts w:ascii="Arial" w:cs="Arial" w:eastAsia="Arial" w:hAnsi="Arial"/>
                <w:b/>
                <w:bCs/>
                <w:color w:val="FFFFFF"/>
                <w:sz w:val="20"/>
                <w:szCs w:val="20"/>
              </w:rPr>
              <w:t xml:space="preserve">Age Group</w:t>
            </w:r>
          </w:p>
        </w:tc>
        <w:tc>
          <w:tcPr>
            <w:tcW w:type="dxa" w:w="3120"/>
            <w:tcBorders>
              <w:top w:val="single" w:color="CCCCCC" w:sz="1"/>
              <w:left w:val="single" w:color="CCCCCC" w:sz="1"/>
              <w:bottom w:val="single" w:color="CCCCCC" w:sz="1"/>
              <w:right w:val="single" w:color="CCCCCC" w:sz="1"/>
            </w:tcBorders>
            <w:shd w:fill="7B5E00" w:val="clear"/>
            <w:tcMar>
              <w:top w:type="dxa" w:w="90"/>
              <w:left w:type="dxa" w:w="130"/>
              <w:bottom w:type="dxa" w:w="90"/>
              <w:right w:type="dxa" w:w="130"/>
            </w:tcMar>
          </w:tcPr>
          <w:p>
            <w:r>
              <w:rPr>
                <w:rFonts w:ascii="Arial" w:cs="Arial" w:eastAsia="Arial" w:hAnsi="Arial"/>
                <w:b/>
                <w:bCs/>
                <w:color w:val="FFFFFF"/>
                <w:sz w:val="20"/>
                <w:szCs w:val="20"/>
              </w:rPr>
              <w:t xml:space="preserve">Revenue</w:t>
            </w:r>
          </w:p>
        </w:tc>
        <w:tc>
          <w:tcPr>
            <w:tcW w:type="dxa" w:w="3120"/>
            <w:tcBorders>
              <w:top w:val="single" w:color="CCCCCC" w:sz="1"/>
              <w:left w:val="single" w:color="CCCCCC" w:sz="1"/>
              <w:bottom w:val="single" w:color="CCCCCC" w:sz="1"/>
              <w:right w:val="single" w:color="CCCCCC" w:sz="1"/>
            </w:tcBorders>
            <w:shd w:fill="7B5E00" w:val="clear"/>
            <w:tcMar>
              <w:top w:type="dxa" w:w="90"/>
              <w:left w:type="dxa" w:w="130"/>
              <w:bottom w:type="dxa" w:w="90"/>
              <w:right w:type="dxa" w:w="130"/>
            </w:tcMar>
          </w:tcPr>
          <w:p>
            <w:r>
              <w:rPr>
                <w:rFonts w:ascii="Arial" w:cs="Arial" w:eastAsia="Arial" w:hAnsi="Arial"/>
                <w:b/>
                <w:bCs/>
                <w:color w:val="FFFFFF"/>
                <w:sz w:val="20"/>
                <w:szCs w:val="20"/>
              </w:rPr>
              <w:t xml:space="preserve">Sales Volume</w:t>
            </w:r>
          </w:p>
        </w:tc>
      </w:tr>
      <w:tr>
        <w:tc>
          <w:tcPr>
            <w:tcW w:type="dxa" w:w="3120"/>
            <w:tcBorders>
              <w:top w:val="single" w:color="CCCCCC" w:sz="1"/>
              <w:left w:val="single" w:color="CCCCCC" w:sz="1"/>
              <w:bottom w:val="single" w:color="CCCCCC" w:sz="1"/>
              <w:right w:val="single" w:color="CCCCCC" w:sz="1"/>
            </w:tcBorders>
            <w:shd w:fill="F5ECD7" w:val="clear"/>
            <w:tcMar>
              <w:top w:type="dxa" w:w="90"/>
              <w:left w:type="dxa" w:w="130"/>
              <w:bottom w:type="dxa" w:w="90"/>
              <w:right w:type="dxa" w:w="130"/>
            </w:tcMar>
          </w:tcPr>
          <w:p>
            <w:r>
              <w:rPr>
                <w:rFonts w:ascii="Arial" w:cs="Arial" w:eastAsia="Arial" w:hAnsi="Arial"/>
                <w:color w:val="444444"/>
                <w:sz w:val="20"/>
                <w:szCs w:val="20"/>
              </w:rPr>
              <w:t xml:space="preserve">Young Adult</w:t>
            </w:r>
          </w:p>
        </w:tc>
        <w:tc>
          <w:tcPr>
            <w:tcW w:type="dxa" w:w="3120"/>
            <w:tcBorders>
              <w:top w:val="single" w:color="CCCCCC" w:sz="1"/>
              <w:left w:val="single" w:color="CCCCCC" w:sz="1"/>
              <w:bottom w:val="single" w:color="CCCCCC" w:sz="1"/>
              <w:right w:val="single" w:color="CCCCCC" w:sz="1"/>
            </w:tcBorders>
            <w:shd w:fill="F5ECD7" w:val="clear"/>
            <w:tcMar>
              <w:top w:type="dxa" w:w="90"/>
              <w:left w:type="dxa" w:w="130"/>
              <w:bottom w:type="dxa" w:w="90"/>
              <w:right w:type="dxa" w:w="130"/>
            </w:tcMar>
          </w:tcPr>
          <w:p>
            <w:r>
              <w:rPr>
                <w:rFonts w:ascii="Arial" w:cs="Arial" w:eastAsia="Arial" w:hAnsi="Arial"/>
                <w:color w:val="444444"/>
                <w:sz w:val="20"/>
                <w:szCs w:val="20"/>
              </w:rPr>
              <w:t xml:space="preserve">$62K</w:t>
            </w:r>
          </w:p>
        </w:tc>
        <w:tc>
          <w:tcPr>
            <w:tcW w:type="dxa" w:w="3120"/>
            <w:tcBorders>
              <w:top w:val="single" w:color="CCCCCC" w:sz="1"/>
              <w:left w:val="single" w:color="CCCCCC" w:sz="1"/>
              <w:bottom w:val="single" w:color="CCCCCC" w:sz="1"/>
              <w:right w:val="single" w:color="CCCCCC" w:sz="1"/>
            </w:tcBorders>
            <w:shd w:fill="F5ECD7" w:val="clear"/>
            <w:tcMar>
              <w:top w:type="dxa" w:w="90"/>
              <w:left w:type="dxa" w:w="130"/>
              <w:bottom w:type="dxa" w:w="90"/>
              <w:right w:type="dxa" w:w="130"/>
            </w:tcMar>
          </w:tcPr>
          <w:p>
            <w:r>
              <w:rPr>
                <w:rFonts w:ascii="Arial" w:cs="Arial" w:eastAsia="Arial" w:hAnsi="Arial"/>
                <w:color w:val="444444"/>
                <w:sz w:val="20"/>
                <w:szCs w:val="20"/>
              </w:rPr>
              <w:t xml:space="preserve">2.01M</w:t>
            </w:r>
          </w:p>
        </w:tc>
      </w:tr>
      <w:tr>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444444"/>
                <w:sz w:val="20"/>
                <w:szCs w:val="20"/>
              </w:rPr>
              <w:t xml:space="preserve">Middle-Aged</w:t>
            </w:r>
          </w:p>
        </w:tc>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444444"/>
                <w:sz w:val="20"/>
                <w:szCs w:val="20"/>
              </w:rPr>
              <w:t xml:space="preserve">$59K</w:t>
            </w:r>
          </w:p>
        </w:tc>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444444"/>
                <w:sz w:val="20"/>
                <w:szCs w:val="20"/>
              </w:rPr>
              <w:t xml:space="preserve">1.94M</w:t>
            </w:r>
          </w:p>
        </w:tc>
      </w:tr>
      <w:tr>
        <w:tc>
          <w:tcPr>
            <w:tcW w:type="dxa" w:w="3120"/>
            <w:tcBorders>
              <w:top w:val="single" w:color="CCCCCC" w:sz="1"/>
              <w:left w:val="single" w:color="CCCCCC" w:sz="1"/>
              <w:bottom w:val="single" w:color="CCCCCC" w:sz="1"/>
              <w:right w:val="single" w:color="CCCCCC" w:sz="1"/>
            </w:tcBorders>
            <w:shd w:fill="F5ECD7" w:val="clear"/>
            <w:tcMar>
              <w:top w:type="dxa" w:w="90"/>
              <w:left w:type="dxa" w:w="130"/>
              <w:bottom w:type="dxa" w:w="90"/>
              <w:right w:type="dxa" w:w="130"/>
            </w:tcMar>
          </w:tcPr>
          <w:p>
            <w:r>
              <w:rPr>
                <w:rFonts w:ascii="Arial" w:cs="Arial" w:eastAsia="Arial" w:hAnsi="Arial"/>
                <w:color w:val="444444"/>
                <w:sz w:val="20"/>
                <w:szCs w:val="20"/>
              </w:rPr>
              <w:t xml:space="preserve">Adult</w:t>
            </w:r>
          </w:p>
        </w:tc>
        <w:tc>
          <w:tcPr>
            <w:tcW w:type="dxa" w:w="3120"/>
            <w:tcBorders>
              <w:top w:val="single" w:color="CCCCCC" w:sz="1"/>
              <w:left w:val="single" w:color="CCCCCC" w:sz="1"/>
              <w:bottom w:val="single" w:color="CCCCCC" w:sz="1"/>
              <w:right w:val="single" w:color="CCCCCC" w:sz="1"/>
            </w:tcBorders>
            <w:shd w:fill="F5ECD7" w:val="clear"/>
            <w:tcMar>
              <w:top w:type="dxa" w:w="90"/>
              <w:left w:type="dxa" w:w="130"/>
              <w:bottom w:type="dxa" w:w="90"/>
              <w:right w:type="dxa" w:w="130"/>
            </w:tcMar>
          </w:tcPr>
          <w:p>
            <w:r>
              <w:rPr>
                <w:rFonts w:ascii="Arial" w:cs="Arial" w:eastAsia="Arial" w:hAnsi="Arial"/>
                <w:color w:val="444444"/>
                <w:sz w:val="20"/>
                <w:szCs w:val="20"/>
              </w:rPr>
              <w:t xml:space="preserve">$56K</w:t>
            </w:r>
          </w:p>
        </w:tc>
        <w:tc>
          <w:tcPr>
            <w:tcW w:type="dxa" w:w="3120"/>
            <w:tcBorders>
              <w:top w:val="single" w:color="CCCCCC" w:sz="1"/>
              <w:left w:val="single" w:color="CCCCCC" w:sz="1"/>
              <w:bottom w:val="single" w:color="CCCCCC" w:sz="1"/>
              <w:right w:val="single" w:color="CCCCCC" w:sz="1"/>
            </w:tcBorders>
            <w:shd w:fill="F5ECD7" w:val="clear"/>
            <w:tcMar>
              <w:top w:type="dxa" w:w="90"/>
              <w:left w:type="dxa" w:w="130"/>
              <w:bottom w:type="dxa" w:w="90"/>
              <w:right w:type="dxa" w:w="130"/>
            </w:tcMar>
          </w:tcPr>
          <w:p>
            <w:r>
              <w:rPr>
                <w:rFonts w:ascii="Arial" w:cs="Arial" w:eastAsia="Arial" w:hAnsi="Arial"/>
                <w:color w:val="444444"/>
                <w:sz w:val="20"/>
                <w:szCs w:val="20"/>
              </w:rPr>
              <w:t xml:space="preserve">1.84M</w:t>
            </w:r>
          </w:p>
        </w:tc>
      </w:tr>
      <w:tr>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444444"/>
                <w:sz w:val="20"/>
                <w:szCs w:val="20"/>
              </w:rPr>
              <w:t xml:space="preserve">Senior</w:t>
            </w:r>
          </w:p>
        </w:tc>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444444"/>
                <w:sz w:val="20"/>
                <w:szCs w:val="20"/>
              </w:rPr>
              <w:t xml:space="preserve">$56K</w:t>
            </w:r>
          </w:p>
        </w:tc>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444444"/>
                <w:sz w:val="20"/>
                <w:szCs w:val="20"/>
              </w:rPr>
              <w:t xml:space="preserve">1.83M</w:t>
            </w:r>
          </w:p>
        </w:tc>
      </w:tr>
    </w:tbl>
    <w:p>
      <w:pPr>
        <w:spacing w:after="100" w:before="100"/>
      </w:pPr>
      <w:r>
        <w:t xml:space="preserve"/>
      </w:r>
    </w:p>
    <w:p>
      <w:pPr>
        <w:spacing w:after="80" w:before="80"/>
        <w:jc w:val="both"/>
      </w:pPr>
      <w:r>
        <w:rPr>
          <w:rFonts w:ascii="Arial" w:cs="Arial" w:eastAsia="Arial" w:hAnsi="Arial"/>
          <w:color w:val="444444"/>
          <w:sz w:val="22"/>
          <w:szCs w:val="22"/>
        </w:rPr>
        <w:t xml:space="preserve">Young Adults emerge as the highest-value segment by both revenue and volume. Notably, the distribution is balanced across all four groups, indicating broad cross-generational market appeal — a commercial strength to leverage in wide-reach campaigns.</w:t>
      </w:r>
    </w:p>
    <w:p>
      <w:pPr>
        <w:spacing w:after="100" w:before="100"/>
      </w:pPr>
      <w:r>
        <w:t xml:space="preserve"/>
      </w:r>
    </w:p>
    <w:p>
      <w:pPr>
        <w:pStyle w:val="Heading2"/>
        <w:spacing w:after="100" w:before="260"/>
      </w:pPr>
      <w:r>
        <w:rPr>
          <w:rFonts w:ascii="Arial" w:cs="Arial" w:eastAsia="Arial" w:hAnsi="Arial"/>
          <w:b/>
          <w:bCs/>
          <w:color w:val="7B5E00"/>
          <w:sz w:val="26"/>
          <w:szCs w:val="26"/>
        </w:rPr>
        <w:t xml:space="preserve">Interactive Slicers</w:t>
      </w:r>
    </w:p>
    <w:p>
      <w:pPr>
        <w:spacing w:after="80" w:before="80"/>
        <w:jc w:val="both"/>
      </w:pPr>
      <w:r>
        <w:rPr>
          <w:rFonts w:ascii="Arial" w:cs="Arial" w:eastAsia="Arial" w:hAnsi="Arial"/>
          <w:color w:val="444444"/>
          <w:sz w:val="22"/>
          <w:szCs w:val="22"/>
        </w:rPr>
        <w:t xml:space="preserve">The dashboard includes dynamic slicers enabling stakeholders to filter all visuals simultaneously by:</w:t>
      </w:r>
    </w:p>
    <w:p>
      <w:pPr>
        <w:pStyle w:val="ListParagraph"/>
        <w:numPr>
          <w:ilvl w:val="0"/>
          <w:numId w:val="2"/>
        </w:numPr>
        <w:spacing w:after="60" w:before="60"/>
      </w:pPr>
      <w:r>
        <w:rPr>
          <w:rFonts w:ascii="Arial" w:cs="Arial" w:eastAsia="Arial" w:hAnsi="Arial"/>
          <w:color w:val="444444"/>
          <w:sz w:val="22"/>
          <w:szCs w:val="22"/>
        </w:rPr>
        <w:t xml:space="preserve">Subscription Status (Yes / No)</w:t>
      </w:r>
    </w:p>
    <w:p>
      <w:pPr>
        <w:pStyle w:val="ListParagraph"/>
        <w:numPr>
          <w:ilvl w:val="0"/>
          <w:numId w:val="2"/>
        </w:numPr>
        <w:spacing w:after="60" w:before="60"/>
      </w:pPr>
      <w:r>
        <w:rPr>
          <w:rFonts w:ascii="Arial" w:cs="Arial" w:eastAsia="Arial" w:hAnsi="Arial"/>
          <w:color w:val="444444"/>
          <w:sz w:val="22"/>
          <w:szCs w:val="22"/>
        </w:rPr>
        <w:t xml:space="preserve">Gender (Female / Male)</w:t>
      </w:r>
    </w:p>
    <w:p>
      <w:pPr>
        <w:pStyle w:val="ListParagraph"/>
        <w:numPr>
          <w:ilvl w:val="0"/>
          <w:numId w:val="2"/>
        </w:numPr>
        <w:spacing w:after="60" w:before="60"/>
      </w:pPr>
      <w:r>
        <w:rPr>
          <w:rFonts w:ascii="Arial" w:cs="Arial" w:eastAsia="Arial" w:hAnsi="Arial"/>
          <w:color w:val="444444"/>
          <w:sz w:val="22"/>
          <w:szCs w:val="22"/>
        </w:rPr>
        <w:t xml:space="preserve">Product Category (Accessories, Clothing, Footwear, Outerwear)</w:t>
      </w:r>
    </w:p>
    <w:p>
      <w:pPr>
        <w:pStyle w:val="ListParagraph"/>
        <w:numPr>
          <w:ilvl w:val="0"/>
          <w:numId w:val="2"/>
        </w:numPr>
        <w:spacing w:after="60" w:before="60"/>
      </w:pPr>
      <w:r>
        <w:rPr>
          <w:rFonts w:ascii="Arial" w:cs="Arial" w:eastAsia="Arial" w:hAnsi="Arial"/>
          <w:color w:val="444444"/>
          <w:sz w:val="22"/>
          <w:szCs w:val="22"/>
        </w:rPr>
        <w:t xml:space="preserve">Shipping Type (2-Day, Express, Free Shipping, Next Day Air, Standard, Store Pickup)</w:t>
      </w:r>
    </w:p>
    <w:p>
      <w:pPr>
        <w:pStyle w:val="Heading2"/>
        <w:spacing w:after="100" w:before="260"/>
      </w:pPr>
      <w:r>
        <w:rPr>
          <w:rFonts w:ascii="Arial" w:cs="Arial" w:eastAsia="Arial" w:hAnsi="Arial"/>
          <w:b/>
          <w:bCs/>
          <w:color w:val="7B5E00"/>
          <w:sz w:val="26"/>
          <w:szCs w:val="26"/>
        </w:rPr>
        <w:t xml:space="preserve">3.5 Documentation &amp; Reporting  (1:14:22 – 1:17:47)</w:t>
      </w:r>
    </w:p>
    <w:p>
      <w:pPr>
        <w:spacing w:after="80" w:before="80"/>
        <w:jc w:val="both"/>
      </w:pPr>
      <w:r>
        <w:rPr>
          <w:rFonts w:ascii="Arial" w:cs="Arial" w:eastAsia="Arial" w:hAnsi="Arial"/>
          <w:color w:val="444444"/>
          <w:sz w:val="22"/>
          <w:szCs w:val="22"/>
        </w:rPr>
        <w:t xml:space="preserve">A formal written report was produced to document the methodology, key findings, and strategic recommendations. Additionally, Gamma AI was used to generate a polished, stakeholder-ready presentation deck. This combination reflects a modern analyst workflow where both technical depth and communication clarity are valued deliverables.</w:t>
      </w:r>
    </w:p>
    <w:p>
      <w:pPr>
        <w:pStyle w:val="Heading2"/>
        <w:spacing w:after="100" w:before="260"/>
      </w:pPr>
      <w:r>
        <w:rPr>
          <w:rFonts w:ascii="Arial" w:cs="Arial" w:eastAsia="Arial" w:hAnsi="Arial"/>
          <w:b/>
          <w:bCs/>
          <w:color w:val="7B5E00"/>
          <w:sz w:val="26"/>
          <w:szCs w:val="26"/>
        </w:rPr>
        <w:t xml:space="preserve">3.6 Portfolio Deployment  (1:17:48 – 1:23:20)</w:t>
      </w:r>
    </w:p>
    <w:p>
      <w:pPr>
        <w:spacing w:after="80" w:before="80"/>
        <w:jc w:val="both"/>
      </w:pPr>
      <w:r>
        <w:rPr>
          <w:rFonts w:ascii="Arial" w:cs="Arial" w:eastAsia="Arial" w:hAnsi="Arial"/>
          <w:color w:val="444444"/>
          <w:sz w:val="22"/>
          <w:szCs w:val="22"/>
        </w:rPr>
        <w:t xml:space="preserve">The completed project — including Python notebooks, SQL scripts, Power BI dashboard file, and documentation — was published to GitHub as a structured, publicly accessible portfolio repository. The work was shared on LinkedIn with a project summary to maximize professional visibility and attract potential employers.</w:t>
      </w:r>
    </w:p>
    <w:p>
      <w:pPr>
        <w:pStyle w:val="Heading1"/>
        <w:pBdr>
          <w:bottom w:val="single" w:color="A67C00" w:sz="8" w:space="6"/>
        </w:pBdr>
        <w:spacing w:after="140" w:before="400"/>
      </w:pPr>
      <w:r>
        <w:rPr>
          <w:rFonts w:ascii="Arial" w:cs="Arial" w:eastAsia="Arial" w:hAnsi="Arial"/>
          <w:b/>
          <w:bCs/>
          <w:color w:val="5D3A00"/>
          <w:sz w:val="34"/>
          <w:szCs w:val="34"/>
        </w:rPr>
        <w:t xml:space="preserve">4. Key Findings &amp; Business Insights</w:t>
      </w:r>
    </w:p>
    <w:p>
      <w:pPr>
        <w:pStyle w:val="Heading2"/>
        <w:spacing w:after="100" w:before="260"/>
      </w:pPr>
      <w:r>
        <w:rPr>
          <w:rFonts w:ascii="Arial" w:cs="Arial" w:eastAsia="Arial" w:hAnsi="Arial"/>
          <w:b/>
          <w:bCs/>
          <w:color w:val="7B5E00"/>
          <w:sz w:val="26"/>
          <w:szCs w:val="26"/>
        </w:rPr>
        <w:t xml:space="preserve">4.1 Product Strategy</w:t>
      </w:r>
    </w:p>
    <w:p>
      <w:pPr>
        <w:pStyle w:val="ListParagraph"/>
        <w:numPr>
          <w:ilvl w:val="0"/>
          <w:numId w:val="2"/>
        </w:numPr>
        <w:spacing w:after="60" w:before="60"/>
      </w:pPr>
      <w:r>
        <w:rPr>
          <w:rFonts w:ascii="Arial" w:cs="Arial" w:eastAsia="Arial" w:hAnsi="Arial"/>
          <w:color w:val="444444"/>
          <w:sz w:val="22"/>
          <w:szCs w:val="22"/>
        </w:rPr>
        <w:t xml:space="preserve">Clothing is the dominant revenue and volume category and should remain the focal point of inventory planning and marketing investment.</w:t>
      </w:r>
    </w:p>
    <w:p>
      <w:pPr>
        <w:pStyle w:val="ListParagraph"/>
        <w:numPr>
          <w:ilvl w:val="0"/>
          <w:numId w:val="2"/>
        </w:numPr>
        <w:spacing w:after="60" w:before="60"/>
      </w:pPr>
      <w:r>
        <w:rPr>
          <w:rFonts w:ascii="Arial" w:cs="Arial" w:eastAsia="Arial" w:hAnsi="Arial"/>
          <w:color w:val="444444"/>
          <w:sz w:val="22"/>
          <w:szCs w:val="22"/>
        </w:rPr>
        <w:t xml:space="preserve">Outerwear significantly underperforms across both revenue and volume — further analysis of pricing, seasonal demand cycles, and competitive positioning is recommended.</w:t>
      </w:r>
    </w:p>
    <w:p>
      <w:pPr>
        <w:pStyle w:val="ListParagraph"/>
        <w:numPr>
          <w:ilvl w:val="0"/>
          <w:numId w:val="2"/>
        </w:numPr>
        <w:spacing w:after="60" w:before="60"/>
      </w:pPr>
      <w:r>
        <w:rPr>
          <w:rFonts w:ascii="Arial" w:cs="Arial" w:eastAsia="Arial" w:hAnsi="Arial"/>
          <w:color w:val="444444"/>
          <w:sz w:val="22"/>
          <w:szCs w:val="22"/>
        </w:rPr>
        <w:t xml:space="preserve">Accessories deliver strong revenue relative to volume, indicating higher unit prices and strong potential for premium and upsell positioning.</w:t>
      </w:r>
    </w:p>
    <w:p>
      <w:pPr>
        <w:pStyle w:val="Heading2"/>
        <w:spacing w:after="100" w:before="260"/>
      </w:pPr>
      <w:r>
        <w:rPr>
          <w:rFonts w:ascii="Arial" w:cs="Arial" w:eastAsia="Arial" w:hAnsi="Arial"/>
          <w:b/>
          <w:bCs/>
          <w:color w:val="7B5E00"/>
          <w:sz w:val="26"/>
          <w:szCs w:val="26"/>
        </w:rPr>
        <w:t xml:space="preserve">4.2 Customer Loyalty</w:t>
      </w:r>
    </w:p>
    <w:p>
      <w:pPr>
        <w:pStyle w:val="ListParagraph"/>
        <w:numPr>
          <w:ilvl w:val="0"/>
          <w:numId w:val="2"/>
        </w:numPr>
        <w:spacing w:after="60" w:before="60"/>
      </w:pPr>
      <w:r>
        <w:rPr>
          <w:rFonts w:ascii="Arial" w:cs="Arial" w:eastAsia="Arial" w:hAnsi="Arial"/>
          <w:color w:val="444444"/>
          <w:sz w:val="22"/>
          <w:szCs w:val="22"/>
        </w:rPr>
        <w:t xml:space="preserve">Only 27% of customers hold subscriptions, representing a major untapped growth lever. A targeted subscription drive for the 73% non-subscribed base could meaningfully boost recurring revenue.</w:t>
      </w:r>
    </w:p>
    <w:p>
      <w:pPr>
        <w:pStyle w:val="ListParagraph"/>
        <w:numPr>
          <w:ilvl w:val="0"/>
          <w:numId w:val="2"/>
        </w:numPr>
        <w:spacing w:after="60" w:before="60"/>
      </w:pPr>
      <w:r>
        <w:rPr>
          <w:rFonts w:ascii="Arial" w:cs="Arial" w:eastAsia="Arial" w:hAnsi="Arial"/>
          <w:color w:val="444444"/>
          <w:sz w:val="22"/>
          <w:szCs w:val="22"/>
        </w:rPr>
        <w:t xml:space="preserve">An average review rating of 3.75 out of 5 signals moderate satisfaction. Targeted improvements in post-purchase experience, packaging, or customer support could improve ratings and retention.</w:t>
      </w:r>
    </w:p>
    <w:p>
      <w:pPr>
        <w:pStyle w:val="Heading2"/>
        <w:spacing w:after="100" w:before="260"/>
      </w:pPr>
      <w:r>
        <w:rPr>
          <w:rFonts w:ascii="Arial" w:cs="Arial" w:eastAsia="Arial" w:hAnsi="Arial"/>
          <w:b/>
          <w:bCs/>
          <w:color w:val="7B5E00"/>
          <w:sz w:val="26"/>
          <w:szCs w:val="26"/>
        </w:rPr>
        <w:t xml:space="preserve">4.3 Demographic Insights</w:t>
      </w:r>
    </w:p>
    <w:p>
      <w:pPr>
        <w:pStyle w:val="ListParagraph"/>
        <w:numPr>
          <w:ilvl w:val="0"/>
          <w:numId w:val="2"/>
        </w:numPr>
        <w:spacing w:after="60" w:before="60"/>
      </w:pPr>
      <w:r>
        <w:rPr>
          <w:rFonts w:ascii="Arial" w:cs="Arial" w:eastAsia="Arial" w:hAnsi="Arial"/>
          <w:color w:val="444444"/>
          <w:sz w:val="22"/>
          <w:szCs w:val="22"/>
        </w:rPr>
        <w:t xml:space="preserve">Young Adults generate the highest revenue ($62K) and volume (2.01M), making them the primary target demographic for promotional campaigns and new product launches.</w:t>
      </w:r>
    </w:p>
    <w:p>
      <w:pPr>
        <w:pStyle w:val="ListParagraph"/>
        <w:numPr>
          <w:ilvl w:val="0"/>
          <w:numId w:val="2"/>
        </w:numPr>
        <w:spacing w:after="60" w:before="60"/>
      </w:pPr>
      <w:r>
        <w:rPr>
          <w:rFonts w:ascii="Arial" w:cs="Arial" w:eastAsia="Arial" w:hAnsi="Arial"/>
          <w:color w:val="444444"/>
          <w:sz w:val="22"/>
          <w:szCs w:val="22"/>
        </w:rPr>
        <w:t xml:space="preserve">Revenue distribution is relatively even across all four age groups, suggesting broad market appeal. This is a strategic strength that supports wide-reach marketing without over-reliance on a single demographic.</w:t>
      </w:r>
    </w:p>
    <w:p>
      <w:pPr>
        <w:pStyle w:val="Heading2"/>
        <w:spacing w:after="100" w:before="260"/>
      </w:pPr>
      <w:r>
        <w:rPr>
          <w:rFonts w:ascii="Arial" w:cs="Arial" w:eastAsia="Arial" w:hAnsi="Arial"/>
          <w:b/>
          <w:bCs/>
          <w:color w:val="7B5E00"/>
          <w:sz w:val="26"/>
          <w:szCs w:val="26"/>
        </w:rPr>
        <w:t xml:space="preserve">4.4 Operational Insights</w:t>
      </w:r>
    </w:p>
    <w:p>
      <w:pPr>
        <w:pStyle w:val="ListParagraph"/>
        <w:numPr>
          <w:ilvl w:val="0"/>
          <w:numId w:val="2"/>
        </w:numPr>
        <w:spacing w:after="60" w:before="60"/>
      </w:pPr>
      <w:r>
        <w:rPr>
          <w:rFonts w:ascii="Arial" w:cs="Arial" w:eastAsia="Arial" w:hAnsi="Arial"/>
          <w:color w:val="444444"/>
          <w:sz w:val="22"/>
          <w:szCs w:val="22"/>
        </w:rPr>
        <w:t xml:space="preserve">Six distinct shipping types indicate customer preference diversity. Shipping preference data should be analyzed further to optimize fulfilment costs and align delivery options with customer expectations.</w:t>
      </w:r>
    </w:p>
    <w:p>
      <w:pPr>
        <w:pStyle w:val="ListParagraph"/>
        <w:numPr>
          <w:ilvl w:val="0"/>
          <w:numId w:val="2"/>
        </w:numPr>
        <w:spacing w:after="60" w:before="60"/>
      </w:pPr>
      <w:r>
        <w:rPr>
          <w:rFonts w:ascii="Arial" w:cs="Arial" w:eastAsia="Arial" w:hAnsi="Arial"/>
          <w:color w:val="444444"/>
          <w:sz w:val="22"/>
          <w:szCs w:val="22"/>
        </w:rPr>
        <w:t xml:space="preserve">Gender-based slicer availability in the dashboard suggests potential category preference differences by gender — a hypothesis worth pursuing with deeper segmentation analysis.</w:t>
      </w:r>
    </w:p>
    <w:p>
      <w:pPr>
        <w:pStyle w:val="Heading1"/>
        <w:pBdr>
          <w:bottom w:val="single" w:color="A67C00" w:sz="8" w:space="6"/>
        </w:pBdr>
        <w:spacing w:after="140" w:before="400"/>
      </w:pPr>
      <w:r>
        <w:rPr>
          <w:rFonts w:ascii="Arial" w:cs="Arial" w:eastAsia="Arial" w:hAnsi="Arial"/>
          <w:b/>
          <w:bCs/>
          <w:color w:val="5D3A00"/>
          <w:sz w:val="34"/>
          <w:szCs w:val="34"/>
        </w:rPr>
        <w:t xml:space="preserve">5. Tools &amp;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00"/>
        <w:gridCol w:w="3520"/>
      </w:tblGrid>
      <w:tr>
        <w:tc>
          <w:tcPr>
            <w:tcW w:type="dxa" w:w="2340"/>
            <w:tcBorders>
              <w:top w:val="single" w:color="CCCCCC" w:sz="1"/>
              <w:left w:val="single" w:color="CCCCCC" w:sz="1"/>
              <w:bottom w:val="single" w:color="CCCCCC" w:sz="1"/>
              <w:right w:val="single" w:color="CCCCCC" w:sz="1"/>
            </w:tcBorders>
            <w:shd w:fill="5D3A00" w:val="clear"/>
            <w:tcMar>
              <w:top w:type="dxa" w:w="100"/>
              <w:left w:type="dxa" w:w="130"/>
              <w:bottom w:type="dxa" w:w="100"/>
              <w:right w:type="dxa" w:w="130"/>
            </w:tcMar>
          </w:tcPr>
          <w:p>
            <w:r>
              <w:rPr>
                <w:rFonts w:ascii="Arial" w:cs="Arial" w:eastAsia="Arial" w:hAnsi="Arial"/>
                <w:b/>
                <w:bCs/>
                <w:color w:val="FFFFFF"/>
                <w:sz w:val="20"/>
                <w:szCs w:val="20"/>
              </w:rPr>
              <w:t xml:space="preserve">Tool</w:t>
            </w:r>
          </w:p>
        </w:tc>
        <w:tc>
          <w:tcPr>
            <w:tcW w:type="dxa" w:w="3500"/>
            <w:tcBorders>
              <w:top w:val="single" w:color="CCCCCC" w:sz="1"/>
              <w:left w:val="single" w:color="CCCCCC" w:sz="1"/>
              <w:bottom w:val="single" w:color="CCCCCC" w:sz="1"/>
              <w:right w:val="single" w:color="CCCCCC" w:sz="1"/>
            </w:tcBorders>
            <w:shd w:fill="5D3A00" w:val="clear"/>
            <w:tcMar>
              <w:top w:type="dxa" w:w="100"/>
              <w:left w:type="dxa" w:w="130"/>
              <w:bottom w:type="dxa" w:w="100"/>
              <w:right w:type="dxa" w:w="130"/>
            </w:tcMar>
          </w:tcPr>
          <w:p>
            <w:r>
              <w:rPr>
                <w:rFonts w:ascii="Arial" w:cs="Arial" w:eastAsia="Arial" w:hAnsi="Arial"/>
                <w:b/>
                <w:bCs/>
                <w:color w:val="FFFFFF"/>
                <w:sz w:val="20"/>
                <w:szCs w:val="20"/>
              </w:rPr>
              <w:t xml:space="preserve">Purpose</w:t>
            </w:r>
          </w:p>
        </w:tc>
        <w:tc>
          <w:tcPr>
            <w:tcW w:type="dxa" w:w="3520"/>
            <w:tcBorders>
              <w:top w:val="single" w:color="CCCCCC" w:sz="1"/>
              <w:left w:val="single" w:color="CCCCCC" w:sz="1"/>
              <w:bottom w:val="single" w:color="CCCCCC" w:sz="1"/>
              <w:right w:val="single" w:color="CCCCCC" w:sz="1"/>
            </w:tcBorders>
            <w:shd w:fill="5D3A00" w:val="clear"/>
            <w:tcMar>
              <w:top w:type="dxa" w:w="100"/>
              <w:left w:type="dxa" w:w="130"/>
              <w:bottom w:type="dxa" w:w="100"/>
              <w:right w:type="dxa" w:w="130"/>
            </w:tcMar>
          </w:tcPr>
          <w:p>
            <w:r>
              <w:rPr>
                <w:rFonts w:ascii="Arial" w:cs="Arial" w:eastAsia="Arial" w:hAnsi="Arial"/>
                <w:b/>
                <w:bCs/>
                <w:color w:val="FFFFFF"/>
                <w:sz w:val="20"/>
                <w:szCs w:val="20"/>
              </w:rPr>
              <w:t xml:space="preserve">Phase</w:t>
            </w:r>
          </w:p>
        </w:tc>
      </w:tr>
      <w:tr>
        <w:tc>
          <w:tcPr>
            <w:tcW w:type="dxa" w:w="2340"/>
            <w:tcBorders>
              <w:top w:val="single" w:color="CCCCCC" w:sz="1"/>
              <w:left w:val="single" w:color="CCCCCC" w:sz="1"/>
              <w:bottom w:val="single" w:color="CCCCCC" w:sz="1"/>
              <w:right w:val="single" w:color="CCCCCC" w:sz="1"/>
            </w:tcBorders>
            <w:shd w:fill="F5ECD7" w:val="clear"/>
            <w:tcMar>
              <w:top w:type="dxa" w:w="90"/>
              <w:left w:type="dxa" w:w="130"/>
              <w:bottom w:type="dxa" w:w="90"/>
              <w:right w:type="dxa" w:w="130"/>
            </w:tcMar>
          </w:tcPr>
          <w:p>
            <w:r>
              <w:rPr>
                <w:rFonts w:ascii="Arial" w:cs="Arial" w:eastAsia="Arial" w:hAnsi="Arial"/>
                <w:b/>
                <w:bCs/>
                <w:color w:val="7B5E00"/>
                <w:sz w:val="20"/>
                <w:szCs w:val="20"/>
              </w:rPr>
              <w:t xml:space="preserve">Python (pandas)</w:t>
            </w:r>
          </w:p>
        </w:tc>
        <w:tc>
          <w:tcPr>
            <w:tcW w:type="dxa" w:w="3500"/>
            <w:tcBorders>
              <w:top w:val="single" w:color="CCCCCC" w:sz="1"/>
              <w:left w:val="single" w:color="CCCCCC" w:sz="1"/>
              <w:bottom w:val="single" w:color="CCCCCC" w:sz="1"/>
              <w:right w:val="single" w:color="CCCCCC" w:sz="1"/>
            </w:tcBorders>
            <w:shd w:fill="F5ECD7" w:val="clear"/>
            <w:tcMar>
              <w:top w:type="dxa" w:w="90"/>
              <w:left w:type="dxa" w:w="130"/>
              <w:bottom w:type="dxa" w:w="90"/>
              <w:right w:type="dxa" w:w="130"/>
            </w:tcMar>
          </w:tcPr>
          <w:p>
            <w:r>
              <w:rPr>
                <w:rFonts w:ascii="Arial" w:cs="Arial" w:eastAsia="Arial" w:hAnsi="Arial"/>
                <w:color w:val="444444"/>
                <w:sz w:val="20"/>
                <w:szCs w:val="20"/>
              </w:rPr>
              <w:t xml:space="preserve">Data loading, cleaning, imputation, EDA</w:t>
            </w:r>
          </w:p>
        </w:tc>
        <w:tc>
          <w:tcPr>
            <w:tcW w:type="dxa" w:w="3520"/>
            <w:tcBorders>
              <w:top w:val="single" w:color="CCCCCC" w:sz="1"/>
              <w:left w:val="single" w:color="CCCCCC" w:sz="1"/>
              <w:bottom w:val="single" w:color="CCCCCC" w:sz="1"/>
              <w:right w:val="single" w:color="CCCCCC" w:sz="1"/>
            </w:tcBorders>
            <w:shd w:fill="F5ECD7" w:val="clear"/>
            <w:tcMar>
              <w:top w:type="dxa" w:w="90"/>
              <w:left w:type="dxa" w:w="130"/>
              <w:bottom w:type="dxa" w:w="90"/>
              <w:right w:type="dxa" w:w="130"/>
            </w:tcMar>
          </w:tcPr>
          <w:p>
            <w:r>
              <w:rPr>
                <w:rFonts w:ascii="Arial" w:cs="Arial" w:eastAsia="Arial" w:hAnsi="Arial"/>
                <w:color w:val="8B3A0F"/>
                <w:sz w:val="20"/>
                <w:szCs w:val="20"/>
              </w:rPr>
              <w:t xml:space="preserve">Phase 2</w:t>
            </w:r>
          </w:p>
        </w:tc>
      </w:tr>
      <w:tr>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7B5E00"/>
                <w:sz w:val="20"/>
                <w:szCs w:val="20"/>
              </w:rPr>
              <w:t xml:space="preserve">PostgreSQL</w:t>
            </w:r>
          </w:p>
        </w:tc>
        <w:tc>
          <w:tcPr>
            <w:tcW w:type="dxa" w:w="3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444444"/>
                <w:sz w:val="20"/>
                <w:szCs w:val="20"/>
              </w:rPr>
              <w:t xml:space="preserve">Business queries, segmentation, aggregation</w:t>
            </w:r>
          </w:p>
        </w:tc>
        <w:tc>
          <w:tcPr>
            <w:tcW w:type="dxa" w:w="35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8B3A0F"/>
                <w:sz w:val="20"/>
                <w:szCs w:val="20"/>
              </w:rPr>
              <w:t xml:space="preserve">Phase 3</w:t>
            </w:r>
          </w:p>
        </w:tc>
      </w:tr>
      <w:tr>
        <w:tc>
          <w:tcPr>
            <w:tcW w:type="dxa" w:w="2340"/>
            <w:tcBorders>
              <w:top w:val="single" w:color="CCCCCC" w:sz="1"/>
              <w:left w:val="single" w:color="CCCCCC" w:sz="1"/>
              <w:bottom w:val="single" w:color="CCCCCC" w:sz="1"/>
              <w:right w:val="single" w:color="CCCCCC" w:sz="1"/>
            </w:tcBorders>
            <w:shd w:fill="F5ECD7" w:val="clear"/>
            <w:tcMar>
              <w:top w:type="dxa" w:w="90"/>
              <w:left w:type="dxa" w:w="130"/>
              <w:bottom w:type="dxa" w:w="90"/>
              <w:right w:type="dxa" w:w="130"/>
            </w:tcMar>
          </w:tcPr>
          <w:p>
            <w:r>
              <w:rPr>
                <w:rFonts w:ascii="Arial" w:cs="Arial" w:eastAsia="Arial" w:hAnsi="Arial"/>
                <w:b/>
                <w:bCs/>
                <w:color w:val="7B5E00"/>
                <w:sz w:val="20"/>
                <w:szCs w:val="20"/>
              </w:rPr>
              <w:t xml:space="preserve">Power BI</w:t>
            </w:r>
          </w:p>
        </w:tc>
        <w:tc>
          <w:tcPr>
            <w:tcW w:type="dxa" w:w="3500"/>
            <w:tcBorders>
              <w:top w:val="single" w:color="CCCCCC" w:sz="1"/>
              <w:left w:val="single" w:color="CCCCCC" w:sz="1"/>
              <w:bottom w:val="single" w:color="CCCCCC" w:sz="1"/>
              <w:right w:val="single" w:color="CCCCCC" w:sz="1"/>
            </w:tcBorders>
            <w:shd w:fill="F5ECD7" w:val="clear"/>
            <w:tcMar>
              <w:top w:type="dxa" w:w="90"/>
              <w:left w:type="dxa" w:w="130"/>
              <w:bottom w:type="dxa" w:w="90"/>
              <w:right w:type="dxa" w:w="130"/>
            </w:tcMar>
          </w:tcPr>
          <w:p>
            <w:r>
              <w:rPr>
                <w:rFonts w:ascii="Arial" w:cs="Arial" w:eastAsia="Arial" w:hAnsi="Arial"/>
                <w:color w:val="444444"/>
                <w:sz w:val="20"/>
                <w:szCs w:val="20"/>
              </w:rPr>
              <w:t xml:space="preserve">Interactive dashboard, KPIs, slicers</w:t>
            </w:r>
          </w:p>
        </w:tc>
        <w:tc>
          <w:tcPr>
            <w:tcW w:type="dxa" w:w="3520"/>
            <w:tcBorders>
              <w:top w:val="single" w:color="CCCCCC" w:sz="1"/>
              <w:left w:val="single" w:color="CCCCCC" w:sz="1"/>
              <w:bottom w:val="single" w:color="CCCCCC" w:sz="1"/>
              <w:right w:val="single" w:color="CCCCCC" w:sz="1"/>
            </w:tcBorders>
            <w:shd w:fill="F5ECD7" w:val="clear"/>
            <w:tcMar>
              <w:top w:type="dxa" w:w="90"/>
              <w:left w:type="dxa" w:w="130"/>
              <w:bottom w:type="dxa" w:w="90"/>
              <w:right w:type="dxa" w:w="130"/>
            </w:tcMar>
          </w:tcPr>
          <w:p>
            <w:r>
              <w:rPr>
                <w:rFonts w:ascii="Arial" w:cs="Arial" w:eastAsia="Arial" w:hAnsi="Arial"/>
                <w:color w:val="8B3A0F"/>
                <w:sz w:val="20"/>
                <w:szCs w:val="20"/>
              </w:rPr>
              <w:t xml:space="preserve">Phase 4</w:t>
            </w:r>
          </w:p>
        </w:tc>
      </w:tr>
      <w:tr>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7B5E00"/>
                <w:sz w:val="20"/>
                <w:szCs w:val="20"/>
              </w:rPr>
              <w:t xml:space="preserve">Gamma AI</w:t>
            </w:r>
          </w:p>
        </w:tc>
        <w:tc>
          <w:tcPr>
            <w:tcW w:type="dxa" w:w="3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444444"/>
                <w:sz w:val="20"/>
                <w:szCs w:val="20"/>
              </w:rPr>
              <w:t xml:space="preserve">Stakeholder presentation deck generation</w:t>
            </w:r>
          </w:p>
        </w:tc>
        <w:tc>
          <w:tcPr>
            <w:tcW w:type="dxa" w:w="35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8B3A0F"/>
                <w:sz w:val="20"/>
                <w:szCs w:val="20"/>
              </w:rPr>
              <w:t xml:space="preserve">Phase 5</w:t>
            </w:r>
          </w:p>
        </w:tc>
      </w:tr>
      <w:tr>
        <w:tc>
          <w:tcPr>
            <w:tcW w:type="dxa" w:w="2340"/>
            <w:tcBorders>
              <w:top w:val="single" w:color="CCCCCC" w:sz="1"/>
              <w:left w:val="single" w:color="CCCCCC" w:sz="1"/>
              <w:bottom w:val="single" w:color="CCCCCC" w:sz="1"/>
              <w:right w:val="single" w:color="CCCCCC" w:sz="1"/>
            </w:tcBorders>
            <w:shd w:fill="F5ECD7" w:val="clear"/>
            <w:tcMar>
              <w:top w:type="dxa" w:w="90"/>
              <w:left w:type="dxa" w:w="130"/>
              <w:bottom w:type="dxa" w:w="90"/>
              <w:right w:type="dxa" w:w="130"/>
            </w:tcMar>
          </w:tcPr>
          <w:p>
            <w:r>
              <w:rPr>
                <w:rFonts w:ascii="Arial" w:cs="Arial" w:eastAsia="Arial" w:hAnsi="Arial"/>
                <w:b/>
                <w:bCs/>
                <w:color w:val="7B5E00"/>
                <w:sz w:val="20"/>
                <w:szCs w:val="20"/>
              </w:rPr>
              <w:t xml:space="preserve">GitHub</w:t>
            </w:r>
          </w:p>
        </w:tc>
        <w:tc>
          <w:tcPr>
            <w:tcW w:type="dxa" w:w="3500"/>
            <w:tcBorders>
              <w:top w:val="single" w:color="CCCCCC" w:sz="1"/>
              <w:left w:val="single" w:color="CCCCCC" w:sz="1"/>
              <w:bottom w:val="single" w:color="CCCCCC" w:sz="1"/>
              <w:right w:val="single" w:color="CCCCCC" w:sz="1"/>
            </w:tcBorders>
            <w:shd w:fill="F5ECD7" w:val="clear"/>
            <w:tcMar>
              <w:top w:type="dxa" w:w="90"/>
              <w:left w:type="dxa" w:w="130"/>
              <w:bottom w:type="dxa" w:w="90"/>
              <w:right w:type="dxa" w:w="130"/>
            </w:tcMar>
          </w:tcPr>
          <w:p>
            <w:r>
              <w:rPr>
                <w:rFonts w:ascii="Arial" w:cs="Arial" w:eastAsia="Arial" w:hAnsi="Arial"/>
                <w:color w:val="444444"/>
                <w:sz w:val="20"/>
                <w:szCs w:val="20"/>
              </w:rPr>
              <w:t xml:space="preserve">Project version control and public portfolio</w:t>
            </w:r>
          </w:p>
        </w:tc>
        <w:tc>
          <w:tcPr>
            <w:tcW w:type="dxa" w:w="3520"/>
            <w:tcBorders>
              <w:top w:val="single" w:color="CCCCCC" w:sz="1"/>
              <w:left w:val="single" w:color="CCCCCC" w:sz="1"/>
              <w:bottom w:val="single" w:color="CCCCCC" w:sz="1"/>
              <w:right w:val="single" w:color="CCCCCC" w:sz="1"/>
            </w:tcBorders>
            <w:shd w:fill="F5ECD7" w:val="clear"/>
            <w:tcMar>
              <w:top w:type="dxa" w:w="90"/>
              <w:left w:type="dxa" w:w="130"/>
              <w:bottom w:type="dxa" w:w="90"/>
              <w:right w:type="dxa" w:w="130"/>
            </w:tcMar>
          </w:tcPr>
          <w:p>
            <w:r>
              <w:rPr>
                <w:rFonts w:ascii="Arial" w:cs="Arial" w:eastAsia="Arial" w:hAnsi="Arial"/>
                <w:color w:val="8B3A0F"/>
                <w:sz w:val="20"/>
                <w:szCs w:val="20"/>
              </w:rPr>
              <w:t xml:space="preserve">Phase 6</w:t>
            </w:r>
          </w:p>
        </w:tc>
      </w:tr>
      <w:tr>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7B5E00"/>
                <w:sz w:val="20"/>
                <w:szCs w:val="20"/>
              </w:rPr>
              <w:t xml:space="preserve">LinkedIn</w:t>
            </w:r>
          </w:p>
        </w:tc>
        <w:tc>
          <w:tcPr>
            <w:tcW w:type="dxa" w:w="3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444444"/>
                <w:sz w:val="20"/>
                <w:szCs w:val="20"/>
              </w:rPr>
              <w:t xml:space="preserve">Professional visibility and employer outreach</w:t>
            </w:r>
          </w:p>
        </w:tc>
        <w:tc>
          <w:tcPr>
            <w:tcW w:type="dxa" w:w="35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8B3A0F"/>
                <w:sz w:val="20"/>
                <w:szCs w:val="20"/>
              </w:rPr>
              <w:t xml:space="preserve">Phase 6</w:t>
            </w:r>
          </w:p>
        </w:tc>
      </w:tr>
    </w:tbl>
    <w:p>
      <w:pPr>
        <w:pStyle w:val="Heading1"/>
        <w:pBdr>
          <w:bottom w:val="single" w:color="A67C00" w:sz="8" w:space="6"/>
        </w:pBdr>
        <w:spacing w:after="140" w:before="400"/>
      </w:pPr>
      <w:r>
        <w:rPr>
          <w:rFonts w:ascii="Arial" w:cs="Arial" w:eastAsia="Arial" w:hAnsi="Arial"/>
          <w:b/>
          <w:bCs/>
          <w:color w:val="5D3A00"/>
          <w:sz w:val="34"/>
          <w:szCs w:val="34"/>
        </w:rPr>
        <w:t xml:space="preserve">6. Recommendations</w:t>
      </w:r>
    </w:p>
    <w:p>
      <w:pPr>
        <w:pStyle w:val="Heading2"/>
        <w:spacing w:after="100" w:before="260"/>
      </w:pPr>
      <w:r>
        <w:rPr>
          <w:rFonts w:ascii="Arial" w:cs="Arial" w:eastAsia="Arial" w:hAnsi="Arial"/>
          <w:b/>
          <w:bCs/>
          <w:color w:val="7B5E00"/>
          <w:sz w:val="26"/>
          <w:szCs w:val="26"/>
        </w:rPr>
        <w:t xml:space="preserve">6.1 Immediate Actions</w:t>
      </w:r>
    </w:p>
    <w:p>
      <w:pPr>
        <w:pStyle w:val="ListParagraph"/>
        <w:numPr>
          <w:ilvl w:val="0"/>
          <w:numId w:val="2"/>
        </w:numPr>
        <w:spacing w:after="60" w:before="60"/>
      </w:pPr>
      <w:r>
        <w:rPr>
          <w:rFonts w:ascii="Arial" w:cs="Arial" w:eastAsia="Arial" w:hAnsi="Arial"/>
          <w:color w:val="444444"/>
          <w:sz w:val="22"/>
          <w:szCs w:val="22"/>
        </w:rPr>
        <w:t xml:space="preserve">Launch a subscription conversion campaign targeting the 73% non-subscribed customer base with incentives such as discounts, early access, or complimentary shipping upgrades.</w:t>
      </w:r>
    </w:p>
    <w:p>
      <w:pPr>
        <w:pStyle w:val="ListParagraph"/>
        <w:numPr>
          <w:ilvl w:val="0"/>
          <w:numId w:val="2"/>
        </w:numPr>
        <w:spacing w:after="60" w:before="60"/>
      </w:pPr>
      <w:r>
        <w:rPr>
          <w:rFonts w:ascii="Arial" w:cs="Arial" w:eastAsia="Arial" w:hAnsi="Arial"/>
          <w:color w:val="444444"/>
          <w:sz w:val="22"/>
          <w:szCs w:val="22"/>
        </w:rPr>
        <w:t xml:space="preserve">Investigate Outerwear underperformance through customer surveys, competitive pricing benchmarking, and seasonal demand analysis.</w:t>
      </w:r>
    </w:p>
    <w:p>
      <w:pPr>
        <w:pStyle w:val="ListParagraph"/>
        <w:numPr>
          <w:ilvl w:val="0"/>
          <w:numId w:val="2"/>
        </w:numPr>
        <w:spacing w:after="60" w:before="60"/>
      </w:pPr>
      <w:r>
        <w:rPr>
          <w:rFonts w:ascii="Arial" w:cs="Arial" w:eastAsia="Arial" w:hAnsi="Arial"/>
          <w:color w:val="444444"/>
          <w:sz w:val="22"/>
          <w:szCs w:val="22"/>
        </w:rPr>
        <w:t xml:space="preserve">Improve post-purchase touchpoints — follow-up emails, loyalty rewards, and review prompts — to drive the average review rating above 4.0.</w:t>
      </w:r>
    </w:p>
    <w:p>
      <w:pPr>
        <w:pStyle w:val="Heading2"/>
        <w:spacing w:after="100" w:before="260"/>
      </w:pPr>
      <w:r>
        <w:rPr>
          <w:rFonts w:ascii="Arial" w:cs="Arial" w:eastAsia="Arial" w:hAnsi="Arial"/>
          <w:b/>
          <w:bCs/>
          <w:color w:val="7B5E00"/>
          <w:sz w:val="26"/>
          <w:szCs w:val="26"/>
        </w:rPr>
        <w:t xml:space="preserve">6.2 Strategic Initiatives</w:t>
      </w:r>
    </w:p>
    <w:p>
      <w:pPr>
        <w:pStyle w:val="ListParagraph"/>
        <w:numPr>
          <w:ilvl w:val="0"/>
          <w:numId w:val="2"/>
        </w:numPr>
        <w:spacing w:after="60" w:before="60"/>
      </w:pPr>
      <w:r>
        <w:rPr>
          <w:rFonts w:ascii="Arial" w:cs="Arial" w:eastAsia="Arial" w:hAnsi="Arial"/>
          <w:color w:val="444444"/>
          <w:sz w:val="22"/>
          <w:szCs w:val="22"/>
        </w:rPr>
        <w:t xml:space="preserve">Develop age-specific marketing funnels with tailored messaging for Young Adults (digital-first, social channels) vs. Seniors (trust-focused, email and in-store).</w:t>
      </w:r>
    </w:p>
    <w:p>
      <w:pPr>
        <w:pStyle w:val="ListParagraph"/>
        <w:numPr>
          <w:ilvl w:val="0"/>
          <w:numId w:val="2"/>
        </w:numPr>
        <w:spacing w:after="60" w:before="60"/>
      </w:pPr>
      <w:r>
        <w:rPr>
          <w:rFonts w:ascii="Arial" w:cs="Arial" w:eastAsia="Arial" w:hAnsi="Arial"/>
          <w:color w:val="444444"/>
          <w:sz w:val="22"/>
          <w:szCs w:val="22"/>
        </w:rPr>
        <w:t xml:space="preserve">Expand Accessories category reach through upsell and cross-sell bundles alongside high-volume Clothing purchases.</w:t>
      </w:r>
    </w:p>
    <w:p>
      <w:pPr>
        <w:pStyle w:val="ListParagraph"/>
        <w:numPr>
          <w:ilvl w:val="0"/>
          <w:numId w:val="2"/>
        </w:numPr>
        <w:spacing w:after="60" w:before="60"/>
      </w:pPr>
      <w:r>
        <w:rPr>
          <w:rFonts w:ascii="Arial" w:cs="Arial" w:eastAsia="Arial" w:hAnsi="Arial"/>
          <w:color w:val="444444"/>
          <w:sz w:val="22"/>
          <w:szCs w:val="22"/>
        </w:rPr>
        <w:t xml:space="preserve">Use shipping preference data to negotiate better carrier rates and personalize delivery options to increase conversion and satisfaction.</w:t>
      </w:r>
    </w:p>
    <w:p>
      <w:pPr>
        <w:pStyle w:val="Heading2"/>
        <w:spacing w:after="100" w:before="260"/>
      </w:pPr>
      <w:r>
        <w:rPr>
          <w:rFonts w:ascii="Arial" w:cs="Arial" w:eastAsia="Arial" w:hAnsi="Arial"/>
          <w:b/>
          <w:bCs/>
          <w:color w:val="7B5E00"/>
          <w:sz w:val="26"/>
          <w:szCs w:val="26"/>
        </w:rPr>
        <w:t xml:space="preserve">6.3 Analytical Next Steps</w:t>
      </w:r>
    </w:p>
    <w:p>
      <w:pPr>
        <w:pStyle w:val="ListParagraph"/>
        <w:numPr>
          <w:ilvl w:val="0"/>
          <w:numId w:val="2"/>
        </w:numPr>
        <w:spacing w:after="60" w:before="60"/>
      </w:pPr>
      <w:r>
        <w:rPr>
          <w:rFonts w:ascii="Arial" w:cs="Arial" w:eastAsia="Arial" w:hAnsi="Arial"/>
          <w:color w:val="444444"/>
          <w:sz w:val="22"/>
          <w:szCs w:val="22"/>
        </w:rPr>
        <w:t xml:space="preserve">Build a customer churn prediction model using historical purchase recency, frequency, and monetary (RFM) data.</w:t>
      </w:r>
    </w:p>
    <w:p>
      <w:pPr>
        <w:pStyle w:val="ListParagraph"/>
        <w:numPr>
          <w:ilvl w:val="0"/>
          <w:numId w:val="2"/>
        </w:numPr>
        <w:spacing w:after="60" w:before="60"/>
      </w:pPr>
      <w:r>
        <w:rPr>
          <w:rFonts w:ascii="Arial" w:cs="Arial" w:eastAsia="Arial" w:hAnsi="Arial"/>
          <w:color w:val="444444"/>
          <w:sz w:val="22"/>
          <w:szCs w:val="22"/>
        </w:rPr>
        <w:t xml:space="preserve">Develop cohort analysis to track retention over time segmented by subscription status and age group.</w:t>
      </w:r>
    </w:p>
    <w:p>
      <w:pPr>
        <w:pStyle w:val="ListParagraph"/>
        <w:numPr>
          <w:ilvl w:val="0"/>
          <w:numId w:val="2"/>
        </w:numPr>
        <w:spacing w:after="60" w:before="60"/>
      </w:pPr>
      <w:r>
        <w:rPr>
          <w:rFonts w:ascii="Arial" w:cs="Arial" w:eastAsia="Arial" w:hAnsi="Arial"/>
          <w:color w:val="444444"/>
          <w:sz w:val="22"/>
          <w:szCs w:val="22"/>
        </w:rPr>
        <w:t xml:space="preserve">Integrate external data sources — seasonality indices, promotional calendars, economic indicators — to add predictive depth to the Power BI dashboard.</w:t>
      </w:r>
    </w:p>
    <w:p>
      <w:pPr>
        <w:pStyle w:val="Heading1"/>
        <w:pBdr>
          <w:bottom w:val="single" w:color="A67C00" w:sz="8" w:space="6"/>
        </w:pBdr>
        <w:spacing w:after="140" w:before="400"/>
      </w:pPr>
      <w:r>
        <w:rPr>
          <w:rFonts w:ascii="Arial" w:cs="Arial" w:eastAsia="Arial" w:hAnsi="Arial"/>
          <w:b/>
          <w:bCs/>
          <w:color w:val="5D3A00"/>
          <w:sz w:val="34"/>
          <w:szCs w:val="34"/>
        </w:rPr>
        <w:t xml:space="preserve">7. Conclusion</w:t>
      </w:r>
    </w:p>
    <w:p>
      <w:pPr>
        <w:spacing w:after="80" w:before="80"/>
        <w:jc w:val="both"/>
      </w:pPr>
      <w:r>
        <w:rPr>
          <w:rFonts w:ascii="Arial" w:cs="Arial" w:eastAsia="Arial" w:hAnsi="Arial"/>
          <w:color w:val="444444"/>
          <w:sz w:val="22"/>
          <w:szCs w:val="22"/>
        </w:rPr>
        <w:t xml:space="preserve">This project demonstrates a professional, end-to-end data analytics workflow applicable to real-world business environments. Starting from a raw dataset, the analysis progressed through rigorous data cleaning, SQL-based business intelligence, interactive visualization, and formal stakeholder reporting — culminating in a deployable portfolio piece.</w:t>
      </w:r>
    </w:p>
    <w:p>
      <w:pPr>
        <w:spacing w:after="100" w:before="100"/>
      </w:pPr>
      <w:r>
        <w:t xml:space="preserve"/>
      </w:r>
    </w:p>
    <w:p>
      <w:pPr>
        <w:spacing w:after="80" w:before="80"/>
        <w:jc w:val="both"/>
      </w:pPr>
      <w:r>
        <w:rPr>
          <w:rFonts w:ascii="Arial" w:cs="Arial" w:eastAsia="Arial" w:hAnsi="Arial"/>
          <w:color w:val="444444"/>
          <w:sz w:val="22"/>
          <w:szCs w:val="22"/>
        </w:rPr>
        <w:t xml:space="preserve">The Customer Behavior Dashboard provides a clear, actionable view of 3,900 customers, revealing that Clothing drives the highest commercial value, Young Adults represent the top customer segment, and a significant loyalty opportunity exists with 73% of customers yet to subscribe. Each of these findings translates directly into strategic business opportunities the organization can act on immediately.</w:t>
      </w:r>
    </w:p>
    <w:p>
      <w:pPr>
        <w:spacing w:after="100" w:before="100"/>
      </w:pPr>
      <w:r>
        <w:t xml:space="preserve"/>
      </w:r>
    </w:p>
    <w:p>
      <w:pPr>
        <w:spacing w:after="80" w:before="80"/>
        <w:jc w:val="both"/>
      </w:pPr>
      <w:r>
        <w:rPr>
          <w:rFonts w:ascii="Arial" w:cs="Arial" w:eastAsia="Arial" w:hAnsi="Arial"/>
          <w:color w:val="444444"/>
          <w:sz w:val="22"/>
          <w:szCs w:val="22"/>
        </w:rPr>
        <w:t xml:space="preserve">By combining technical rigor with business storytelling, this project showcases the core competencies of a modern data analyst — the ability to extract meaning from complex data and communicate it in a way that drives real decisions.</w:t>
      </w:r>
    </w:p>
    <w:p>
      <w:pPr>
        <w:spacing w:after="100" w:before="100"/>
      </w:pPr>
      <w:r>
        <w:t xml:space="preserve"/>
      </w:r>
    </w:p>
    <w:p>
      <w:pPr>
        <w:spacing w:after="100" w:before="100"/>
      </w:pPr>
      <w:r>
        <w:t xml:space="preserve"/>
      </w:r>
    </w:p>
    <w:p>
      <w:pPr>
        <w:pBdr>
          <w:top w:val="single" w:color="A67C00" w:sz="6" w:space="6"/>
        </w:pBdr>
        <w:spacing w:after="80" w:before="200"/>
        <w:jc w:val="center"/>
      </w:pPr>
      <w:r>
        <w:rPr>
          <w:rFonts w:ascii="Arial" w:cs="Arial" w:eastAsia="Arial" w:hAnsi="Arial"/>
          <w:i/>
          <w:iCs/>
          <w:color w:val="7B5E00"/>
          <w:sz w:val="20"/>
          <w:szCs w:val="20"/>
        </w:rPr>
        <w:t xml:space="preserve">— End of Report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67C00" w:sz="6" w:space="4"/>
      </w:pBdr>
      <w:tabs>
        <w:tab w:val="right" w:pos="9026"/>
      </w:tabs>
      <w:spacing w:before="120"/>
    </w:pPr>
    <w:r>
      <w:rPr>
        <w:rFonts w:ascii="Arial" w:cs="Arial" w:eastAsia="Arial" w:hAnsi="Arial"/>
        <w:color w:val="444444"/>
        <w:sz w:val="18"/>
        <w:szCs w:val="18"/>
      </w:rPr>
      <w:t xml:space="preserve">Confidential  |  Data Analytics Portfolio Project</w:t>
    </w:r>
    <w:r>
      <w:rPr>
        <w:rFonts w:ascii="Arial" w:cs="Arial" w:eastAsia="Arial" w:hAnsi="Arial"/>
        <w:color w:val="444444"/>
        <w:sz w:val="18"/>
        <w:szCs w:val="18"/>
      </w:rPr>
      <w:t xml:space="preserve">	Page </w:t>
    </w:r>
    <w:r>
      <w:rPr>
        <w:rFonts w:ascii="Arial" w:cs="Arial" w:eastAsia="Arial" w:hAnsi="Arial"/>
        <w:color w:val="44444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7C00" w:sz="6" w:space="4"/>
      </w:pBdr>
      <w:spacing w:after="120"/>
    </w:pPr>
    <w:r>
      <w:rPr>
        <w:rFonts w:ascii="Arial" w:cs="Arial" w:eastAsia="Arial" w:hAnsi="Arial"/>
        <w:i/>
        <w:iCs/>
        <w:color w:val="7B5E00"/>
        <w:sz w:val="18"/>
        <w:szCs w:val="18"/>
      </w:rPr>
      <w:t xml:space="preserve">Customer Behavior Analysis Project  |  End-to-End Data Analytics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5D3A00"/>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7B5E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2026-04-16T07:29:40.569Z</dcterms:created>
  <dcterms:modified xsi:type="dcterms:W3CDTF">2026-04-16T07:29:40.570Z</dcterms:modified>
</cp:coreProperties>
</file>

<file path=docProps/custom.xml><?xml version="1.0" encoding="utf-8"?>
<Properties xmlns="http://schemas.openxmlformats.org/officeDocument/2006/custom-properties" xmlns:vt="http://schemas.openxmlformats.org/officeDocument/2006/docPropsVTypes"/>
</file>