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 The Live TV player choice and the Live latency preset are overridable per playlist too (sources.liveEnginePreference / liveLatencyMode, null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 On movies and episodes playing in ExoPlayer, that recovery releases the old decoder, recreates the video surface, and resumes at the same position in ExoPlayer instead of mistaking the audio change for a video failure and switching to mpv. A saved-position Home launch is supplied to ExoPlayer before its first prepare, preventing an immediate seek from tearing down a working E-AC3 output and falsely triggering the Auto stereo/mpv fallback on TCL/Realtek TVs.</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 Android TV's own Match content frame rate preference (API 31+) is honoured above the app's toggle: Never leaves the display untouched and silences the suggestion, Seamless only restricts OwnTV to modes the panel can reach without an HDMI re-handshake.</w:t>
      </w:r>
    </w:p>
    <w:p>
      <w:pPr>
        <w:pStyle w:val="ListBullet"/>
      </w:pPr>
      <w:r>
        <w:rPr>
          <w:rFonts w:ascii="Cambria" w:hAnsi="Cambria"/>
          <w:sz w:val="22"/>
        </w:rPr>
        <w:t>A/V sync nudge - per-item audio delay adjustment in 25 ms steps for badly-muxed files or a provider that mis-times its audio, optionally remembered for that channel/film/episode (playback_prefs.audioDelayMs, per profile).</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Dedicated CH+/CH− always switch channels throughout a Live TV or catch-up player session, including while controls are visible or playback is starting; D-pad Up/Down (controls hidden) and media ⏮/⏭ also switch channels, with wraparound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pPr>
        <w:pStyle w:val="ListBullet"/>
      </w:pPr>
      <w:r>
        <w:rPr>
          <w:rFonts w:ascii="Cambria" w:hAnsi="Cambria"/>
          <w:sz w:val="22"/>
        </w:rPr>
        <w:t>Size and position are set in one popup on Settings &gt; Video player (six-cell position grid laid out like the screen); no separate Mini player sub-screen.</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 - switchable off in Settings - Home screen - Keep Watching, and off by default on a low-RAM device</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 Trailers stay full screen inside OwnTV; the embedded YouTube surface disables its extra controls, captions, annotations and related-video UI, while OwnTV throttles progress updates to once per second for smoother playback on lower-memory TVs.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Episode Grid/List toggle inside a show: a wall of 16:9 episode stills instead of text rows, stored globally and defaulting to List. Episodes TMDB cannot match fall back to the show backdrop (then poster) with the episode number drawn large, so the grid stays navigable; Provider-only mode renders every tile that way and makes no lookups. A whole show arrives in one request via TMDB append_to_response season bundling (blocks of 10, cached per season), which is what makes a per-episode picture wall affordable at all.</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 When two or more sources are active for a section, compact provider labels identify categories and items throughout Live TV, Movies, Series, Guide and the full-screen Live channel/history overlays; single-source layouts remain unchanged.</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filter either level to All, Visible or Hidden; page both levels with configurable Remote Shortcut actions (shipped default: CH+/Rewind toward first, CH−/Fast-forward toward last);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t>The order of those context menus is user-arrangeable: Settings → Layout → Long-press menus lets each of the four menus (channel, movie, series, episode) be reordered by holding OK on an action and moving it, saved per menu and merge-tolerant across updates. Reopening an editor waits for the stored value and mirrors the live popup instead of showing the shipped order.</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Live TV on Favorites, or a searchable Specific channel picker. A single unlocked profile can auto-play immediately; multiple or PIN-locked profiles wait for selection/authentication. Startup channels resolve by provider remote ID, then name, then local row ID; hidden, Kids-restricted, disconnected or missing channels fall back safely to Home.</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 opened with the current time around 37.5% across the timeline and two recent hours loaded immediately. The amber NOW badge and fading row marker refresh every 30 seconds without reopening Guide. Entering a programme row preserves that timeline position and scrolls only when the highlighted programme reaches a viewport edge.</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pPr>
        <w:pStyle w:val="ListBullet"/>
      </w:pPr>
      <w:r>
        <w:rPr>
          <w:rFonts w:ascii="Cambria" w:hAnsi="Cambria"/>
          <w:sz w:val="22"/>
        </w:rPr>
        <w:t>Guide channels and category choices carry provider labels when multiple Live sources are active. Settings → Layout → Guide Column Widths adjusts the pinned channel list and scrollable EPG timeline as two 10-90% shares that must total 100%.</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continues down the guide - a finished programme plays on to the next one, and hands over to the live stream once the next programme is the one currently on air; a gap over three hours ends it. Governed by the existing Auto-play next setting.</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 hides adult provider categories/items across Live, Movies, Series, Home, Search, Guide, Catch-up, Downloads, custom categories, launcher recommendations and direct playback; the Guide itself is hidden. TMDB adult results are excluded only for Kids profiles. Detection uses multilingual category-name markers such as 18+ and XXX, with an Adult Swim exception; uncategorized or misleading provider content cannot be classified reliably.</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pStyle w:val="ListBullet"/>
      </w:pPr>
      <w:r>
        <w:t>Settings is a spine and a sheet. The left spine lists Quick plus the nine section headings (Profile, Sources &amp; guide, Appearance, Layout &amp; navigation, Content &amp; metadata, Playback, Network, Data &amp; backup, App), each with its icon and row count, the selected one carrying an accent bar on its leading edge; only that section's rows compose on the right, inside one sheet headed by the section name and a one-line summary, with values right-aligned into a fixed column and a chevron only on rows that open another screen. Moving Up/Down selects a section, Right enters its rows, Left returns to the section it came from. Returning from a sub-screen reselects that row's section and restores focus to the exact row. Both columns scroll, so no row is unreachable at high UI zoom.</w:t>
      </w:r>
    </w:p>
    <w:p>
      <w:pPr>
        <w:pStyle w:val="ListBullet"/>
      </w:pPr>
      <w:r>
        <w:t>Quick is the first spine section, holding the most-used toggles as ordinary rows that flip in place, so the header is a single line: the title, and search collapsed to a pill that opens into the field on OK. A non-blank query replaces both panes with flat results, each prefixed by the section it belongs to.</w:t>
      </w:r>
    </w:p>
    <w:p>
      <w:pPr>
        <w:pStyle w:val="ListBullet"/>
      </w:pPr>
      <w:r>
        <w:t>Each row carries an icon tile in one of three tones, and a sub-screen's rows inherit the tone of the root row that opened it, so a section does not change colour when entered.</w:t>
      </w:r>
    </w:p>
    <w:p>
      <w:pPr>
        <w:pStyle w:val="ListBullet"/>
      </w:pPr>
      <w:r>
        <w:t>A Now Playing item appears at the top of the navigation rail while a mini player or an audio session is alive. It is not a section: OK moves D-pad focus into that window, which floats above the content panel and is otherwise unreachable by spatial focus search. Long-press BACK does the same from anywhere and returns focus to its origin, and the remote's transport keys act on the docked window without navigating to it.</w:t>
      </w:r>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Focus highlight — the ring around the focused item is user-chosen: colour by preset, palette or exact hex code, plus four thicknesses (Thin, Normal, Thick, Extra thick). Applied app-wide in both the solid and Glass materials, with the glow scaling to the chosen width; independent of the accent, so a loud cursor does not repaint the interface.</w:t>
      </w:r>
    </w:p>
    <w:p>
      <w:pPr>
        <w:pStyle w:val="ListBullet"/>
      </w:pPr>
      <w:r>
        <w:rPr>
          <w:rFonts w:ascii="Cambria" w:hAnsi="Cambria"/>
          <w:sz w:val="22"/>
        </w:rPr>
        <w:t>UI zoom</w:t>
      </w:r>
    </w:p>
    <w:p>
      <w:pPr>
        <w:pStyle w:val="ListBullet"/>
      </w:pPr>
      <w:r>
        <w:t>UI text scale and font customization — main-app text 60% to 140% and popup text 50% to 120%, independently, in 5% steps; separate main-interface and popup font choices: System Sans, Monospace, Lora, Playfair Display, Dancing Script and Poppins. A separate Popup size control scales dialog/menu geometry from 50% to 120% without changing text size; large text scrolls within the panel. Apply saves, Reset restores the font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 Guide Column Widths independently splits the pinned channel list and EPG timeline from 10% to 90% in 5% steps, also requiring an exact 100% total; Off restores the standard 10% / 90% split without discarding saved values.</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configured on a dedicated Settings page with a compact live preview and controls hidden while Glass is off. It retains Ultra Clear, Clear, Balanced, Tinted, Opaque and Custom presets; 20-100% tint; ten real frost levels; Highlight strength; adaptive readability; optional depth/parallax; local or remote wallpaper; and inline per-surface controls for Panels, Sidebar, Preview, Dialogs, Top bar, Cards and Mini player. All reflects the complete selection and always enables every surface; Reset to Balanced restores the default highlight, depth and full surface set.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pPr>
        <w:pStyle w:val="ListBullet"/>
      </w:pPr>
      <w:r>
        <w:t>Remote Shortcuts replaces the fixed CH+/RW · CH−/FF paging page: short and long presses of spare colour, number, channel and media keys can be assigned independently to 25 navigation, browsing and playback actions. The shipped paging assignments and per-direction skip counts remain the default; essential navigation keys and long-press Back are protected, fullscreen number entry keeps channel priority, and assignments persist through Backup &amp; Restore. Physical-key icons, localized short/long badges and coloured keycaps make the list readable across different remotes.</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 plus Reset saved audio sync for the per-item ones</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Pre-buffer live streams and the Live TV player choice, each with a per-playlist override</w:t>
      </w:r>
    </w:p>
    <w:p>
      <w:pPr>
        <w:pStyle w:val="ListBullet"/>
      </w:pPr>
      <w:r>
        <w:rPr>
          <w:rFonts w:ascii="Cambria" w:hAnsi="Cambria"/>
          <w:sz w:val="22"/>
        </w:rPr>
        <w:t>Give up on a channel after (15 / 30 / 60 s / Never, default 30 s) - a ceiling on the whole tune, so the fallback ladder cannot spend a minute and a half of black screen on a channel the provider has removed. Provider-requested back-off waits are not charged against it.</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pPr>
        <w:pStyle w:val="ListBullet"/>
      </w:pPr>
      <w:r>
        <w:rPr>
          <w:rFonts w:ascii="Cambria" w:hAnsi="Cambria"/>
          <w:sz w:val="22"/>
        </w:rPr>
        <w:t>Video Player is the complete playback list - HDR, Auto frame rate, Surround sound, Auto-play next, Live preview, Preview sound and Mini player were moved here from the Settings root, so no playback setting lives on two screens. The root keeps Video Player and the Playback error log; the quick-toggle chip row above the settings list still covers the most-used switches, and Settings search names the full path (Playback &gt; Video player &gt; HDR).</w:t>
      </w:r>
    </w:p>
    <w:p>
      <w:pPr>
        <w:pStyle w:val="ListBullet"/>
      </w:pPr>
      <w:r>
        <w:rPr>
          <w:rFonts w:ascii="Cambria" w:hAnsi="Cambria"/>
          <w:sz w:val="22"/>
        </w:rPr>
        <w:t>Subtitle size is stored per engine (mpv and the Media3 SubtitleView render the same multiplier at visibly different sizes); both keys fall back to the legacy single value so an upgrade changes nothing until the user moves one of them.</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and Specific channel startup target, both global player choices, Quick pinned rows/order, and all four long-press menu arrangements.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another device (phone, tablet or PC):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OpenSubtitles sign-in is a single panel rather than a chain of popups: a Remote/Enter-here chooser, then one form carrying username, password, Stay signed in, and the optional API key and Worker/server URL inline. The remote companion page mirrors the same four inputs, so credentials can be handed over from any browser on the LAN. The standalone Advanced options row appears only while signed in.</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