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7E59" w14:textId="372B7361" w:rsidR="00917458" w:rsidRPr="00D408E4" w:rsidRDefault="00000000" w:rsidP="004040B2">
      <w:pPr>
        <w:spacing w:after="60"/>
        <w:rPr>
          <w:sz w:val="22"/>
        </w:rPr>
      </w:pPr>
      <w:r w:rsidRPr="00D408E4">
        <w:rPr>
          <w:b/>
          <w:sz w:val="22"/>
        </w:rPr>
        <w:t>Table 1. Functional evidence supporting the 13 curated Gli3 limb enhancers analyzed in this study</w:t>
      </w:r>
    </w:p>
    <w:tbl>
      <w:tblPr>
        <w:tblW w:w="14537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1728"/>
        <w:gridCol w:w="5501"/>
        <w:gridCol w:w="2790"/>
        <w:gridCol w:w="3150"/>
      </w:tblGrid>
      <w:tr w:rsidR="00917458" w14:paraId="2795CDB4" w14:textId="77777777" w:rsidTr="004040B2">
        <w:trPr>
          <w:tblHeader/>
          <w:jc w:val="center"/>
        </w:trPr>
        <w:tc>
          <w:tcPr>
            <w:tcW w:w="1368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850D53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>Enhancer</w:t>
            </w:r>
          </w:p>
        </w:tc>
        <w:tc>
          <w:tcPr>
            <w:tcW w:w="1728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5CFFB3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>Location relative to Gli3</w:t>
            </w:r>
          </w:p>
        </w:tc>
        <w:tc>
          <w:tcPr>
            <w:tcW w:w="5501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CA21A2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 xml:space="preserve">Reported </w:t>
            </w:r>
            <w:proofErr w:type="gramStart"/>
            <w:r w:rsidRPr="004040B2">
              <w:rPr>
                <w:b/>
                <w:sz w:val="20"/>
                <w:szCs w:val="20"/>
              </w:rPr>
              <w:t>in</w:t>
            </w:r>
            <w:proofErr w:type="gramEnd"/>
            <w:r w:rsidRPr="004040B2">
              <w:rPr>
                <w:b/>
                <w:sz w:val="20"/>
                <w:szCs w:val="20"/>
              </w:rPr>
              <w:t xml:space="preserve"> vivo limb / appendage activity</w:t>
            </w:r>
          </w:p>
        </w:tc>
        <w:tc>
          <w:tcPr>
            <w:tcW w:w="2790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79391E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>Evidence basis</w:t>
            </w:r>
          </w:p>
        </w:tc>
        <w:tc>
          <w:tcPr>
            <w:tcW w:w="3150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90F1B6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>Primary source(s)</w:t>
            </w:r>
          </w:p>
        </w:tc>
      </w:tr>
      <w:tr w:rsidR="00917458" w14:paraId="45F3698F" w14:textId="77777777" w:rsidTr="004040B2">
        <w:trPr>
          <w:jc w:val="center"/>
        </w:trPr>
        <w:tc>
          <w:tcPr>
            <w:tcW w:w="1368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012C2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mm2018</w:t>
            </w:r>
          </w:p>
        </w:tc>
        <w:tc>
          <w:tcPr>
            <w:tcW w:w="1728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07FC7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1</w:t>
            </w:r>
          </w:p>
        </w:tc>
        <w:tc>
          <w:tcPr>
            <w:tcW w:w="5501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6CECFF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(VISTA; E11.5).</w:t>
            </w:r>
          </w:p>
        </w:tc>
        <w:tc>
          <w:tcPr>
            <w:tcW w:w="2790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CCBA0C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0A15C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19837AE3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25781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CNE14/hs1586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7D5F88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3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C68EF8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Anterior limb mesenchyme activity in mouse E11.5 embryos; pectoral-fin activity in zebrafish at 48 hpf.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677A2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Reporter + endogenous perturbation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66E55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Anwar et al., 2015; Osterwalder et al., 2018; Ali et al., 2024</w:t>
            </w:r>
          </w:p>
        </w:tc>
      </w:tr>
      <w:tr w:rsidR="00917458" w14:paraId="5A4EA174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0E1F4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CNE18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D36F5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3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642AF0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Zebrafish pectoral-fin activity at 48 hpf (60% of transgenic embryos); forebrain and heart activity also reported.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CFFF18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7A279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Ali et al., 2024</w:t>
            </w:r>
          </w:p>
        </w:tc>
      </w:tr>
      <w:tr w:rsidR="00917458" w14:paraId="71DFBD79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94BCC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CNE19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1BE04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4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77315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Zebrafish pectoral-fin activity at 48 hpf (62%); forebrain activity also reported.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ADEAD8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17388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Ali et al., 2024</w:t>
            </w:r>
          </w:p>
        </w:tc>
      </w:tr>
      <w:tr w:rsidR="00917458" w14:paraId="4E7EF840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74BA87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CNE13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24925A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4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0F6136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Robust, reproducible zebrafish pectoral-fin activity after 48 hpf; additional hindbrain, notochord and muscle activity reported.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111846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DD367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Anwar et al., 2015</w:t>
            </w:r>
          </w:p>
        </w:tc>
      </w:tr>
      <w:tr w:rsidR="00917458" w14:paraId="3677638C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068FA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CNE21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C2FDA6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7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899177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Zebrafish pectoral-fin activity at 48 hpf (53%); heart activity also reported.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9E32A1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0957B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Ali et al., 2024</w:t>
            </w:r>
          </w:p>
        </w:tc>
      </w:tr>
      <w:tr w:rsidR="00917458" w14:paraId="16FC35B4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2B7B2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mm1179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BDE63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36329C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Anterior limb enhancer activity; restricted anterior-most pectoral-fin activity at 48 hpf in zebrafish.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4067F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Reporter + endogenous perturbation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E10151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Osterwalder et al., 2014; Osterwalder et al., 2018; Ali et al., 2024</w:t>
            </w:r>
          </w:p>
        </w:tc>
      </w:tr>
      <w:tr w:rsidR="00917458" w14:paraId="6994CD82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A4F37C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mm1859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1DC59F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333BF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(VISTA).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90D026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8DEB9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63ED3503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9CEE8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mm1887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76DBD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DCFFE2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E11.5 limb activity, reproduced in 6/6 scored transgenic embryos (VISTA).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5131E1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F3681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79DD64C7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179B32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mm1889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A97E3F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5CE96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(VISTA).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72652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9ED851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657B48A4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701FD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mm2080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81D37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A7910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(VISTA).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2325D2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6E95F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14D10D7C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9EB2B7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mm2164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3AE8F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8982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anterior limb/forelimb reporter activity; subsequent systematic in vivo testing provided additional functional support for the interval.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C13DF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Reporter + interval-level perturbation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73495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Mannion et al., 2025</w:t>
            </w:r>
          </w:p>
        </w:tc>
      </w:tr>
      <w:tr w:rsidR="00917458" w14:paraId="248273A7" w14:textId="77777777" w:rsidTr="004040B2">
        <w:trPr>
          <w:jc w:val="center"/>
        </w:trPr>
        <w:tc>
          <w:tcPr>
            <w:tcW w:w="1368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FF0C17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mm2176</w:t>
            </w:r>
          </w:p>
        </w:tc>
        <w:tc>
          <w:tcPr>
            <w:tcW w:w="1728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7F911D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EEFFAC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(VISTA).</w:t>
            </w:r>
          </w:p>
        </w:tc>
        <w:tc>
          <w:tcPr>
            <w:tcW w:w="2790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D31FF5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7DD5DF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</w:tbl>
    <w:p w14:paraId="3B9B8484" w14:textId="551D263E" w:rsidR="00917458" w:rsidRPr="004040B2" w:rsidRDefault="004040B2" w:rsidP="004040B2">
      <w:pPr>
        <w:pBdr>
          <w:bottom w:val="single" w:sz="8" w:space="1" w:color="auto"/>
        </w:pBdr>
        <w:spacing w:before="80" w:after="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040B2">
        <w:rPr>
          <w:rFonts w:ascii="Times New Roman" w:hAnsi="Times New Roman" w:cs="Times New Roman"/>
          <w:sz w:val="20"/>
          <w:szCs w:val="20"/>
        </w:rPr>
        <w:t>The table summarizes the prior in vivo functional evidence used to define the enhancer set; current bulk chromatin and transcription-factor signals were not used to establish enhancer function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4040B2">
        <w:rPr>
          <w:rFonts w:ascii="Times New Roman" w:hAnsi="Times New Roman" w:cs="Times New Roman"/>
          <w:sz w:val="20"/>
          <w:szCs w:val="20"/>
        </w:rPr>
        <w:t>CNE14 is reported as CNE14/hs1586. For VISTA-derived mm elements, “limb-positive” refers to in vivo mouse embryonic reporter activity recorded in the VISTA Enhancer Browser. “Reporter + endogenous perturbation” indicates published enhancer-deletion/genetic evidence in addition to reporter activity; for mm2164, the perturbation evidence is interval-level and does not represent an isolated mm2164 deletion. Reporter assays demonstrate tissue-associated enhancer activity but do not by themselves establish endogenous necessity, sufficiency or a unique enhancer–promoter mechanism. E11.5, embryonic day 11.5; hpf, hours post-fertilization.</w:t>
      </w:r>
    </w:p>
    <w:sectPr w:rsidR="00917458" w:rsidRPr="004040B2" w:rsidSect="004040B2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465278">
    <w:abstractNumId w:val="8"/>
  </w:num>
  <w:num w:numId="2" w16cid:durableId="1520585839">
    <w:abstractNumId w:val="6"/>
  </w:num>
  <w:num w:numId="3" w16cid:durableId="1026563621">
    <w:abstractNumId w:val="5"/>
  </w:num>
  <w:num w:numId="4" w16cid:durableId="517502996">
    <w:abstractNumId w:val="4"/>
  </w:num>
  <w:num w:numId="5" w16cid:durableId="1525485014">
    <w:abstractNumId w:val="7"/>
  </w:num>
  <w:num w:numId="6" w16cid:durableId="819351137">
    <w:abstractNumId w:val="3"/>
  </w:num>
  <w:num w:numId="7" w16cid:durableId="511845246">
    <w:abstractNumId w:val="2"/>
  </w:num>
  <w:num w:numId="8" w16cid:durableId="525943562">
    <w:abstractNumId w:val="1"/>
  </w:num>
  <w:num w:numId="9" w16cid:durableId="48228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0B2"/>
    <w:rsid w:val="00917458"/>
    <w:rsid w:val="00A22931"/>
    <w:rsid w:val="00AA1D8D"/>
    <w:rsid w:val="00AB61E2"/>
    <w:rsid w:val="00B47730"/>
    <w:rsid w:val="00CB0664"/>
    <w:rsid w:val="00D40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47C83"/>
  <w14:defaultImageDpi w14:val="300"/>
  <w15:docId w15:val="{34C4592F-5828-4A80-8CC3-3B33B23A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Ali Abbasi</cp:lastModifiedBy>
  <cp:revision>3</cp:revision>
  <dcterms:created xsi:type="dcterms:W3CDTF">2013-12-23T23:15:00Z</dcterms:created>
  <dcterms:modified xsi:type="dcterms:W3CDTF">2026-09-05T15:23:00Z</dcterms:modified>
  <cp:category/>
</cp:coreProperties>
</file>