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EF857" w14:textId="2D3C8B39" w:rsidR="007134E1" w:rsidRPr="00ED1683" w:rsidRDefault="009D68FD">
      <w:pPr>
        <w:pStyle w:val="TableTitle"/>
        <w:keepNext/>
        <w:rPr>
          <w:sz w:val="22"/>
        </w:rPr>
      </w:pPr>
      <w:r w:rsidRPr="00ED1683">
        <w:rPr>
          <w:sz w:val="22"/>
        </w:rPr>
        <w:t xml:space="preserve">    Table 2. Public datasets, biological context and genome-build handling used in the locus-resolved Gli3 analysis</w:t>
      </w:r>
    </w:p>
    <w:tbl>
      <w:tblPr>
        <w:tblStyle w:val="TableGrid"/>
        <w:tblW w:w="153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45"/>
        <w:gridCol w:w="2301"/>
        <w:gridCol w:w="2880"/>
        <w:gridCol w:w="1440"/>
        <w:gridCol w:w="3420"/>
        <w:gridCol w:w="3240"/>
      </w:tblGrid>
      <w:tr w:rsidR="007134E1" w14:paraId="7D699970" w14:textId="77777777" w:rsidTr="00010602">
        <w:trPr>
          <w:cantSplit/>
          <w:trHeight w:val="465"/>
          <w:tblHeader/>
          <w:jc w:val="center"/>
        </w:trPr>
        <w:tc>
          <w:tcPr>
            <w:tcW w:w="2045" w:type="dxa"/>
            <w:tcBorders>
              <w:bottom w:val="single" w:sz="4" w:space="0" w:color="auto"/>
            </w:tcBorders>
            <w:shd w:val="clear" w:color="auto" w:fill="D9D9D9" w:themeFill="background1" w:themeFillShade="D9"/>
            <w:tcMar>
              <w:top w:w="50" w:type="dxa"/>
              <w:left w:w="60" w:type="dxa"/>
              <w:bottom w:w="50" w:type="dxa"/>
              <w:right w:w="60" w:type="dxa"/>
            </w:tcMar>
            <w:vAlign w:val="center"/>
          </w:tcPr>
          <w:p w14:paraId="623A0C74" w14:textId="77777777" w:rsidR="007134E1" w:rsidRPr="00010602" w:rsidRDefault="00000000">
            <w:pPr>
              <w:jc w:val="center"/>
              <w:rPr>
                <w:sz w:val="20"/>
                <w:szCs w:val="20"/>
              </w:rPr>
            </w:pPr>
            <w:r w:rsidRPr="00010602">
              <w:rPr>
                <w:b/>
                <w:sz w:val="20"/>
                <w:szCs w:val="20"/>
              </w:rPr>
              <w:t>Data layer</w:t>
            </w:r>
          </w:p>
        </w:tc>
        <w:tc>
          <w:tcPr>
            <w:tcW w:w="2301" w:type="dxa"/>
            <w:tcBorders>
              <w:bottom w:val="single" w:sz="4" w:space="0" w:color="auto"/>
            </w:tcBorders>
            <w:shd w:val="clear" w:color="auto" w:fill="D9D9D9" w:themeFill="background1" w:themeFillShade="D9"/>
            <w:tcMar>
              <w:top w:w="50" w:type="dxa"/>
              <w:left w:w="60" w:type="dxa"/>
              <w:bottom w:w="50" w:type="dxa"/>
              <w:right w:w="60" w:type="dxa"/>
            </w:tcMar>
            <w:vAlign w:val="center"/>
          </w:tcPr>
          <w:p w14:paraId="67FC98BA" w14:textId="77777777" w:rsidR="007134E1" w:rsidRPr="00010602" w:rsidRDefault="00000000">
            <w:pPr>
              <w:jc w:val="center"/>
              <w:rPr>
                <w:sz w:val="20"/>
                <w:szCs w:val="20"/>
              </w:rPr>
            </w:pPr>
            <w:r w:rsidRPr="00010602">
              <w:rPr>
                <w:b/>
                <w:sz w:val="20"/>
                <w:szCs w:val="20"/>
              </w:rPr>
              <w:t>Public dataset / accession(s)</w:t>
            </w:r>
          </w:p>
        </w:tc>
        <w:tc>
          <w:tcPr>
            <w:tcW w:w="2880" w:type="dxa"/>
            <w:tcBorders>
              <w:bottom w:val="single" w:sz="4" w:space="0" w:color="auto"/>
            </w:tcBorders>
            <w:shd w:val="clear" w:color="auto" w:fill="D9D9D9" w:themeFill="background1" w:themeFillShade="D9"/>
            <w:tcMar>
              <w:top w:w="50" w:type="dxa"/>
              <w:left w:w="60" w:type="dxa"/>
              <w:bottom w:w="50" w:type="dxa"/>
              <w:right w:w="60" w:type="dxa"/>
            </w:tcMar>
            <w:vAlign w:val="center"/>
          </w:tcPr>
          <w:p w14:paraId="607C088F" w14:textId="77777777" w:rsidR="007134E1" w:rsidRPr="00010602" w:rsidRDefault="00000000">
            <w:pPr>
              <w:jc w:val="center"/>
              <w:rPr>
                <w:sz w:val="20"/>
                <w:szCs w:val="20"/>
              </w:rPr>
            </w:pPr>
            <w:r w:rsidRPr="00010602">
              <w:rPr>
                <w:b/>
                <w:sz w:val="20"/>
                <w:szCs w:val="20"/>
              </w:rPr>
              <w:t>Biological context</w:t>
            </w:r>
          </w:p>
        </w:tc>
        <w:tc>
          <w:tcPr>
            <w:tcW w:w="1440" w:type="dxa"/>
            <w:tcBorders>
              <w:bottom w:val="single" w:sz="4" w:space="0" w:color="auto"/>
            </w:tcBorders>
            <w:shd w:val="clear" w:color="auto" w:fill="D9D9D9" w:themeFill="background1" w:themeFillShade="D9"/>
            <w:tcMar>
              <w:top w:w="50" w:type="dxa"/>
              <w:left w:w="60" w:type="dxa"/>
              <w:bottom w:w="50" w:type="dxa"/>
              <w:right w:w="60" w:type="dxa"/>
            </w:tcMar>
            <w:vAlign w:val="center"/>
          </w:tcPr>
          <w:p w14:paraId="116152DC" w14:textId="77777777" w:rsidR="007134E1" w:rsidRPr="00010602" w:rsidRDefault="00000000">
            <w:pPr>
              <w:jc w:val="center"/>
              <w:rPr>
                <w:sz w:val="20"/>
                <w:szCs w:val="20"/>
              </w:rPr>
            </w:pPr>
            <w:r w:rsidRPr="00010602">
              <w:rPr>
                <w:b/>
                <w:sz w:val="20"/>
                <w:szCs w:val="20"/>
              </w:rPr>
              <w:t>Analysis build</w:t>
            </w:r>
          </w:p>
        </w:tc>
        <w:tc>
          <w:tcPr>
            <w:tcW w:w="3420" w:type="dxa"/>
            <w:tcBorders>
              <w:bottom w:val="single" w:sz="4" w:space="0" w:color="auto"/>
            </w:tcBorders>
            <w:shd w:val="clear" w:color="auto" w:fill="D9D9D9" w:themeFill="background1" w:themeFillShade="D9"/>
            <w:tcMar>
              <w:top w:w="50" w:type="dxa"/>
              <w:left w:w="60" w:type="dxa"/>
              <w:bottom w:w="50" w:type="dxa"/>
              <w:right w:w="60" w:type="dxa"/>
            </w:tcMar>
            <w:vAlign w:val="center"/>
          </w:tcPr>
          <w:p w14:paraId="5DB46D87" w14:textId="77777777" w:rsidR="007134E1" w:rsidRPr="00010602" w:rsidRDefault="00000000">
            <w:pPr>
              <w:jc w:val="center"/>
              <w:rPr>
                <w:sz w:val="20"/>
                <w:szCs w:val="20"/>
              </w:rPr>
            </w:pPr>
            <w:r w:rsidRPr="00010602">
              <w:rPr>
                <w:b/>
                <w:sz w:val="20"/>
                <w:szCs w:val="20"/>
              </w:rPr>
              <w:t>Reason for inclusion / manuscript role</w:t>
            </w:r>
          </w:p>
        </w:tc>
        <w:tc>
          <w:tcPr>
            <w:tcW w:w="3240" w:type="dxa"/>
            <w:tcBorders>
              <w:bottom w:val="single" w:sz="4" w:space="0" w:color="auto"/>
            </w:tcBorders>
            <w:shd w:val="clear" w:color="auto" w:fill="D9D9D9" w:themeFill="background1" w:themeFillShade="D9"/>
            <w:tcMar>
              <w:top w:w="50" w:type="dxa"/>
              <w:left w:w="60" w:type="dxa"/>
              <w:bottom w:w="50" w:type="dxa"/>
              <w:right w:w="60" w:type="dxa"/>
            </w:tcMar>
            <w:vAlign w:val="center"/>
          </w:tcPr>
          <w:p w14:paraId="6DDAC94E" w14:textId="77777777" w:rsidR="007134E1" w:rsidRPr="00010602" w:rsidRDefault="00000000">
            <w:pPr>
              <w:jc w:val="center"/>
              <w:rPr>
                <w:sz w:val="20"/>
                <w:szCs w:val="20"/>
              </w:rPr>
            </w:pPr>
            <w:r w:rsidRPr="00010602">
              <w:rPr>
                <w:b/>
                <w:sz w:val="20"/>
                <w:szCs w:val="20"/>
              </w:rPr>
              <w:t>Coordinate and build handling</w:t>
            </w:r>
          </w:p>
        </w:tc>
      </w:tr>
      <w:tr w:rsidR="007134E1" w14:paraId="7CAA3CF2" w14:textId="77777777" w:rsidTr="00010602">
        <w:trPr>
          <w:cantSplit/>
          <w:jc w:val="center"/>
        </w:trPr>
        <w:tc>
          <w:tcPr>
            <w:tcW w:w="2045" w:type="dxa"/>
            <w:tcBorders>
              <w:top w:val="single" w:sz="4" w:space="0" w:color="auto"/>
            </w:tcBorders>
            <w:tcMar>
              <w:top w:w="35" w:type="dxa"/>
              <w:left w:w="45" w:type="dxa"/>
              <w:bottom w:w="35" w:type="dxa"/>
              <w:right w:w="45" w:type="dxa"/>
            </w:tcMar>
          </w:tcPr>
          <w:p w14:paraId="5730514D"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b/>
                <w:szCs w:val="16"/>
              </w:rPr>
              <w:t>3D chromatin: Hi-C and promoter-centered Virtual 4C</w:t>
            </w:r>
          </w:p>
        </w:tc>
        <w:tc>
          <w:tcPr>
            <w:tcW w:w="2301" w:type="dxa"/>
            <w:tcBorders>
              <w:top w:val="single" w:sz="4" w:space="0" w:color="auto"/>
            </w:tcBorders>
            <w:tcMar>
              <w:top w:w="35" w:type="dxa"/>
              <w:left w:w="45" w:type="dxa"/>
              <w:bottom w:w="35" w:type="dxa"/>
              <w:right w:w="45" w:type="dxa"/>
            </w:tcMar>
          </w:tcPr>
          <w:p w14:paraId="73ABDB4C"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GSE116791 (WT limb-bud Hi-C; Juicer .hic)</w:t>
            </w:r>
          </w:p>
        </w:tc>
        <w:tc>
          <w:tcPr>
            <w:tcW w:w="2880" w:type="dxa"/>
            <w:tcBorders>
              <w:top w:val="single" w:sz="4" w:space="0" w:color="auto"/>
            </w:tcBorders>
            <w:tcMar>
              <w:top w:w="35" w:type="dxa"/>
              <w:left w:w="45" w:type="dxa"/>
              <w:bottom w:w="35" w:type="dxa"/>
              <w:right w:w="45" w:type="dxa"/>
            </w:tcMar>
          </w:tcPr>
          <w:p w14:paraId="2308FB21"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Mouse WT E11.5 limb buds</w:t>
            </w:r>
          </w:p>
        </w:tc>
        <w:tc>
          <w:tcPr>
            <w:tcW w:w="1440" w:type="dxa"/>
            <w:tcBorders>
              <w:top w:val="single" w:sz="4" w:space="0" w:color="auto"/>
            </w:tcBorders>
            <w:tcMar>
              <w:top w:w="35" w:type="dxa"/>
              <w:left w:w="45" w:type="dxa"/>
              <w:bottom w:w="35" w:type="dxa"/>
              <w:right w:w="45" w:type="dxa"/>
            </w:tcMar>
          </w:tcPr>
          <w:p w14:paraId="2A96F908"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mm9 (NCBI37)</w:t>
            </w:r>
          </w:p>
        </w:tc>
        <w:tc>
          <w:tcPr>
            <w:tcW w:w="3420" w:type="dxa"/>
            <w:tcBorders>
              <w:top w:val="single" w:sz="4" w:space="0" w:color="auto"/>
            </w:tcBorders>
            <w:tcMar>
              <w:top w:w="35" w:type="dxa"/>
              <w:left w:w="45" w:type="dxa"/>
              <w:bottom w:w="35" w:type="dxa"/>
              <w:right w:w="45" w:type="dxa"/>
            </w:tcMar>
          </w:tcPr>
          <w:p w14:paraId="7CDC6BCA"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Provides limb-stage 3D chromatin context for descriptive Gli3 contact-domain visualization and promoter-centered contact-enrichment profiling.</w:t>
            </w:r>
          </w:p>
        </w:tc>
        <w:tc>
          <w:tcPr>
            <w:tcW w:w="3240" w:type="dxa"/>
            <w:tcBorders>
              <w:top w:val="single" w:sz="4" w:space="0" w:color="auto"/>
            </w:tcBorders>
            <w:tcMar>
              <w:top w:w="35" w:type="dxa"/>
              <w:left w:w="45" w:type="dxa"/>
              <w:bottom w:w="35" w:type="dxa"/>
              <w:right w:w="45" w:type="dxa"/>
            </w:tcMar>
          </w:tcPr>
          <w:p w14:paraId="2F2013F4"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Hi-C analyzed in its mm9 coordinate frame. Curated enhancer intervals were maintained in mm10 and lifted to mm9 only for mm9 display/Virtual 4C annotation.</w:t>
            </w:r>
          </w:p>
        </w:tc>
      </w:tr>
      <w:tr w:rsidR="007134E1" w14:paraId="3CC6BCA4" w14:textId="77777777" w:rsidTr="00010602">
        <w:trPr>
          <w:cantSplit/>
          <w:jc w:val="center"/>
        </w:trPr>
        <w:tc>
          <w:tcPr>
            <w:tcW w:w="2045" w:type="dxa"/>
            <w:shd w:val="clear" w:color="auto" w:fill="F7F9FB"/>
            <w:tcMar>
              <w:top w:w="35" w:type="dxa"/>
              <w:left w:w="45" w:type="dxa"/>
              <w:bottom w:w="35" w:type="dxa"/>
              <w:right w:w="45" w:type="dxa"/>
            </w:tcMar>
          </w:tcPr>
          <w:p w14:paraId="29F110CB"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b/>
                <w:szCs w:val="16"/>
              </w:rPr>
              <w:t>Architectural and transcriptional context</w:t>
            </w:r>
          </w:p>
        </w:tc>
        <w:tc>
          <w:tcPr>
            <w:tcW w:w="2301" w:type="dxa"/>
            <w:shd w:val="clear" w:color="auto" w:fill="F7F9FB"/>
            <w:tcMar>
              <w:top w:w="35" w:type="dxa"/>
              <w:left w:w="45" w:type="dxa"/>
              <w:bottom w:w="35" w:type="dxa"/>
              <w:right w:w="45" w:type="dxa"/>
            </w:tcMar>
          </w:tcPr>
          <w:p w14:paraId="201DFF69"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SMC1A: GSE42237; RAD21: GSM2251510; CTCF: GSM2251441; RNA-seq: GSM2251524</w:t>
            </w:r>
          </w:p>
        </w:tc>
        <w:tc>
          <w:tcPr>
            <w:tcW w:w="2880" w:type="dxa"/>
            <w:shd w:val="clear" w:color="auto" w:fill="F7F9FB"/>
            <w:tcMar>
              <w:top w:w="35" w:type="dxa"/>
              <w:left w:w="45" w:type="dxa"/>
              <w:bottom w:w="35" w:type="dxa"/>
              <w:right w:w="45" w:type="dxa"/>
            </w:tcMar>
          </w:tcPr>
          <w:p w14:paraId="39DC1372"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SMC1A: E11.5 limb bud; RAD21/CTCF/RNA-seq: WT E11.5 hindlimb</w:t>
            </w:r>
          </w:p>
        </w:tc>
        <w:tc>
          <w:tcPr>
            <w:tcW w:w="1440" w:type="dxa"/>
            <w:shd w:val="clear" w:color="auto" w:fill="F7F9FB"/>
            <w:tcMar>
              <w:top w:w="35" w:type="dxa"/>
              <w:left w:w="45" w:type="dxa"/>
              <w:bottom w:w="35" w:type="dxa"/>
              <w:right w:w="45" w:type="dxa"/>
            </w:tcMar>
          </w:tcPr>
          <w:p w14:paraId="4AE2CE03"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mm9</w:t>
            </w:r>
          </w:p>
        </w:tc>
        <w:tc>
          <w:tcPr>
            <w:tcW w:w="3420" w:type="dxa"/>
            <w:shd w:val="clear" w:color="auto" w:fill="F7F9FB"/>
            <w:tcMar>
              <w:top w:w="35" w:type="dxa"/>
              <w:left w:w="45" w:type="dxa"/>
              <w:bottom w:w="35" w:type="dxa"/>
              <w:right w:w="45" w:type="dxa"/>
            </w:tcMar>
          </w:tcPr>
          <w:p w14:paraId="7A061B82"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SMC1A/RAD21/CTCF provide complementary architectural-protein context around the Gli3 contact domain; RNA-seq provides local transcriptional context.</w:t>
            </w:r>
          </w:p>
        </w:tc>
        <w:tc>
          <w:tcPr>
            <w:tcW w:w="3240" w:type="dxa"/>
            <w:shd w:val="clear" w:color="auto" w:fill="F7F9FB"/>
            <w:tcMar>
              <w:top w:w="35" w:type="dxa"/>
              <w:left w:w="45" w:type="dxa"/>
              <w:bottom w:w="35" w:type="dxa"/>
              <w:right w:w="45" w:type="dxa"/>
            </w:tcMar>
          </w:tcPr>
          <w:p w14:paraId="575A42EF"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Tracks were used in mm9. Enhancer intervals were lifted from the curated mm10 set to mm9 for co-display.</w:t>
            </w:r>
          </w:p>
        </w:tc>
      </w:tr>
      <w:tr w:rsidR="007134E1" w14:paraId="05A44CC0" w14:textId="77777777" w:rsidTr="00010602">
        <w:trPr>
          <w:cantSplit/>
          <w:jc w:val="center"/>
        </w:trPr>
        <w:tc>
          <w:tcPr>
            <w:tcW w:w="2045" w:type="dxa"/>
            <w:tcMar>
              <w:top w:w="35" w:type="dxa"/>
              <w:left w:w="45" w:type="dxa"/>
              <w:bottom w:w="35" w:type="dxa"/>
              <w:right w:w="45" w:type="dxa"/>
            </w:tcMar>
          </w:tcPr>
          <w:p w14:paraId="2F3FB60C"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b/>
                <w:szCs w:val="16"/>
              </w:rPr>
              <w:t>Enhancer-associated histone marks</w:t>
            </w:r>
          </w:p>
        </w:tc>
        <w:tc>
          <w:tcPr>
            <w:tcW w:w="2301" w:type="dxa"/>
            <w:tcMar>
              <w:top w:w="35" w:type="dxa"/>
              <w:left w:w="45" w:type="dxa"/>
              <w:bottom w:w="35" w:type="dxa"/>
              <w:right w:w="45" w:type="dxa"/>
            </w:tcMar>
          </w:tcPr>
          <w:p w14:paraId="3A37B55D"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GSE84793: H3K4me1 GSM2251454/1455; H3K27ac GSM2251482/1483; H3K4me3 GSM2251468/1469</w:t>
            </w:r>
          </w:p>
        </w:tc>
        <w:tc>
          <w:tcPr>
            <w:tcW w:w="2880" w:type="dxa"/>
            <w:tcMar>
              <w:top w:w="35" w:type="dxa"/>
              <w:left w:w="45" w:type="dxa"/>
              <w:bottom w:w="35" w:type="dxa"/>
              <w:right w:w="45" w:type="dxa"/>
            </w:tcMar>
          </w:tcPr>
          <w:p w14:paraId="063583CF"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Mouse WT E11.5 hindlimb</w:t>
            </w:r>
          </w:p>
        </w:tc>
        <w:tc>
          <w:tcPr>
            <w:tcW w:w="1440" w:type="dxa"/>
            <w:tcMar>
              <w:top w:w="35" w:type="dxa"/>
              <w:left w:w="45" w:type="dxa"/>
              <w:bottom w:w="35" w:type="dxa"/>
              <w:right w:w="45" w:type="dxa"/>
            </w:tcMar>
          </w:tcPr>
          <w:p w14:paraId="4E0E5991"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mm9</w:t>
            </w:r>
          </w:p>
        </w:tc>
        <w:tc>
          <w:tcPr>
            <w:tcW w:w="3420" w:type="dxa"/>
            <w:tcMar>
              <w:top w:w="35" w:type="dxa"/>
              <w:left w:w="45" w:type="dxa"/>
              <w:bottom w:w="35" w:type="dxa"/>
              <w:right w:w="45" w:type="dxa"/>
            </w:tcMar>
          </w:tcPr>
          <w:p w14:paraId="178EE074"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Matched limb-stage chromatin-state layers used to quantify enhancer-associated signal heterogeneity across the 13 curated limb enhancers and in limb-versus-comparison-set analyses.</w:t>
            </w:r>
          </w:p>
        </w:tc>
        <w:tc>
          <w:tcPr>
            <w:tcW w:w="3240" w:type="dxa"/>
            <w:tcMar>
              <w:top w:w="35" w:type="dxa"/>
              <w:left w:w="45" w:type="dxa"/>
              <w:bottom w:w="35" w:type="dxa"/>
              <w:right w:w="45" w:type="dxa"/>
            </w:tcMar>
          </w:tcPr>
          <w:p w14:paraId="5F456E46"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Processed mm9 tracks were quantified against mm10 enhancer intervals after mm10-to-mm9 liftOver.</w:t>
            </w:r>
          </w:p>
        </w:tc>
      </w:tr>
      <w:tr w:rsidR="007134E1" w14:paraId="2657F47A" w14:textId="77777777" w:rsidTr="00010602">
        <w:trPr>
          <w:cantSplit/>
          <w:jc w:val="center"/>
        </w:trPr>
        <w:tc>
          <w:tcPr>
            <w:tcW w:w="2045" w:type="dxa"/>
            <w:shd w:val="clear" w:color="auto" w:fill="F7F9FB"/>
            <w:tcMar>
              <w:top w:w="35" w:type="dxa"/>
              <w:left w:w="45" w:type="dxa"/>
              <w:bottom w:w="35" w:type="dxa"/>
              <w:right w:w="45" w:type="dxa"/>
            </w:tcMar>
          </w:tcPr>
          <w:p w14:paraId="0B2102A6"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b/>
                <w:szCs w:val="16"/>
              </w:rPr>
              <w:t>HOXA13 / HOXD13 occupancy</w:t>
            </w:r>
          </w:p>
        </w:tc>
        <w:tc>
          <w:tcPr>
            <w:tcW w:w="2301" w:type="dxa"/>
            <w:shd w:val="clear" w:color="auto" w:fill="F7F9FB"/>
            <w:tcMar>
              <w:top w:w="35" w:type="dxa"/>
              <w:left w:w="45" w:type="dxa"/>
              <w:bottom w:w="35" w:type="dxa"/>
              <w:right w:w="45" w:type="dxa"/>
            </w:tcMar>
          </w:tcPr>
          <w:p w14:paraId="0C6F43D2"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GSE194110: HOXA13 GSM5828329/8330/8331; HOXD13 GSM5828332/8333/8334</w:t>
            </w:r>
          </w:p>
        </w:tc>
        <w:tc>
          <w:tcPr>
            <w:tcW w:w="2880" w:type="dxa"/>
            <w:shd w:val="clear" w:color="auto" w:fill="F7F9FB"/>
            <w:tcMar>
              <w:top w:w="35" w:type="dxa"/>
              <w:left w:w="45" w:type="dxa"/>
              <w:bottom w:w="35" w:type="dxa"/>
              <w:right w:w="45" w:type="dxa"/>
            </w:tcMar>
          </w:tcPr>
          <w:p w14:paraId="23897488"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Mouse WT E12.5 distal forelimb</w:t>
            </w:r>
          </w:p>
        </w:tc>
        <w:tc>
          <w:tcPr>
            <w:tcW w:w="1440" w:type="dxa"/>
            <w:shd w:val="clear" w:color="auto" w:fill="F7F9FB"/>
            <w:tcMar>
              <w:top w:w="35" w:type="dxa"/>
              <w:left w:w="45" w:type="dxa"/>
              <w:bottom w:w="35" w:type="dxa"/>
              <w:right w:w="45" w:type="dxa"/>
            </w:tcMar>
          </w:tcPr>
          <w:p w14:paraId="6B484372"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mm10 (GRCm38)</w:t>
            </w:r>
          </w:p>
        </w:tc>
        <w:tc>
          <w:tcPr>
            <w:tcW w:w="3420" w:type="dxa"/>
            <w:shd w:val="clear" w:color="auto" w:fill="F7F9FB"/>
            <w:tcMar>
              <w:top w:w="35" w:type="dxa"/>
              <w:left w:w="45" w:type="dxa"/>
              <w:bottom w:w="35" w:type="dxa"/>
              <w:right w:w="45" w:type="dxa"/>
            </w:tcMar>
          </w:tcPr>
          <w:p w14:paraId="4E50558A"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Biologically motivated distal-limb transcription-factor layer for enhancer-wise occupancy comparison; interpreted as a context-specific layer rather than a stage-matched multi-omic profile.</w:t>
            </w:r>
          </w:p>
        </w:tc>
        <w:tc>
          <w:tcPr>
            <w:tcW w:w="3240" w:type="dxa"/>
            <w:shd w:val="clear" w:color="auto" w:fill="F7F9FB"/>
            <w:tcMar>
              <w:top w:w="35" w:type="dxa"/>
              <w:left w:w="45" w:type="dxa"/>
              <w:bottom w:w="35" w:type="dxa"/>
              <w:right w:w="45" w:type="dxa"/>
            </w:tcMar>
          </w:tcPr>
          <w:p w14:paraId="7AEE62F9"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Primary quantification performed directly in mm10; no liftOver required for the mm10 enhancer set.</w:t>
            </w:r>
          </w:p>
        </w:tc>
      </w:tr>
      <w:tr w:rsidR="007134E1" w14:paraId="653F91A7" w14:textId="77777777" w:rsidTr="00010602">
        <w:trPr>
          <w:cantSplit/>
          <w:jc w:val="center"/>
        </w:trPr>
        <w:tc>
          <w:tcPr>
            <w:tcW w:w="2045" w:type="dxa"/>
            <w:tcMar>
              <w:top w:w="35" w:type="dxa"/>
              <w:left w:w="45" w:type="dxa"/>
              <w:bottom w:w="35" w:type="dxa"/>
              <w:right w:w="45" w:type="dxa"/>
            </w:tcMar>
          </w:tcPr>
          <w:p w14:paraId="174AB647"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b/>
                <w:szCs w:val="16"/>
              </w:rPr>
              <w:t>GLI3 occupancy</w:t>
            </w:r>
          </w:p>
        </w:tc>
        <w:tc>
          <w:tcPr>
            <w:tcW w:w="2301" w:type="dxa"/>
            <w:tcMar>
              <w:top w:w="35" w:type="dxa"/>
              <w:left w:w="45" w:type="dxa"/>
              <w:bottom w:w="35" w:type="dxa"/>
              <w:right w:w="45" w:type="dxa"/>
            </w:tcMar>
          </w:tcPr>
          <w:p w14:paraId="283F7FFC"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SRA SRR11907926, SRR11907927, SRR11907928; stage-matched input GSM4587519</w:t>
            </w:r>
          </w:p>
        </w:tc>
        <w:tc>
          <w:tcPr>
            <w:tcW w:w="2880" w:type="dxa"/>
            <w:tcMar>
              <w:top w:w="35" w:type="dxa"/>
              <w:left w:w="45" w:type="dxa"/>
              <w:bottom w:w="35" w:type="dxa"/>
              <w:right w:w="45" w:type="dxa"/>
            </w:tcMar>
          </w:tcPr>
          <w:p w14:paraId="271DB73F"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Mouse WT/GLI3-tagged E11.5 limb buds</w:t>
            </w:r>
          </w:p>
        </w:tc>
        <w:tc>
          <w:tcPr>
            <w:tcW w:w="1440" w:type="dxa"/>
            <w:tcMar>
              <w:top w:w="35" w:type="dxa"/>
              <w:left w:w="45" w:type="dxa"/>
              <w:bottom w:w="35" w:type="dxa"/>
              <w:right w:w="45" w:type="dxa"/>
            </w:tcMar>
          </w:tcPr>
          <w:p w14:paraId="3A0BB76A"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mm10</w:t>
            </w:r>
          </w:p>
        </w:tc>
        <w:tc>
          <w:tcPr>
            <w:tcW w:w="3420" w:type="dxa"/>
            <w:tcMar>
              <w:top w:w="35" w:type="dxa"/>
              <w:left w:w="45" w:type="dxa"/>
              <w:bottom w:w="35" w:type="dxa"/>
              <w:right w:w="45" w:type="dxa"/>
            </w:tcMar>
          </w:tcPr>
          <w:p w14:paraId="6E883AF1"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 xml:space="preserve">Pathway-proximal occupancy layer </w:t>
            </w:r>
            <w:proofErr w:type="gramStart"/>
            <w:r w:rsidRPr="00EB32E9">
              <w:rPr>
                <w:rFonts w:ascii="Times New Roman" w:hAnsi="Times New Roman" w:cs="Times New Roman"/>
                <w:szCs w:val="16"/>
              </w:rPr>
              <w:t>directly</w:t>
            </w:r>
            <w:proofErr w:type="gramEnd"/>
            <w:r w:rsidRPr="00EB32E9">
              <w:rPr>
                <w:rFonts w:ascii="Times New Roman" w:hAnsi="Times New Roman" w:cs="Times New Roman"/>
                <w:szCs w:val="16"/>
              </w:rPr>
              <w:t xml:space="preserve"> relevant to Gli3 regulatory biology; raw ChIP-seq reads were reprocessed to obtain a consistent locus-wide signal track.</w:t>
            </w:r>
          </w:p>
        </w:tc>
        <w:tc>
          <w:tcPr>
            <w:tcW w:w="3240" w:type="dxa"/>
            <w:tcMar>
              <w:top w:w="35" w:type="dxa"/>
              <w:left w:w="45" w:type="dxa"/>
              <w:bottom w:w="35" w:type="dxa"/>
              <w:right w:w="45" w:type="dxa"/>
            </w:tcMar>
          </w:tcPr>
          <w:p w14:paraId="7B4A1CCB"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Raw reads were aligned/reprocessed in mm10. E11.5 input was used as the stage-matched normalization reference; E10.5 input was retained only as ancillary context.</w:t>
            </w:r>
          </w:p>
        </w:tc>
      </w:tr>
      <w:tr w:rsidR="007134E1" w14:paraId="067E83D4" w14:textId="77777777" w:rsidTr="00010602">
        <w:trPr>
          <w:cantSplit/>
          <w:jc w:val="center"/>
        </w:trPr>
        <w:tc>
          <w:tcPr>
            <w:tcW w:w="2045" w:type="dxa"/>
            <w:shd w:val="clear" w:color="auto" w:fill="F7F9FB"/>
            <w:tcMar>
              <w:top w:w="35" w:type="dxa"/>
              <w:left w:w="45" w:type="dxa"/>
              <w:bottom w:w="35" w:type="dxa"/>
              <w:right w:w="45" w:type="dxa"/>
            </w:tcMar>
          </w:tcPr>
          <w:p w14:paraId="52C3A1E3"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b/>
                <w:szCs w:val="16"/>
              </w:rPr>
              <w:t>p300 occupancy</w:t>
            </w:r>
          </w:p>
        </w:tc>
        <w:tc>
          <w:tcPr>
            <w:tcW w:w="2301" w:type="dxa"/>
            <w:shd w:val="clear" w:color="auto" w:fill="F7F9FB"/>
            <w:tcMar>
              <w:top w:w="35" w:type="dxa"/>
              <w:left w:w="45" w:type="dxa"/>
              <w:bottom w:w="35" w:type="dxa"/>
              <w:right w:w="45" w:type="dxa"/>
            </w:tcMar>
          </w:tcPr>
          <w:p w14:paraId="362662B9"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GSE13845; GSM348066</w:t>
            </w:r>
          </w:p>
        </w:tc>
        <w:tc>
          <w:tcPr>
            <w:tcW w:w="2880" w:type="dxa"/>
            <w:shd w:val="clear" w:color="auto" w:fill="F7F9FB"/>
            <w:tcMar>
              <w:top w:w="35" w:type="dxa"/>
              <w:left w:w="45" w:type="dxa"/>
              <w:bottom w:w="35" w:type="dxa"/>
              <w:right w:w="45" w:type="dxa"/>
            </w:tcMar>
          </w:tcPr>
          <w:p w14:paraId="79A62434"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Mouse E11.5 embryonic limb</w:t>
            </w:r>
          </w:p>
        </w:tc>
        <w:tc>
          <w:tcPr>
            <w:tcW w:w="1440" w:type="dxa"/>
            <w:shd w:val="clear" w:color="auto" w:fill="F7F9FB"/>
            <w:tcMar>
              <w:top w:w="35" w:type="dxa"/>
              <w:left w:w="45" w:type="dxa"/>
              <w:bottom w:w="35" w:type="dxa"/>
              <w:right w:w="45" w:type="dxa"/>
            </w:tcMar>
          </w:tcPr>
          <w:p w14:paraId="75C7C64A"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mm9</w:t>
            </w:r>
          </w:p>
        </w:tc>
        <w:tc>
          <w:tcPr>
            <w:tcW w:w="3420" w:type="dxa"/>
            <w:shd w:val="clear" w:color="auto" w:fill="F7F9FB"/>
            <w:tcMar>
              <w:top w:w="35" w:type="dxa"/>
              <w:left w:w="45" w:type="dxa"/>
              <w:bottom w:w="35" w:type="dxa"/>
              <w:right w:w="45" w:type="dxa"/>
            </w:tcMar>
          </w:tcPr>
          <w:p w14:paraId="0C0EF833"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Enhancer-associated co-activator layer included as complementary molecular context, not as standalone evidence of enhancer function.</w:t>
            </w:r>
            <w:proofErr w:type="gramStart"/>
            <w:r w:rsidRPr="00EB32E9">
              <w:rPr>
                <w:rFonts w:ascii="Times New Roman" w:hAnsi="Times New Roman" w:cs="Times New Roman"/>
                <w:szCs w:val="16"/>
              </w:rPr>
            </w:r>
            <w:proofErr w:type="gramEnd"/>
            <w:r w:rsidRPr="00EB32E9">
              <w:rPr>
                <w:rFonts w:ascii="Times New Roman" w:hAnsi="Times New Roman" w:cs="Times New Roman"/>
                <w:szCs w:val="16"/>
              </w:rPr>
            </w:r>
          </w:p>
        </w:tc>
        <w:tc>
          <w:tcPr>
            <w:tcW w:w="3240" w:type="dxa"/>
            <w:shd w:val="clear" w:color="auto" w:fill="F7F9FB"/>
            <w:tcMar>
              <w:top w:w="35" w:type="dxa"/>
              <w:left w:w="45" w:type="dxa"/>
              <w:bottom w:w="35" w:type="dxa"/>
              <w:right w:w="45" w:type="dxa"/>
            </w:tcMar>
          </w:tcPr>
          <w:p w14:paraId="355484FC"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Native/processed mm9 track. Curated mm10 enhancer intervals were lifted to mm9 for quantification.</w:t>
            </w:r>
          </w:p>
        </w:tc>
      </w:tr>
      <w:tr w:rsidR="007134E1" w14:paraId="4827383A" w14:textId="77777777" w:rsidTr="00010602">
        <w:trPr>
          <w:cantSplit/>
          <w:jc w:val="center"/>
        </w:trPr>
        <w:tc>
          <w:tcPr>
            <w:tcW w:w="2045" w:type="dxa"/>
            <w:tcMar>
              <w:top w:w="35" w:type="dxa"/>
              <w:left w:w="45" w:type="dxa"/>
              <w:bottom w:w="35" w:type="dxa"/>
              <w:right w:w="45" w:type="dxa"/>
            </w:tcMar>
          </w:tcPr>
          <w:p w14:paraId="3E940C0C"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b/>
                <w:szCs w:val="16"/>
              </w:rPr>
              <w:t>PITX1 occupancy</w:t>
            </w:r>
          </w:p>
        </w:tc>
        <w:tc>
          <w:tcPr>
            <w:tcW w:w="2301" w:type="dxa"/>
            <w:tcMar>
              <w:top w:w="35" w:type="dxa"/>
              <w:left w:w="45" w:type="dxa"/>
              <w:bottom w:w="35" w:type="dxa"/>
              <w:right w:w="45" w:type="dxa"/>
            </w:tcMar>
          </w:tcPr>
          <w:p w14:paraId="509EEC65"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GSE41591; GSM1019784 and GSM1019786</w:t>
            </w:r>
          </w:p>
        </w:tc>
        <w:tc>
          <w:tcPr>
            <w:tcW w:w="2880" w:type="dxa"/>
            <w:tcMar>
              <w:top w:w="35" w:type="dxa"/>
              <w:left w:w="45" w:type="dxa"/>
              <w:bottom w:w="35" w:type="dxa"/>
              <w:right w:w="45" w:type="dxa"/>
            </w:tcMar>
          </w:tcPr>
          <w:p w14:paraId="7BDFB5D4"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Mouse E11.5 embryonic hindlimb</w:t>
            </w:r>
          </w:p>
        </w:tc>
        <w:tc>
          <w:tcPr>
            <w:tcW w:w="1440" w:type="dxa"/>
            <w:tcMar>
              <w:top w:w="35" w:type="dxa"/>
              <w:left w:w="45" w:type="dxa"/>
              <w:bottom w:w="35" w:type="dxa"/>
              <w:right w:w="45" w:type="dxa"/>
            </w:tcMar>
          </w:tcPr>
          <w:p w14:paraId="504F8FBC"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mm9</w:t>
            </w:r>
          </w:p>
        </w:tc>
        <w:tc>
          <w:tcPr>
            <w:tcW w:w="3420" w:type="dxa"/>
            <w:tcMar>
              <w:top w:w="35" w:type="dxa"/>
              <w:left w:w="45" w:type="dxa"/>
              <w:bottom w:w="35" w:type="dxa"/>
              <w:right w:w="45" w:type="dxa"/>
            </w:tcMar>
          </w:tcPr>
          <w:p w14:paraId="1749F3BE"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Adds hindlimb-patterning context and an independent transcription-factor layer for enhancer-wise comparison.</w:t>
            </w:r>
          </w:p>
        </w:tc>
        <w:tc>
          <w:tcPr>
            <w:tcW w:w="3240" w:type="dxa"/>
            <w:tcMar>
              <w:top w:w="35" w:type="dxa"/>
              <w:left w:w="45" w:type="dxa"/>
              <w:bottom w:w="35" w:type="dxa"/>
              <w:right w:w="45" w:type="dxa"/>
            </w:tcMar>
          </w:tcPr>
          <w:p w14:paraId="0B188EB4"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Processed mm9 tracks were quantified after mm10-to-mm9 liftOver of enhancer intervals; the two PITX1 tracks were summarized as a factor-level signal.</w:t>
            </w:r>
          </w:p>
        </w:tc>
      </w:tr>
      <w:tr w:rsidR="007134E1" w14:paraId="3D194089" w14:textId="77777777" w:rsidTr="00010602">
        <w:trPr>
          <w:cantSplit/>
          <w:trHeight w:val="749"/>
          <w:jc w:val="center"/>
        </w:trPr>
        <w:tc>
          <w:tcPr>
            <w:tcW w:w="2045" w:type="dxa"/>
            <w:shd w:val="clear" w:color="auto" w:fill="F7F9FB"/>
            <w:tcMar>
              <w:top w:w="35" w:type="dxa"/>
              <w:left w:w="45" w:type="dxa"/>
              <w:bottom w:w="35" w:type="dxa"/>
              <w:right w:w="45" w:type="dxa"/>
            </w:tcMar>
          </w:tcPr>
          <w:p w14:paraId="23A4E2B0"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b/>
                <w:szCs w:val="16"/>
              </w:rPr>
              <w:t>HAND2 occupancy</w:t>
            </w:r>
          </w:p>
        </w:tc>
        <w:tc>
          <w:tcPr>
            <w:tcW w:w="2301" w:type="dxa"/>
            <w:shd w:val="clear" w:color="auto" w:fill="F7F9FB"/>
            <w:tcMar>
              <w:top w:w="35" w:type="dxa"/>
              <w:left w:w="45" w:type="dxa"/>
              <w:bottom w:w="35" w:type="dxa"/>
              <w:right w:w="45" w:type="dxa"/>
            </w:tcMar>
          </w:tcPr>
          <w:p w14:paraId="079936B5"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GSE55707; scoring tracks GSM1342121 (3xF) and GSM1342122 (WT); GSM1447340 limb-specific track descriptive only</w:t>
            </w:r>
          </w:p>
        </w:tc>
        <w:tc>
          <w:tcPr>
            <w:tcW w:w="2880" w:type="dxa"/>
            <w:shd w:val="clear" w:color="auto" w:fill="F7F9FB"/>
            <w:tcMar>
              <w:top w:w="35" w:type="dxa"/>
              <w:left w:w="45" w:type="dxa"/>
              <w:bottom w:w="35" w:type="dxa"/>
              <w:right w:w="45" w:type="dxa"/>
            </w:tcMar>
          </w:tcPr>
          <w:p w14:paraId="1BD47D25"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E10.5 pooled Hand2-expressing embryonic tissues (limb buds, heart and branchial arches) for scoring tracks; limb-specific E10.5 track available separately</w:t>
            </w:r>
          </w:p>
        </w:tc>
        <w:tc>
          <w:tcPr>
            <w:tcW w:w="1440" w:type="dxa"/>
            <w:shd w:val="clear" w:color="auto" w:fill="F7F9FB"/>
            <w:tcMar>
              <w:top w:w="35" w:type="dxa"/>
              <w:left w:w="45" w:type="dxa"/>
              <w:bottom w:w="35" w:type="dxa"/>
              <w:right w:w="45" w:type="dxa"/>
            </w:tcMar>
          </w:tcPr>
          <w:p w14:paraId="41D1C18B"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mm9</w:t>
            </w:r>
          </w:p>
        </w:tc>
        <w:tc>
          <w:tcPr>
            <w:tcW w:w="3420" w:type="dxa"/>
            <w:shd w:val="clear" w:color="auto" w:fill="F7F9FB"/>
            <w:tcMar>
              <w:top w:w="35" w:type="dxa"/>
              <w:left w:w="45" w:type="dxa"/>
              <w:bottom w:w="35" w:type="dxa"/>
              <w:right w:w="45" w:type="dxa"/>
            </w:tcMar>
          </w:tcPr>
          <w:p w14:paraId="26FAC7D1"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Adds biologically motivated anterior-posterior patterning context. Because scoring tracks are not limb-only, HAND2 is interpreted conservatively as a complementary occupancy layer.</w:t>
            </w:r>
          </w:p>
        </w:tc>
        <w:tc>
          <w:tcPr>
            <w:tcW w:w="3240" w:type="dxa"/>
            <w:shd w:val="clear" w:color="auto" w:fill="F7F9FB"/>
            <w:tcMar>
              <w:top w:w="35" w:type="dxa"/>
              <w:left w:w="45" w:type="dxa"/>
              <w:bottom w:w="35" w:type="dxa"/>
              <w:right w:w="45" w:type="dxa"/>
            </w:tcMar>
          </w:tcPr>
          <w:p w14:paraId="7DD059FD"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Processed mm9 tracks were quantified after mm10-to-mm9 liftOver of enhancer intervals. Limb-specific GSM1447340 was not used for the main score.</w:t>
            </w:r>
          </w:p>
        </w:tc>
      </w:tr>
      <w:tr w:rsidR="007134E1" w14:paraId="634FA3A1" w14:textId="77777777" w:rsidTr="00010602">
        <w:trPr>
          <w:cantSplit/>
          <w:trHeight w:val="776"/>
          <w:jc w:val="center"/>
        </w:trPr>
        <w:tc>
          <w:tcPr>
            <w:tcW w:w="2045" w:type="dxa"/>
            <w:tcBorders>
              <w:bottom w:val="single" w:sz="4" w:space="0" w:color="auto"/>
            </w:tcBorders>
            <w:tcMar>
              <w:top w:w="35" w:type="dxa"/>
              <w:left w:w="45" w:type="dxa"/>
              <w:bottom w:w="35" w:type="dxa"/>
              <w:right w:w="45" w:type="dxa"/>
            </w:tcMar>
          </w:tcPr>
          <w:p w14:paraId="0CCDAAE7"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b/>
                <w:szCs w:val="16"/>
              </w:rPr>
              <w:t>Enhancer annotations and locus-matched comparison set</w:t>
            </w:r>
          </w:p>
        </w:tc>
        <w:tc>
          <w:tcPr>
            <w:tcW w:w="2301" w:type="dxa"/>
            <w:tcBorders>
              <w:bottom w:val="single" w:sz="4" w:space="0" w:color="auto"/>
            </w:tcBorders>
            <w:tcMar>
              <w:top w:w="35" w:type="dxa"/>
              <w:left w:w="45" w:type="dxa"/>
              <w:bottom w:w="35" w:type="dxa"/>
              <w:right w:w="45" w:type="dxa"/>
            </w:tcMar>
          </w:tcPr>
          <w:p w14:paraId="49221F4F"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Published functional studies + VISTA Enhancer Browser records</w:t>
            </w:r>
          </w:p>
        </w:tc>
        <w:tc>
          <w:tcPr>
            <w:tcW w:w="2880" w:type="dxa"/>
            <w:tcBorders>
              <w:bottom w:val="single" w:sz="4" w:space="0" w:color="auto"/>
            </w:tcBorders>
            <w:tcMar>
              <w:top w:w="35" w:type="dxa"/>
              <w:left w:w="45" w:type="dxa"/>
              <w:bottom w:w="35" w:type="dxa"/>
              <w:right w:w="45" w:type="dxa"/>
            </w:tcMar>
          </w:tcPr>
          <w:p w14:paraId="3D17E6CD"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13 curated Gli3 limb enhancers; 41 VISTA Gli3-region enhancers with reported non-limb activity</w:t>
            </w:r>
          </w:p>
        </w:tc>
        <w:tc>
          <w:tcPr>
            <w:tcW w:w="1440" w:type="dxa"/>
            <w:tcBorders>
              <w:bottom w:val="single" w:sz="4" w:space="0" w:color="auto"/>
            </w:tcBorders>
            <w:tcMar>
              <w:top w:w="35" w:type="dxa"/>
              <w:left w:w="45" w:type="dxa"/>
              <w:bottom w:w="35" w:type="dxa"/>
              <w:right w:w="45" w:type="dxa"/>
            </w:tcMar>
          </w:tcPr>
          <w:p w14:paraId="58FE1CCA"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Curated primarily in mm10; mm9 forms maintained as required</w:t>
            </w:r>
          </w:p>
        </w:tc>
        <w:tc>
          <w:tcPr>
            <w:tcW w:w="3420" w:type="dxa"/>
            <w:tcBorders>
              <w:bottom w:val="single" w:sz="4" w:space="0" w:color="auto"/>
            </w:tcBorders>
            <w:tcMar>
              <w:top w:w="35" w:type="dxa"/>
              <w:left w:w="45" w:type="dxa"/>
              <w:bottom w:w="35" w:type="dxa"/>
              <w:right w:w="45" w:type="dxa"/>
            </w:tcMar>
          </w:tcPr>
          <w:p w14:paraId="27A354D1"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Defines the functionally grounded limb set and a locus-matched comparison set based on reported activity annotations, preventing chromatin/TF signal from being treated as the source of enhancer identity.</w:t>
            </w:r>
          </w:p>
        </w:tc>
        <w:tc>
          <w:tcPr>
            <w:tcW w:w="3240" w:type="dxa"/>
            <w:tcBorders>
              <w:bottom w:val="single" w:sz="4" w:space="0" w:color="auto"/>
            </w:tcBorders>
            <w:tcMar>
              <w:top w:w="35" w:type="dxa"/>
              <w:left w:w="45" w:type="dxa"/>
              <w:bottom w:w="35" w:type="dxa"/>
              <w:right w:w="45" w:type="dxa"/>
            </w:tcMar>
          </w:tcPr>
          <w:p w14:paraId="3FF98AD3" w14:textId="77777777" w:rsidR="007134E1" w:rsidRPr="00EB32E9" w:rsidRDefault="00000000">
            <w:pPr>
              <w:spacing w:line="228" w:lineRule="auto"/>
              <w:rPr>
                <w:rFonts w:ascii="Times New Roman" w:hAnsi="Times New Roman" w:cs="Times New Roman"/>
                <w:szCs w:val="16"/>
              </w:rPr>
            </w:pPr>
            <w:r w:rsidRPr="00EB32E9">
              <w:rPr>
                <w:rFonts w:ascii="Times New Roman" w:hAnsi="Times New Roman" w:cs="Times New Roman"/>
                <w:szCs w:val="16"/>
              </w:rPr>
              <w:t>Build-specific BED/interval tables were maintained. mm10 was retained for mm10 analyses; mm10-to-mm9 liftOver was used only for layers analyzed in mm9.</w:t>
            </w:r>
          </w:p>
        </w:tc>
      </w:tr>
    </w:tbl>
    <w:p w14:paraId="014555AC" w14:textId="6BAE56CC" w:rsidR="007134E1" w:rsidRPr="00010602" w:rsidRDefault="00000000" w:rsidP="00010602">
      <w:pPr>
        <w:pBdr>
          <w:bottom w:val="single" w:sz="4" w:space="1" w:color="auto"/>
        </w:pBdr>
        <w:spacing w:before="60" w:after="0" w:line="228" w:lineRule="auto"/>
        <w:jc w:val="both"/>
        <w:rPr>
          <w:rFonts w:ascii="Times New Roman" w:hAnsi="Times New Roman" w:cs="Times New Roman"/>
          <w:sz w:val="20"/>
          <w:szCs w:val="20"/>
        </w:rPr>
      </w:pPr>
      <w:r w:rsidRPr="00010602">
        <w:rPr>
          <w:rFonts w:ascii="Times New Roman" w:hAnsi="Times New Roman" w:cs="Times New Roman"/>
          <w:sz w:val="20"/>
          <w:szCs w:val="20"/>
        </w:rPr>
        <w:t>Genome builds were kept separate by analysis layer rather than globally converting all source datasets. mm10 enhancer coordinates were lifted to mm9 only when required for mm9 visualization or quantification. Differences in developmental stage, limb compartment and dataset context were treated as biological and technical context; cross-dataset signals were therefore compared conservatively and were not interpreted as synchronized measurements from one biological sample. HAND2 scoring used the pooled E10.5 embryonic-tissue tracks specified above; the limb-specific GSM1447340 track was used only as descriptive context.</w:t>
      </w:r>
      <w:r w:rsidR="005273C1">
        <w:rPr>
          <w:rFonts w:ascii="Times New Roman" w:hAnsi="Times New Roman" w:cs="Times New Roman"/>
          <w:sz w:val="20"/>
          <w:szCs w:val="20"/>
        </w:rPr>
      </w:r>
    </w:p>
    <w:sectPr w:rsidR="007134E1" w:rsidRPr="00010602" w:rsidSect="00034616">
      <w:pgSz w:w="16834" w:h="11909" w:orient="landscape"/>
      <w:pgMar w:top="547" w:right="605" w:bottom="547"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7273429">
    <w:abstractNumId w:val="8"/>
  </w:num>
  <w:num w:numId="2" w16cid:durableId="606012363">
    <w:abstractNumId w:val="6"/>
  </w:num>
  <w:num w:numId="3" w16cid:durableId="303701026">
    <w:abstractNumId w:val="5"/>
  </w:num>
  <w:num w:numId="4" w16cid:durableId="1278677844">
    <w:abstractNumId w:val="4"/>
  </w:num>
  <w:num w:numId="5" w16cid:durableId="1835148733">
    <w:abstractNumId w:val="7"/>
  </w:num>
  <w:num w:numId="6" w16cid:durableId="731344921">
    <w:abstractNumId w:val="3"/>
  </w:num>
  <w:num w:numId="7" w16cid:durableId="1032419274">
    <w:abstractNumId w:val="2"/>
  </w:num>
  <w:num w:numId="8" w16cid:durableId="202329417">
    <w:abstractNumId w:val="1"/>
  </w:num>
  <w:num w:numId="9" w16cid:durableId="852230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602"/>
    <w:rsid w:val="00023377"/>
    <w:rsid w:val="00034616"/>
    <w:rsid w:val="0006063C"/>
    <w:rsid w:val="0015074B"/>
    <w:rsid w:val="001E79A0"/>
    <w:rsid w:val="0029639D"/>
    <w:rsid w:val="002F6BA2"/>
    <w:rsid w:val="00326F90"/>
    <w:rsid w:val="0048641E"/>
    <w:rsid w:val="005273C1"/>
    <w:rsid w:val="006D73C6"/>
    <w:rsid w:val="007134E1"/>
    <w:rsid w:val="008707DE"/>
    <w:rsid w:val="009D68FD"/>
    <w:rsid w:val="00AA1D8D"/>
    <w:rsid w:val="00AA799C"/>
    <w:rsid w:val="00AB61E2"/>
    <w:rsid w:val="00B47730"/>
    <w:rsid w:val="00BB3F41"/>
    <w:rsid w:val="00CB0664"/>
    <w:rsid w:val="00EB32E9"/>
    <w:rsid w:val="00ED16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9A3274"/>
  <w14:defaultImageDpi w14:val="300"/>
  <w15:docId w15:val="{E529273F-66F9-441D-BBD3-35D01CBE3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itle">
    <w:name w:val="Table Title"/>
    <w:rPr>
      <w:rFonts w:ascii="Arial" w:eastAsia="Arial" w:hAnsi="Arial"/>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725</Words>
  <Characters>4139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Main Table 2 - GLI3 dataset selection and genome-build handling</vt:lpstr>
    </vt:vector>
  </TitlesOfParts>
  <Manager/>
  <Company/>
  <LinksUpToDate>false</LinksUpToDate>
  <CharactersWithSpaces>4855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 Table 2 - GLI3 dataset selection and genome-build handling</dc:title>
  <dc:subject>Reviewer-ready compact manuscript table</dc:subject>
  <dc:creator/>
  <cp:keywords/>
  <dc:description>generated by python-docx</dc:description>
  <cp:lastModifiedBy>Amir Ali Abbasi</cp:lastModifiedBy>
  <cp:revision>10</cp:revision>
  <dcterms:created xsi:type="dcterms:W3CDTF">2013-12-23T23:15:00Z</dcterms:created>
  <dcterms:modified xsi:type="dcterms:W3CDTF">2026-09-11T04:46:00Z</dcterms:modified>
  <cp:category/>
</cp:coreProperties>
</file>