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5C" w:rsidRPr="005B455C" w:rsidRDefault="005B455C" w:rsidP="005B455C">
      <w:pPr>
        <w:spacing w:line="300" w:lineRule="auto"/>
        <w:ind w:left="357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B455C">
        <w:rPr>
          <w:rFonts w:ascii="Times New Roman" w:eastAsia="宋体" w:hAnsi="Times New Roman" w:cs="Times New Roman"/>
          <w:b/>
          <w:bCs/>
          <w:sz w:val="32"/>
          <w:szCs w:val="32"/>
        </w:rPr>
        <w:t>2AU1 Reading B Words and Phrases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《劝学》节选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 xml:space="preserve"> excerpts from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“Encouraging Learning”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一根铅垂线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a plumb line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一个指南针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a compass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弯曲加工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the bending process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因此</w:t>
      </w:r>
      <w:r w:rsidRPr="005B455C">
        <w:rPr>
          <w:rFonts w:ascii="Times New Roman" w:eastAsia="宋体" w:hAnsi="Times New Roman" w:cs="Times New Roman"/>
          <w:sz w:val="32"/>
          <w:szCs w:val="32"/>
        </w:rPr>
        <w:t>:</w:t>
      </w:r>
    </w:p>
    <w:p w:rsidR="005B455C" w:rsidRPr="005B455C" w:rsidRDefault="005B455C" w:rsidP="005B455C">
      <w:p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Thus </w:t>
      </w:r>
      <w:r w:rsidRPr="005B455C">
        <w:rPr>
          <w:rFonts w:ascii="Times New Roman" w:eastAsia="宋体" w:hAnsi="Times New Roman" w:cs="Times New Roman"/>
          <w:sz w:val="32"/>
          <w:szCs w:val="32"/>
        </w:rPr>
        <w:t>词性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adv. </w:t>
      </w:r>
    </w:p>
    <w:p w:rsidR="005B455C" w:rsidRPr="005B455C" w:rsidRDefault="005B455C" w:rsidP="005B455C">
      <w:p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Therefore </w:t>
      </w:r>
      <w:r w:rsidRPr="005B455C">
        <w:rPr>
          <w:rFonts w:ascii="Times New Roman" w:eastAsia="宋体" w:hAnsi="Times New Roman" w:cs="Times New Roman"/>
          <w:sz w:val="32"/>
          <w:szCs w:val="32"/>
        </w:rPr>
        <w:t>词性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adv. </w:t>
      </w:r>
    </w:p>
    <w:p w:rsidR="005B455C" w:rsidRPr="005B455C" w:rsidRDefault="005B455C" w:rsidP="005B455C">
      <w:p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So </w:t>
      </w:r>
      <w:r w:rsidRPr="005B455C">
        <w:rPr>
          <w:rFonts w:ascii="Times New Roman" w:eastAsia="宋体" w:hAnsi="Times New Roman" w:cs="Times New Roman"/>
          <w:sz w:val="32"/>
          <w:szCs w:val="32"/>
        </w:rPr>
        <w:t>词性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conj.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明达的见识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clear wisdom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proofErr w:type="gramStart"/>
      <w:r w:rsidRPr="005B455C">
        <w:rPr>
          <w:rFonts w:ascii="Times New Roman" w:eastAsia="宋体" w:hAnsi="Times New Roman" w:cs="Times New Roman"/>
          <w:sz w:val="32"/>
          <w:szCs w:val="32"/>
        </w:rPr>
        <w:t>踮</w:t>
      </w:r>
      <w:proofErr w:type="gramEnd"/>
      <w:r w:rsidRPr="005B455C">
        <w:rPr>
          <w:rFonts w:ascii="Times New Roman" w:eastAsia="宋体" w:hAnsi="Times New Roman" w:cs="Times New Roman"/>
          <w:sz w:val="32"/>
          <w:szCs w:val="32"/>
        </w:rPr>
        <w:t>起脚眺望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stand 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>on tiptoe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and 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>gaze into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the distance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向某人招手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>wa</w:t>
      </w:r>
      <w:r w:rsidRPr="005B455C">
        <w:rPr>
          <w:rFonts w:ascii="Times New Roman" w:eastAsia="宋体" w:hAnsi="Times New Roman" w:cs="Times New Roman" w:hint="eastAsia"/>
          <w:b/>
          <w:color w:val="FF0000"/>
          <w:sz w:val="32"/>
          <w:szCs w:val="32"/>
        </w:rPr>
        <w:t>v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>e to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someone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顺风而呼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shout down the wind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借助车马的人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those who 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 xml:space="preserve">make use of </w:t>
      </w:r>
      <w:r w:rsidRPr="005B455C">
        <w:rPr>
          <w:rFonts w:ascii="Times New Roman" w:eastAsia="宋体" w:hAnsi="Times New Roman" w:cs="Times New Roman"/>
          <w:sz w:val="32"/>
          <w:szCs w:val="32"/>
        </w:rPr>
        <w:t>carriages or horses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生来并非不同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(be)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 xml:space="preserve"> by birth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no different (from …)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积善成德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pile up good deeds to create virtue 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圣人的心怀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the mind of the sage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在于从不放弃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>consist in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never giving up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开始雕刻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start carving 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一块朽木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a piece of rotten wood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锲而不舍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>persist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without stopping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雕刻金石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carve and inlay metal or stone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在战国时期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during the Warring States period 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lastRenderedPageBreak/>
        <w:t>古希腊哲学家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ancient Greek philosopher(s)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智慧的结晶（至理名言）（金玉良言）</w:t>
      </w:r>
      <w:r w:rsidRPr="005B455C">
        <w:rPr>
          <w:rFonts w:ascii="Times New Roman" w:eastAsia="宋体" w:hAnsi="Times New Roman" w:cs="Times New Roman"/>
          <w:sz w:val="32"/>
          <w:szCs w:val="32"/>
        </w:rPr>
        <w:t>pearls of wisdom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雅典学院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the Academy of Athens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 w:hint="eastAsia"/>
          <w:sz w:val="32"/>
          <w:szCs w:val="32"/>
        </w:rPr>
        <w:t>高等学校</w:t>
      </w:r>
      <w:r w:rsidRPr="005B455C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5B455C">
        <w:rPr>
          <w:rFonts w:ascii="Times New Roman" w:eastAsia="宋体" w:hAnsi="Times New Roman" w:cs="Times New Roman" w:hint="eastAsia"/>
          <w:b/>
          <w:color w:val="FF0000"/>
          <w:sz w:val="32"/>
          <w:szCs w:val="32"/>
        </w:rPr>
        <w:t>the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 xml:space="preserve"> institute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of higher learning </w:t>
      </w:r>
    </w:p>
    <w:p w:rsid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 w:hint="eastAsia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君子曰，学不可以已</w:t>
      </w:r>
      <w:r w:rsidRPr="005B455C">
        <w:rPr>
          <w:rFonts w:ascii="Times New Roman" w:eastAsia="宋体" w:hAnsi="Times New Roman" w:cs="Times New Roman" w:hint="eastAsia"/>
          <w:sz w:val="32"/>
          <w:szCs w:val="32"/>
        </w:rPr>
        <w:t>。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5B455C" w:rsidRPr="005B455C" w:rsidRDefault="005B455C" w:rsidP="005B455C">
      <w:p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Learning should never 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>cease</w:t>
      </w:r>
      <w:r w:rsidRPr="005B455C">
        <w:rPr>
          <w:rFonts w:ascii="Times New Roman" w:eastAsia="宋体" w:hAnsi="Times New Roman" w:cs="Times New Roman"/>
          <w:sz w:val="32"/>
          <w:szCs w:val="32"/>
        </w:rPr>
        <w:t>.</w:t>
      </w:r>
    </w:p>
    <w:p w:rsid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 w:hint="eastAsia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冰，水为之而寒于水。</w:t>
      </w:r>
    </w:p>
    <w:p w:rsidR="005B455C" w:rsidRPr="005B455C" w:rsidRDefault="005B455C" w:rsidP="005B455C">
      <w:p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Ice </w:t>
      </w:r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 xml:space="preserve">is made of 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water but colder than water ever is. 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金就</w:t>
      </w:r>
      <w:proofErr w:type="gramStart"/>
      <w:r w:rsidRPr="005B455C">
        <w:rPr>
          <w:rFonts w:ascii="Times New Roman" w:eastAsia="宋体" w:hAnsi="Times New Roman" w:cs="Times New Roman"/>
          <w:sz w:val="32"/>
          <w:szCs w:val="32"/>
        </w:rPr>
        <w:t>砺</w:t>
      </w:r>
      <w:proofErr w:type="gramEnd"/>
      <w:r w:rsidRPr="005B455C">
        <w:rPr>
          <w:rFonts w:ascii="Times New Roman" w:eastAsia="宋体" w:hAnsi="Times New Roman" w:cs="Times New Roman"/>
          <w:sz w:val="32"/>
          <w:szCs w:val="32"/>
        </w:rPr>
        <w:t>则利。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If metal is put to the grindstone, it can be sharpened.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行动不犯错误。</w:t>
      </w:r>
      <w:r w:rsidRPr="005B455C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5B455C">
        <w:rPr>
          <w:rFonts w:ascii="Times New Roman" w:eastAsia="宋体" w:hAnsi="Times New Roman" w:cs="Times New Roman"/>
          <w:sz w:val="32"/>
          <w:szCs w:val="32"/>
        </w:rPr>
        <w:t>H</w:t>
      </w:r>
      <w:r w:rsidRPr="005B455C">
        <w:rPr>
          <w:rFonts w:ascii="Times New Roman" w:eastAsia="宋体" w:hAnsi="Times New Roman" w:cs="Times New Roman" w:hint="eastAsia"/>
          <w:sz w:val="32"/>
          <w:szCs w:val="32"/>
        </w:rPr>
        <w:t>is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conduct will be without fault. </w:t>
      </w:r>
    </w:p>
    <w:p w:rsid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 w:hint="eastAsia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吾尝终日而思矣，不如须臾之所学也。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5B455C" w:rsidRPr="005B455C" w:rsidRDefault="005B455C" w:rsidP="005B455C">
      <w:p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I once tried spending the whole day in thought, but I found it of less value than a moment of study.</w:t>
      </w:r>
    </w:p>
    <w:p w:rsid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 w:hint="eastAsia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深刻的认识会自我形成。</w:t>
      </w:r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5B455C" w:rsidRPr="005B455C" w:rsidRDefault="005B455C" w:rsidP="005B455C">
      <w:p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bookmarkStart w:id="0" w:name="_GoBack"/>
      <w:r w:rsidRPr="005B455C">
        <w:rPr>
          <w:rFonts w:ascii="Times New Roman" w:eastAsia="宋体" w:hAnsi="Times New Roman" w:cs="Times New Roman"/>
          <w:b/>
          <w:color w:val="FF0000"/>
          <w:sz w:val="32"/>
          <w:szCs w:val="32"/>
        </w:rPr>
        <w:t>Profound</w:t>
      </w:r>
      <w:bookmarkEnd w:id="0"/>
      <w:r w:rsidRPr="005B455C">
        <w:rPr>
          <w:rFonts w:ascii="Times New Roman" w:eastAsia="宋体" w:hAnsi="Times New Roman" w:cs="Times New Roman"/>
          <w:sz w:val="32"/>
          <w:szCs w:val="32"/>
        </w:rPr>
        <w:t xml:space="preserve"> understanding will come of itself. </w:t>
      </w:r>
    </w:p>
    <w:p w:rsidR="005B455C" w:rsidRPr="005B455C" w:rsidRDefault="005B455C" w:rsidP="005B455C">
      <w:pPr>
        <w:numPr>
          <w:ilvl w:val="0"/>
          <w:numId w:val="1"/>
        </w:num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骐骥一跃，不能十步；驽马十驾，功在不舍。</w:t>
      </w:r>
    </w:p>
    <w:p w:rsidR="005B455C" w:rsidRPr="005B455C" w:rsidRDefault="005B455C" w:rsidP="005B455C">
      <w:pPr>
        <w:spacing w:line="300" w:lineRule="auto"/>
        <w:ind w:left="357"/>
        <w:rPr>
          <w:rFonts w:ascii="Times New Roman" w:eastAsia="宋体" w:hAnsi="Times New Roman" w:cs="Times New Roman"/>
          <w:sz w:val="32"/>
          <w:szCs w:val="32"/>
        </w:rPr>
      </w:pPr>
      <w:r w:rsidRPr="005B455C">
        <w:rPr>
          <w:rFonts w:ascii="Times New Roman" w:eastAsia="宋体" w:hAnsi="Times New Roman" w:cs="Times New Roman"/>
          <w:sz w:val="32"/>
          <w:szCs w:val="32"/>
        </w:rPr>
        <w:t>The finest thoroughbred cannot travel ten paces in one leap, but the sorriest nag can go a ten days’ journey.</w:t>
      </w:r>
    </w:p>
    <w:p w:rsidR="002F467D" w:rsidRPr="005B455C" w:rsidRDefault="002F467D"/>
    <w:sectPr w:rsidR="002F467D" w:rsidRPr="005B455C" w:rsidSect="005B455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72A7"/>
    <w:multiLevelType w:val="hybridMultilevel"/>
    <w:tmpl w:val="1702FD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5C"/>
    <w:rsid w:val="002F467D"/>
    <w:rsid w:val="005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2022-09-16T01:55:00Z</dcterms:created>
  <dcterms:modified xsi:type="dcterms:W3CDTF">2022-09-16T02:00:00Z</dcterms:modified>
</cp:coreProperties>
</file>