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CEF57" w14:textId="77777777" w:rsidR="00275612" w:rsidRDefault="00000000">
      <w:pPr>
        <w:pStyle w:val="Title"/>
      </w:pPr>
      <w:r>
        <w:t>COVID-19 Prediction Using DEMI Methodology</w:t>
      </w:r>
    </w:p>
    <w:p w14:paraId="6F46A9B4" w14:textId="77777777" w:rsidR="00275612" w:rsidRDefault="00000000">
      <w:r>
        <w:t>A Knowledgebase and LASSO-Based Analysis of Symptom Progression and COVID-19 Probability</w:t>
      </w:r>
    </w:p>
    <w:p w14:paraId="04E95B13" w14:textId="77777777" w:rsidR="00275612" w:rsidRDefault="00000000">
      <w:r>
        <w:t>Abigail Morton</w:t>
      </w:r>
      <w:r>
        <w:br/>
        <w:t>George Mason University</w:t>
      </w:r>
      <w:r>
        <w:br/>
        <w:t>Health Informatics / Data Analytics</w:t>
      </w:r>
      <w:r>
        <w:br/>
        <w:t>May 2026</w:t>
      </w:r>
    </w:p>
    <w:p w14:paraId="0757A4F9" w14:textId="77777777" w:rsidR="00275612" w:rsidRDefault="00000000">
      <w:pPr>
        <w:pStyle w:val="Heading1"/>
      </w:pPr>
      <w:r>
        <w:t>Abstract</w:t>
      </w:r>
    </w:p>
    <w:p w14:paraId="4860995B" w14:textId="77777777" w:rsidR="00275612" w:rsidRDefault="00000000">
      <w:r>
        <w:t>This project developed a COVID-19 prediction system using DEMI methodology and the MIT COVID-CARE Phase II dataset. The objective was to estimate COVID-19 infection probability using symptoms and risk factors observable at home before clinical evaluation. The dataset contained 822 participant records and 472 variables including demographics, symptoms, vaccination status, exposure history, and PCR-confirmed COVID-19 test results. A total of 559 participants had PCR-confirmed results, including 58 positive cases and 501 negative cases, producing a baseline positivity rate of approximately 10.4%.</w:t>
      </w:r>
      <w:r>
        <w:br/>
      </w:r>
      <w:r>
        <w:br/>
        <w:t>Predictor variables included fever, cough, fatigue, sore throat, runny nose, shortness of breath, exposure history, vaccination status, and loss of taste or smell. DEMI processing established temporal order, calculated total effects, identified direct effects using repeated LASSO regressions, and estimated final probabilities. Loss of taste and smell emerged as the strongest direct predictors of COVID-19 positivity. Fever and chills also demonstrated strong systemic relationships with infection probability. The DEMI model demonstrated strong negative predictive value and improved interpretability compared to traditional black-box classification approaches.</w:t>
      </w:r>
    </w:p>
    <w:p w14:paraId="3CE81B0A" w14:textId="77777777" w:rsidR="00275612" w:rsidRDefault="00000000">
      <w:pPr>
        <w:pStyle w:val="Heading1"/>
      </w:pPr>
      <w:r>
        <w:t>Introduction</w:t>
      </w:r>
    </w:p>
    <w:p w14:paraId="2F622673" w14:textId="77777777" w:rsidR="00275612" w:rsidRDefault="00000000">
      <w:r>
        <w:t>COVID-19 created major challenges for healthcare systems because patients often needed to decide whether to isolate, seek testing, or pursue emergency care before receiving professional evaluation. Delays in care could worsen outcomes, while unnecessary emergency visits increased healthcare burden and exposure risk. Predictive modeling provides a method for estimating infection probability using symptoms and exposure history available at home.</w:t>
      </w:r>
      <w:r>
        <w:br/>
      </w:r>
      <w:r>
        <w:br/>
        <w:t xml:space="preserve">Previous predictive approaches have included logistic regression, neural networks, Bayesian modeling, and ensemble machine learning systems. DEMI methodology differs </w:t>
      </w:r>
      <w:r>
        <w:lastRenderedPageBreak/>
        <w:t>because it focuses on temporal order, direct effects, total effects, and final probability estimation within a healthcare knowledgebase. Rather than functioning as a purely black-box system, DEMI emphasizes causal reasoning and symptom progression, improving interpretability and clinical usefulness.</w:t>
      </w:r>
    </w:p>
    <w:p w14:paraId="6369DF1E" w14:textId="77777777" w:rsidR="00275612" w:rsidRDefault="00000000">
      <w:pPr>
        <w:pStyle w:val="Heading1"/>
      </w:pPr>
      <w:r>
        <w:t>Methods</w:t>
      </w:r>
    </w:p>
    <w:p w14:paraId="6FA17DD4" w14:textId="77777777" w:rsidR="00275612" w:rsidRDefault="00000000">
      <w:r>
        <w:t>The project used the MIT COVID-CARE Phase II dataset collected in 2021. The dataset included 822 participant records across 472 variables. Variables included demographics, symptoms, medical history, vaccination status, exposure history, and PCR-confirmed COVID-19 results.</w:t>
      </w:r>
      <w:r>
        <w:br/>
      </w:r>
      <w:r>
        <w:br/>
        <w:t>The primary outcome variable was PCR-confirmed COVID-19 positivity. Predictor variables included:</w:t>
      </w:r>
      <w:r>
        <w:br/>
        <w:t>• Fever and chills</w:t>
      </w:r>
      <w:r>
        <w:br/>
        <w:t>• Fatigue</w:t>
      </w:r>
      <w:r>
        <w:br/>
        <w:t>• Cough</w:t>
      </w:r>
      <w:r>
        <w:br/>
        <w:t>• Shortness of breath</w:t>
      </w:r>
      <w:r>
        <w:br/>
        <w:t>• Sore throat</w:t>
      </w:r>
      <w:r>
        <w:br/>
        <w:t>• Runny nose</w:t>
      </w:r>
      <w:r>
        <w:br/>
        <w:t>• Loss of taste</w:t>
      </w:r>
      <w:r>
        <w:br/>
        <w:t>• Loss of smell</w:t>
      </w:r>
      <w:r>
        <w:br/>
        <w:t>• Vaccination status</w:t>
      </w:r>
      <w:r>
        <w:br/>
        <w:t>• Exposure history</w:t>
      </w:r>
      <w:r>
        <w:br/>
        <w:t>• Demographic variables</w:t>
      </w:r>
      <w:r>
        <w:br/>
      </w:r>
      <w:r>
        <w:br/>
        <w:t>The DEMI process followed four major stages:</w:t>
      </w:r>
      <w:r>
        <w:br/>
        <w:t>1. Temporal ordering of variables</w:t>
      </w:r>
      <w:r>
        <w:br/>
        <w:t>2. Calculation of total effects</w:t>
      </w:r>
      <w:r>
        <w:br/>
        <w:t>3. Identification of direct effects using repeated LASSO regressions</w:t>
      </w:r>
      <w:r>
        <w:br/>
        <w:t>4. Estimation of final probability</w:t>
      </w:r>
      <w:r>
        <w:br/>
      </w:r>
      <w:r>
        <w:br/>
        <w:t>Variables were placed in temporal order beginning with demographics and exposure history followed by symptom progression and PCR confirmation. Repeated LASSO regressions removed weak coefficients using a coefficient threshold of ±0.05. Models with McFadden R-square values below 0.10 were excluded from the final network structure.</w:t>
      </w:r>
    </w:p>
    <w:p w14:paraId="2165187E" w14:textId="77777777" w:rsidR="00275612" w:rsidRDefault="00000000">
      <w:pPr>
        <w:pStyle w:val="Heading1"/>
      </w:pPr>
      <w:r>
        <w:t>Results</w:t>
      </w:r>
    </w:p>
    <w:p w14:paraId="3E695198" w14:textId="77777777" w:rsidR="00275612" w:rsidRDefault="00000000">
      <w:r>
        <w:t>The dataset demonstrated a baseline COVID-19 positivity rate of approximately 10.4%, with 58 positive PCR-confirmed cases among 559 participants with available test results.</w:t>
      </w:r>
      <w:r>
        <w:br/>
      </w:r>
      <w:r>
        <w:br/>
        <w:t>The DEMI symptom progression network generally followed this sequence:</w:t>
      </w:r>
      <w:r>
        <w:br/>
      </w:r>
      <w:r>
        <w:lastRenderedPageBreak/>
        <w:t>1. Exposure history</w:t>
      </w:r>
      <w:r>
        <w:br/>
        <w:t>2. Fatigue and systemic symptoms</w:t>
      </w:r>
      <w:r>
        <w:br/>
        <w:t>3. Fever and chills</w:t>
      </w:r>
      <w:r>
        <w:br/>
        <w:t>4. Respiratory symptoms</w:t>
      </w:r>
      <w:r>
        <w:br/>
        <w:t>5. Loss of taste and smell</w:t>
      </w:r>
      <w:r>
        <w:br/>
        <w:t>6. Shortness of breath</w:t>
      </w:r>
      <w:r>
        <w:br/>
        <w:t>7. PCR-confirmed positivity</w:t>
      </w:r>
      <w:r>
        <w:br/>
      </w:r>
      <w:r>
        <w:br/>
        <w:t>Loss of taste and smell emerged as the strongest direct predictors of COVID-19 positivity. Fever/chills demonstrated one of the largest total effects within the knowledgebase. Exposure history also significantly increased predicted probability.</w:t>
      </w:r>
      <w:r>
        <w:br/>
      </w:r>
      <w:r>
        <w:br/>
        <w:t>Repeated LASSO regressions identified strong direct predictors while removing weak associations. Variables with coefficients less than or equal to ±0.05 were excluded from the final network.</w:t>
      </w:r>
      <w:r>
        <w:br/>
      </w:r>
      <w:r>
        <w:br/>
        <w:t>The project additionally calculated:</w:t>
      </w:r>
      <w:r>
        <w:br/>
        <w:t>• Baseline COVID probability</w:t>
      </w:r>
      <w:r>
        <w:br/>
        <w:t>• Fever effect</w:t>
      </w:r>
      <w:r>
        <w:br/>
        <w:t>• Direct fever effect</w:t>
      </w:r>
      <w:r>
        <w:br/>
        <w:t>• Mediation effect through chills</w:t>
      </w:r>
      <w:r>
        <w:br/>
      </w:r>
      <w:r>
        <w:br/>
        <w:t>The DEMI network demonstrated strong ability to identify low-risk individuals while improving interpretability of symptom relationships.</w:t>
      </w:r>
    </w:p>
    <w:p w14:paraId="696C1A6B" w14:textId="77777777" w:rsidR="00275612" w:rsidRDefault="00000000">
      <w:pPr>
        <w:pStyle w:val="Heading1"/>
      </w:pPr>
      <w:r>
        <w:t>Discussion</w:t>
      </w:r>
    </w:p>
    <w:p w14:paraId="733E71C8" w14:textId="77777777" w:rsidR="00275612" w:rsidRDefault="00000000">
      <w:r>
        <w:t>The results demonstrate that DEMI methodology can effectively estimate COVID-19 infection probability using home-observable symptoms and exposure history. Loss of taste and smell emerged as the strongest predictors of PCR-confirmed COVID-19 positivity, consistent with published findings regarding COVID-19 neurological involvement.</w:t>
      </w:r>
      <w:r>
        <w:br/>
      </w:r>
      <w:r>
        <w:br/>
        <w:t>A major strength of DEMI methodology is that it models temporal symptom progression and causal relationships rather than relying solely on classification accuracy. This improves interpretability and allows symptom progression to be visualized clinically.</w:t>
      </w:r>
      <w:r>
        <w:br/>
      </w:r>
      <w:r>
        <w:br/>
        <w:t>Limitations included a relatively small number of PCR-positive cases, self-reported symptoms, and data collected prior to later COVID-19 variants such as Omicron. Despite these limitations, the project demonstrated that probabilistic symptom modeling can support early healthcare decision-making and pre-clinical screening.</w:t>
      </w:r>
    </w:p>
    <w:p w14:paraId="3D9FE99C" w14:textId="77777777" w:rsidR="00275612" w:rsidRDefault="00000000">
      <w:pPr>
        <w:pStyle w:val="Heading1"/>
      </w:pPr>
      <w:r>
        <w:lastRenderedPageBreak/>
        <w:t>Conclusion</w:t>
      </w:r>
    </w:p>
    <w:p w14:paraId="3AD1EB80" w14:textId="77777777" w:rsidR="00275612" w:rsidRDefault="00000000">
      <w:r>
        <w:t>DEMI-based COVID-19 prediction provides a clinically useful framework for estimating infection probability using symptom progression, causal relationships, and home-observable risk factors before formal medical evaluation.</w:t>
      </w:r>
    </w:p>
    <w:p w14:paraId="22446192" w14:textId="77777777" w:rsidR="00275612" w:rsidRDefault="00000000">
      <w:pPr>
        <w:pStyle w:val="Heading1"/>
      </w:pPr>
      <w:r>
        <w:t>References</w:t>
      </w:r>
    </w:p>
    <w:p w14:paraId="345FF03D" w14:textId="77777777" w:rsidR="00275612" w:rsidRDefault="00000000">
      <w:r>
        <w:t>MIT COVID-CARE Phase II Dataset (2021)</w:t>
      </w:r>
      <w:r>
        <w:br/>
      </w:r>
      <w:r>
        <w:br/>
        <w:t>Alemi, H. DEMI methodology course materials.</w:t>
      </w:r>
      <w:r>
        <w:br/>
      </w:r>
      <w:r>
        <w:br/>
        <w:t>Centers for Disease Control and Prevention (CDC). COVID-19 symptom prevalence data.</w:t>
      </w:r>
      <w:r>
        <w:br/>
      </w:r>
      <w:r>
        <w:br/>
        <w:t>Python Software Foundation. Python 3.11.</w:t>
      </w:r>
      <w:r>
        <w:br/>
      </w:r>
      <w:r>
        <w:br/>
        <w:t>Scikit-learn Machine Learning Library.</w:t>
      </w:r>
      <w:r>
        <w:br/>
      </w:r>
      <w:r>
        <w:br/>
        <w:t>XGBoost Documentation.</w:t>
      </w:r>
    </w:p>
    <w:sectPr w:rsidR="002756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827372">
    <w:abstractNumId w:val="8"/>
  </w:num>
  <w:num w:numId="2" w16cid:durableId="1874030390">
    <w:abstractNumId w:val="6"/>
  </w:num>
  <w:num w:numId="3" w16cid:durableId="1665813187">
    <w:abstractNumId w:val="5"/>
  </w:num>
  <w:num w:numId="4" w16cid:durableId="732849983">
    <w:abstractNumId w:val="4"/>
  </w:num>
  <w:num w:numId="5" w16cid:durableId="1922449247">
    <w:abstractNumId w:val="7"/>
  </w:num>
  <w:num w:numId="6" w16cid:durableId="166360879">
    <w:abstractNumId w:val="3"/>
  </w:num>
  <w:num w:numId="7" w16cid:durableId="1853453865">
    <w:abstractNumId w:val="2"/>
  </w:num>
  <w:num w:numId="8" w16cid:durableId="568002535">
    <w:abstractNumId w:val="1"/>
  </w:num>
  <w:num w:numId="9" w16cid:durableId="1826361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5612"/>
    <w:rsid w:val="0029639D"/>
    <w:rsid w:val="00326F90"/>
    <w:rsid w:val="00A8019B"/>
    <w:rsid w:val="00AA1D8D"/>
    <w:rsid w:val="00B47730"/>
    <w:rsid w:val="00CB0664"/>
    <w:rsid w:val="00DD18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364C0"/>
  <w14:defaultImageDpi w14:val="300"/>
  <w15:docId w15:val="{6FC427F7-ACBE-364F-8F47-C92335218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913</Words>
  <Characters>5208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Abigail Morton</cp:lastModifiedBy>
  <cp:revision>2</cp:revision>
  <dcterms:created xsi:type="dcterms:W3CDTF">2026-05-06T19:14:00Z</dcterms:created>
  <dcterms:modified xsi:type="dcterms:W3CDTF">2026-05-06T19:14:00Z</dcterms:modified>
  <cp:category/>
</cp:coreProperties>
</file>