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Orsolino, Abigail 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CITCS-1C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32"/>
          <w:szCs w:val="32"/>
        </w:rPr>
        <w:t>Packet Tracer - Implementing a Subnetted IPv6 Addressing Scheme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  <w:t>Addressing Table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76700" cy="2988310"/>
            <wp:effectExtent l="0" t="0" r="0" b="2540"/>
            <wp:docPr id="1" name="Picture 1" descr="8.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.3.1.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/>
        <w:keepLines w:val="0"/>
        <w:widowControl/>
        <w:suppressLineNumbers w:val="0"/>
        <w:spacing w:before="240" w:beforeAutospacing="0" w:after="60" w:afterAutospacing="0" w:line="315" w:lineRule="atLeast"/>
        <w:ind w:left="1080" w:right="0" w:hanging="1080"/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Part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Determine the IPv6 Subnets and Addressing Scheme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Determine the number of subnets needed.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Start with the IPv6 subnet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2001:DB8:ACAD:00C8::/64 and assign it to the R1 LAN attached to GigabitEthernet 0/0, as shown in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Subnet Table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 For the rest of the IPv6 subnets, increment the 2001:DB8:ACAD:00C8::/64 subnet address by 1 and complete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Subnet Table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with the IPv6 subnet addresses.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Subnet Table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jc w:val="center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3771900" cy="1581150"/>
            <wp:effectExtent l="0" t="0" r="0" b="0"/>
            <wp:docPr id="2" name="Picture 2" descr="8.3.1.4 2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.3.1.4 2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Assign IPv6 addressing to the routers.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first IPv6 addresses to R1 for the two LAN links and the WAN link.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first IPv6 addresses to R2 for the two LANs. Assign the second IPv6 address for the WAN link.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720" w:right="0" w:hanging="36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Document the IPv6 addressing scheme in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Addressing Table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2"/>
        <w:keepNext/>
        <w:keepLines w:val="0"/>
        <w:widowControl/>
        <w:suppressLineNumbers w:val="0"/>
        <w:spacing w:before="240" w:beforeAutospacing="0" w:after="60" w:afterAutospacing="0" w:line="315" w:lineRule="atLeast"/>
        <w:ind w:left="1080" w:right="0" w:hanging="1080"/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Part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</w:rPr>
        <w:t>Configure the IPv6 Addressing on Routers and PCs and Verify Connectivity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1: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Configure the routers with IPv6 addressing.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Note: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This network is already configured with some IPv6 commands that are covered in a later course. At this point in your studies, you only need to know how to configure IPv6 address on an interface.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Configure R1 and R2 with the IPv6 addresses you specified in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Addressing Table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and activate the interfaces.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72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Router(config-if)#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0"/>
          <w:szCs w:val="20"/>
        </w:rPr>
        <w:t>ipv6 address 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20"/>
          <w:szCs w:val="20"/>
        </w:rPr>
        <w:t>ipv6-address/prefix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72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Router(config-if)#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0"/>
          <w:szCs w:val="20"/>
        </w:rPr>
        <w:t>ipv6 address </w:t>
      </w:r>
      <w:r>
        <w:rPr>
          <w:rFonts w:hint="default" w:ascii="Courier New" w:hAnsi="Courier New" w:cs="Courier New"/>
          <w:b w:val="0"/>
          <w:i/>
          <w:caps w:val="0"/>
          <w:color w:val="000000"/>
          <w:spacing w:val="0"/>
          <w:sz w:val="20"/>
          <w:szCs w:val="20"/>
        </w:rPr>
        <w:t>ipv6-link-local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0"/>
          <w:szCs w:val="20"/>
        </w:rPr>
        <w:t>link-local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2: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Configure the PCs to automatically receive IPv6 addressing.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Configure the four PCs for autoconfiguration. Each should then automatically receive full IPv6 addresses from the routers.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55" w:lineRule="atLeast"/>
        <w:ind w:left="936" w:right="0" w:hanging="936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Step 3: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  <w:t>Verify connectivity between the PCs.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240" w:lineRule="auto"/>
        <w:ind w:left="36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Each PC should be able to ping the other PCs and the routers.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86D5A"/>
    <w:rsid w:val="105C2208"/>
    <w:rsid w:val="1E0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2019-07-03T15:04:00Z</dcterms:created>
  <dc:creator>Abi</dc:creator>
  <cp:lastModifiedBy>Abi</cp:lastModifiedBy>
  <dcterms:modified xsi:type="dcterms:W3CDTF">2019-07-03T16:33:35Z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