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Rose Namajunas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 w:val="0"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