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B6046" w14:textId="77777777" w:rsidR="00023128" w:rsidRDefault="00000000">
      <w:pPr>
        <w:spacing w:before="79"/>
        <w:ind w:left="108"/>
        <w:rPr>
          <w:sz w:val="16"/>
        </w:rPr>
      </w:pPr>
      <w:r>
        <w:rPr>
          <w:w w:val="105"/>
          <w:sz w:val="16"/>
        </w:rPr>
        <w:t>Приложение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№1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к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Памятке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по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организации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осмотра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ТС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(Условия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исключения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из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акта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некоторых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повреждений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запчастей)</w:t>
      </w:r>
    </w:p>
    <w:p w14:paraId="65BFC445" w14:textId="243315FE" w:rsidR="00023128" w:rsidRDefault="00F2701A">
      <w:pPr>
        <w:pStyle w:val="a3"/>
        <w:spacing w:before="44" w:line="259" w:lineRule="auto"/>
        <w:ind w:left="108" w:right="780"/>
      </w:pPr>
      <w:r w:rsidRPr="00F2701A">
        <w:t>г. Владивосток</w:t>
      </w:r>
      <w:r>
        <w:br/>
      </w:r>
      <w:r w:rsidR="00000000">
        <w:rPr>
          <w:w w:val="105"/>
        </w:rPr>
        <w:t>В случае если на момент дорожно-транспортного происшествия на детали имелась сквозная коррозия либо площадь</w:t>
      </w:r>
      <w:r w:rsidR="00000000">
        <w:rPr>
          <w:spacing w:val="1"/>
          <w:w w:val="105"/>
        </w:rPr>
        <w:t xml:space="preserve"> </w:t>
      </w:r>
      <w:r w:rsidR="00000000">
        <w:t>повреждения</w:t>
      </w:r>
      <w:r w:rsidR="00000000">
        <w:rPr>
          <w:spacing w:val="26"/>
        </w:rPr>
        <w:t xml:space="preserve"> </w:t>
      </w:r>
      <w:r w:rsidR="00000000">
        <w:t>лакокрасочного</w:t>
      </w:r>
      <w:r w:rsidR="00000000">
        <w:rPr>
          <w:spacing w:val="27"/>
        </w:rPr>
        <w:t xml:space="preserve"> </w:t>
      </w:r>
      <w:r w:rsidR="00000000">
        <w:t>покрытия</w:t>
      </w:r>
      <w:r w:rsidR="00000000">
        <w:rPr>
          <w:spacing w:val="26"/>
        </w:rPr>
        <w:t xml:space="preserve"> </w:t>
      </w:r>
      <w:r w:rsidR="00000000">
        <w:t>детали</w:t>
      </w:r>
      <w:r w:rsidR="00000000">
        <w:rPr>
          <w:spacing w:val="27"/>
        </w:rPr>
        <w:t xml:space="preserve"> </w:t>
      </w:r>
      <w:r w:rsidR="00000000">
        <w:t>превышала</w:t>
      </w:r>
      <w:r w:rsidR="00000000">
        <w:rPr>
          <w:spacing w:val="26"/>
        </w:rPr>
        <w:t xml:space="preserve"> </w:t>
      </w:r>
      <w:r w:rsidR="00000000">
        <w:t>25</w:t>
      </w:r>
      <w:r w:rsidR="00000000">
        <w:rPr>
          <w:spacing w:val="27"/>
        </w:rPr>
        <w:t xml:space="preserve"> </w:t>
      </w:r>
      <w:r w:rsidR="00000000">
        <w:t>процентов</w:t>
      </w:r>
      <w:r w:rsidR="00000000">
        <w:rPr>
          <w:spacing w:val="26"/>
        </w:rPr>
        <w:t xml:space="preserve"> </w:t>
      </w:r>
      <w:r w:rsidR="00000000">
        <w:t>общей</w:t>
      </w:r>
      <w:r w:rsidR="00000000">
        <w:rPr>
          <w:spacing w:val="27"/>
        </w:rPr>
        <w:t xml:space="preserve"> </w:t>
      </w:r>
      <w:r w:rsidR="00000000">
        <w:t>площади</w:t>
      </w:r>
      <w:r w:rsidR="00000000">
        <w:rPr>
          <w:spacing w:val="26"/>
        </w:rPr>
        <w:t xml:space="preserve"> </w:t>
      </w:r>
      <w:r w:rsidR="00000000">
        <w:t>наружной</w:t>
      </w:r>
      <w:r w:rsidR="00000000">
        <w:rPr>
          <w:spacing w:val="27"/>
        </w:rPr>
        <w:t xml:space="preserve"> </w:t>
      </w:r>
      <w:r w:rsidR="00000000">
        <w:t>поверхности</w:t>
      </w:r>
      <w:r w:rsidR="00000000">
        <w:rPr>
          <w:spacing w:val="26"/>
        </w:rPr>
        <w:t xml:space="preserve"> </w:t>
      </w:r>
      <w:r w:rsidR="00000000">
        <w:t>детали,</w:t>
      </w:r>
      <w:r w:rsidR="00000000">
        <w:rPr>
          <w:spacing w:val="-42"/>
        </w:rPr>
        <w:t xml:space="preserve"> </w:t>
      </w:r>
      <w:r w:rsidR="00000000">
        <w:rPr>
          <w:w w:val="105"/>
        </w:rPr>
        <w:t>либо цвет окраски поврежденной детали не соответствовал основному цвету кузова транспортного средства (за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исключением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случаев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специального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цветографического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оформления),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окраска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такой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детали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не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назначается.</w:t>
      </w:r>
    </w:p>
    <w:p w14:paraId="08D97B9D" w14:textId="77777777" w:rsidR="00023128" w:rsidRDefault="00000000">
      <w:pPr>
        <w:pStyle w:val="a3"/>
        <w:spacing w:before="71" w:line="259" w:lineRule="auto"/>
        <w:ind w:left="108" w:right="780"/>
      </w:pPr>
      <w:r>
        <w:rPr>
          <w:w w:val="105"/>
        </w:rPr>
        <w:t>В случае когда в ходе осмотра транспортного средства сделано заключение о полной гибели такого транспортного</w:t>
      </w:r>
      <w:r>
        <w:rPr>
          <w:spacing w:val="1"/>
          <w:w w:val="105"/>
        </w:rPr>
        <w:t xml:space="preserve"> </w:t>
      </w:r>
      <w:r>
        <w:rPr>
          <w:w w:val="105"/>
        </w:rPr>
        <w:t>средства по техническим показателям или предположение об экономической нецелесообразности проведения его</w:t>
      </w:r>
      <w:r>
        <w:rPr>
          <w:spacing w:val="1"/>
          <w:w w:val="105"/>
        </w:rPr>
        <w:t xml:space="preserve"> </w:t>
      </w:r>
      <w:r>
        <w:rPr>
          <w:w w:val="105"/>
        </w:rPr>
        <w:t>восстановительного ремонта, в акте осмотра (или в приложении к нему) должны быть отражены перечень и состояние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неповрежденных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деталей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(узлов,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агрегатов)</w:t>
      </w:r>
      <w:r>
        <w:rPr>
          <w:spacing w:val="-11"/>
          <w:w w:val="105"/>
        </w:rPr>
        <w:t xml:space="preserve"> </w:t>
      </w:r>
      <w:r>
        <w:rPr>
          <w:w w:val="105"/>
        </w:rPr>
        <w:t>транспортного</w:t>
      </w:r>
      <w:r>
        <w:rPr>
          <w:spacing w:val="-10"/>
          <w:w w:val="105"/>
        </w:rPr>
        <w:t xml:space="preserve"> </w:t>
      </w:r>
      <w:r>
        <w:rPr>
          <w:w w:val="105"/>
        </w:rPr>
        <w:t>средства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целях</w:t>
      </w:r>
      <w:r>
        <w:rPr>
          <w:spacing w:val="-11"/>
          <w:w w:val="105"/>
        </w:rPr>
        <w:t xml:space="preserve"> </w:t>
      </w:r>
      <w:r>
        <w:rPr>
          <w:w w:val="105"/>
        </w:rPr>
        <w:t>определения</w:t>
      </w:r>
      <w:r>
        <w:rPr>
          <w:spacing w:val="-11"/>
          <w:w w:val="105"/>
        </w:rPr>
        <w:t xml:space="preserve"> </w:t>
      </w:r>
      <w:r>
        <w:rPr>
          <w:w w:val="105"/>
        </w:rPr>
        <w:t>их</w:t>
      </w:r>
      <w:r>
        <w:rPr>
          <w:spacing w:val="-10"/>
          <w:w w:val="105"/>
        </w:rPr>
        <w:t xml:space="preserve"> </w:t>
      </w:r>
      <w:r>
        <w:rPr>
          <w:w w:val="105"/>
        </w:rPr>
        <w:t>стоимости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-11"/>
          <w:w w:val="105"/>
        </w:rPr>
        <w:t xml:space="preserve"> </w:t>
      </w:r>
      <w:r>
        <w:rPr>
          <w:w w:val="105"/>
        </w:rPr>
        <w:t>годных</w:t>
      </w:r>
      <w:r>
        <w:rPr>
          <w:spacing w:val="-44"/>
          <w:w w:val="105"/>
        </w:rPr>
        <w:t xml:space="preserve"> </w:t>
      </w:r>
      <w:r>
        <w:rPr>
          <w:spacing w:val="-1"/>
          <w:w w:val="105"/>
        </w:rPr>
        <w:t>остатков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зафиксированы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эти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показатели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для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определения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стоимости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транспортного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средства</w:t>
      </w:r>
      <w:r>
        <w:rPr>
          <w:spacing w:val="-10"/>
          <w:w w:val="105"/>
        </w:rPr>
        <w:t xml:space="preserve"> </w:t>
      </w:r>
      <w:r>
        <w:rPr>
          <w:w w:val="105"/>
        </w:rPr>
        <w:t>до</w:t>
      </w:r>
      <w:r>
        <w:rPr>
          <w:spacing w:val="-11"/>
          <w:w w:val="105"/>
        </w:rPr>
        <w:t xml:space="preserve"> </w:t>
      </w:r>
      <w:r>
        <w:rPr>
          <w:w w:val="105"/>
        </w:rPr>
        <w:t>дорожно-транспортного</w:t>
      </w:r>
      <w:r>
        <w:rPr>
          <w:spacing w:val="-44"/>
          <w:w w:val="105"/>
        </w:rPr>
        <w:t xml:space="preserve"> </w:t>
      </w:r>
      <w:r>
        <w:rPr>
          <w:w w:val="105"/>
        </w:rPr>
        <w:t>происшествия.</w:t>
      </w:r>
    </w:p>
    <w:p w14:paraId="1A67E2C5" w14:textId="77777777" w:rsidR="00023128" w:rsidRDefault="00023128">
      <w:pPr>
        <w:pStyle w:val="a3"/>
        <w:spacing w:before="2"/>
        <w:rPr>
          <w:sz w:val="23"/>
        </w:rPr>
      </w:pPr>
    </w:p>
    <w:p w14:paraId="1E7363E7" w14:textId="77777777" w:rsidR="00023128" w:rsidRDefault="00023128">
      <w:pPr>
        <w:rPr>
          <w:sz w:val="23"/>
        </w:rPr>
        <w:sectPr w:rsidR="00023128">
          <w:type w:val="continuous"/>
          <w:pgSz w:w="11920" w:h="16860"/>
          <w:pgMar w:top="1040" w:right="360" w:bottom="280" w:left="940" w:header="720" w:footer="720" w:gutter="0"/>
          <w:cols w:space="720"/>
        </w:sectPr>
      </w:pPr>
    </w:p>
    <w:p w14:paraId="4BCC6192" w14:textId="77777777" w:rsidR="00023128" w:rsidRDefault="00023128">
      <w:pPr>
        <w:pStyle w:val="a3"/>
        <w:spacing w:before="2"/>
      </w:pPr>
    </w:p>
    <w:p w14:paraId="6371F070" w14:textId="249A68F4" w:rsidR="00023128" w:rsidRDefault="00000000" w:rsidP="00F2701A">
      <w:pPr>
        <w:pStyle w:val="a3"/>
        <w:tabs>
          <w:tab w:val="left" w:pos="3989"/>
        </w:tabs>
        <w:spacing w:before="1" w:line="259" w:lineRule="auto"/>
        <w:ind w:left="108" w:right="38"/>
      </w:pPr>
      <w:r>
        <w:t>Ознакомлен</w:t>
      </w:r>
      <w:r>
        <w:rPr>
          <w:spacing w:val="30"/>
        </w:rPr>
        <w:t xml:space="preserve"> </w:t>
      </w:r>
      <w:r>
        <w:t>(-а):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 w:rsidR="00F2701A" w:rsidRPr="00F2701A">
        <w:rPr>
          <w:w w:val="105"/>
        </w:rPr>
        <w:t>Щербинин Сергей Александрович</w:t>
      </w:r>
      <w:r>
        <w:br w:type="column"/>
      </w:r>
      <w:r w:rsidR="00F2701A">
        <w:br/>
      </w:r>
      <w:r>
        <w:rPr>
          <w:w w:val="105"/>
        </w:rPr>
        <w:t>Цессионарий: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 w14:paraId="1D799803" w14:textId="079D6230" w:rsidR="00023128" w:rsidRDefault="00F2701A">
      <w:pPr>
        <w:spacing w:line="259" w:lineRule="auto"/>
        <w:sectPr w:rsidR="00023128">
          <w:type w:val="continuous"/>
          <w:pgSz w:w="11920" w:h="16860"/>
          <w:pgMar w:top="1040" w:right="360" w:bottom="280" w:left="940" w:header="720" w:footer="720" w:gutter="0"/>
          <w:cols w:num="2" w:space="720" w:equalWidth="0">
            <w:col w:w="4030" w:space="598"/>
            <w:col w:w="5992"/>
          </w:cols>
        </w:sectPr>
      </w:pPr>
      <w:r>
        <w:rPr>
          <w:sz w:val="18"/>
          <w:szCs w:val="18"/>
        </w:rPr>
        <w:t xml:space="preserve">  </w:t>
      </w:r>
      <w:r w:rsidRPr="00F2701A">
        <w:rPr>
          <w:sz w:val="18"/>
          <w:szCs w:val="18"/>
        </w:rPr>
        <w:t>Менеджер по работе с клиентами ООО "Правовой холдинг" Бируля М.В.</w:t>
      </w:r>
    </w:p>
    <w:p w14:paraId="5CC960F6" w14:textId="77777777" w:rsidR="00023128" w:rsidRDefault="00023128">
      <w:pPr>
        <w:pStyle w:val="a3"/>
        <w:rPr>
          <w:sz w:val="20"/>
        </w:rPr>
      </w:pPr>
    </w:p>
    <w:p w14:paraId="3499AE36" w14:textId="77777777" w:rsidR="00023128" w:rsidRDefault="00023128">
      <w:pPr>
        <w:pStyle w:val="a3"/>
        <w:rPr>
          <w:sz w:val="20"/>
        </w:rPr>
      </w:pPr>
    </w:p>
    <w:p w14:paraId="06BD163A" w14:textId="77777777" w:rsidR="00023128" w:rsidRDefault="00023128">
      <w:pPr>
        <w:pStyle w:val="a3"/>
        <w:rPr>
          <w:sz w:val="20"/>
        </w:rPr>
      </w:pPr>
    </w:p>
    <w:p w14:paraId="1F0A62EC" w14:textId="77777777" w:rsidR="00023128" w:rsidRDefault="00023128">
      <w:pPr>
        <w:pStyle w:val="a3"/>
        <w:spacing w:before="7"/>
        <w:rPr>
          <w:sz w:val="22"/>
        </w:rPr>
      </w:pPr>
    </w:p>
    <w:p w14:paraId="6C81C5E2" w14:textId="77777777" w:rsidR="00023128" w:rsidRDefault="00000000">
      <w:pPr>
        <w:spacing w:before="1"/>
        <w:ind w:left="1430" w:right="2029"/>
        <w:jc w:val="center"/>
        <w:rPr>
          <w:b/>
          <w:sz w:val="18"/>
        </w:rPr>
      </w:pPr>
      <w:r>
        <w:rPr>
          <w:b/>
          <w:sz w:val="18"/>
        </w:rPr>
        <w:t>НЕКОТОРЫЕ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ПОЛОЖЕНИЯ</w:t>
      </w:r>
    </w:p>
    <w:p w14:paraId="49915A40" w14:textId="77777777" w:rsidR="00023128" w:rsidRDefault="00000000">
      <w:pPr>
        <w:spacing w:before="86"/>
        <w:ind w:left="1430" w:right="2029"/>
        <w:jc w:val="center"/>
        <w:rPr>
          <w:b/>
          <w:sz w:val="18"/>
        </w:rPr>
      </w:pPr>
      <w:r>
        <w:rPr>
          <w:b/>
          <w:spacing w:val="-1"/>
          <w:w w:val="105"/>
          <w:sz w:val="18"/>
        </w:rPr>
        <w:t>расчета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стоимости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годных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остатков</w:t>
      </w:r>
      <w:r>
        <w:rPr>
          <w:b/>
          <w:spacing w:val="-10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в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случае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spacing w:val="-1"/>
          <w:w w:val="105"/>
          <w:sz w:val="18"/>
        </w:rPr>
        <w:t>полной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w w:val="105"/>
          <w:sz w:val="18"/>
        </w:rPr>
        <w:t>гибели</w:t>
      </w:r>
      <w:r>
        <w:rPr>
          <w:b/>
          <w:spacing w:val="-10"/>
          <w:w w:val="105"/>
          <w:sz w:val="18"/>
        </w:rPr>
        <w:t xml:space="preserve"> </w:t>
      </w:r>
      <w:r>
        <w:rPr>
          <w:b/>
          <w:w w:val="105"/>
          <w:sz w:val="18"/>
        </w:rPr>
        <w:t>транспортного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w w:val="105"/>
          <w:sz w:val="18"/>
        </w:rPr>
        <w:t>средства</w:t>
      </w:r>
    </w:p>
    <w:p w14:paraId="6840197F" w14:textId="77777777" w:rsidR="00023128" w:rsidRDefault="00000000">
      <w:pPr>
        <w:pStyle w:val="a3"/>
        <w:spacing w:before="115" w:line="259" w:lineRule="auto"/>
        <w:ind w:left="108" w:right="780"/>
      </w:pPr>
      <w:r>
        <w:rPr>
          <w:w w:val="105"/>
        </w:rPr>
        <w:t>В случае когда в ходе осмотра транспортного средства сделано заключение о полной гибели такого транспортного</w:t>
      </w:r>
      <w:r>
        <w:rPr>
          <w:spacing w:val="1"/>
          <w:w w:val="105"/>
        </w:rPr>
        <w:t xml:space="preserve"> </w:t>
      </w:r>
      <w:r>
        <w:rPr>
          <w:w w:val="105"/>
        </w:rPr>
        <w:t>средства по техническим показателям или предположение об экономической нецелесообразности проведения его</w:t>
      </w:r>
      <w:r>
        <w:rPr>
          <w:spacing w:val="1"/>
          <w:w w:val="105"/>
        </w:rPr>
        <w:t xml:space="preserve"> </w:t>
      </w:r>
      <w:r>
        <w:rPr>
          <w:w w:val="105"/>
        </w:rPr>
        <w:t>восстановительного ремонта, в акте осмотра (или в приложении к нему) должны быть отражены перечень и состояние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неповрежденных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деталей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(узлов,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агрегатов)</w:t>
      </w:r>
      <w:r>
        <w:rPr>
          <w:spacing w:val="-11"/>
          <w:w w:val="105"/>
        </w:rPr>
        <w:t xml:space="preserve"> </w:t>
      </w:r>
      <w:r>
        <w:rPr>
          <w:w w:val="105"/>
        </w:rPr>
        <w:t>транспортного</w:t>
      </w:r>
      <w:r>
        <w:rPr>
          <w:spacing w:val="-10"/>
          <w:w w:val="105"/>
        </w:rPr>
        <w:t xml:space="preserve"> </w:t>
      </w:r>
      <w:r>
        <w:rPr>
          <w:w w:val="105"/>
        </w:rPr>
        <w:t>средства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целях</w:t>
      </w:r>
      <w:r>
        <w:rPr>
          <w:spacing w:val="-11"/>
          <w:w w:val="105"/>
        </w:rPr>
        <w:t xml:space="preserve"> </w:t>
      </w:r>
      <w:r>
        <w:rPr>
          <w:w w:val="105"/>
        </w:rPr>
        <w:t>определения</w:t>
      </w:r>
      <w:r>
        <w:rPr>
          <w:spacing w:val="-11"/>
          <w:w w:val="105"/>
        </w:rPr>
        <w:t xml:space="preserve"> </w:t>
      </w:r>
      <w:r>
        <w:rPr>
          <w:w w:val="105"/>
        </w:rPr>
        <w:t>их</w:t>
      </w:r>
      <w:r>
        <w:rPr>
          <w:spacing w:val="-10"/>
          <w:w w:val="105"/>
        </w:rPr>
        <w:t xml:space="preserve"> </w:t>
      </w:r>
      <w:r>
        <w:rPr>
          <w:w w:val="105"/>
        </w:rPr>
        <w:t>стоимости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-11"/>
          <w:w w:val="105"/>
        </w:rPr>
        <w:t xml:space="preserve"> </w:t>
      </w:r>
      <w:r>
        <w:rPr>
          <w:w w:val="105"/>
        </w:rPr>
        <w:t>годных</w:t>
      </w:r>
      <w:r>
        <w:rPr>
          <w:spacing w:val="-44"/>
          <w:w w:val="105"/>
        </w:rPr>
        <w:t xml:space="preserve"> </w:t>
      </w:r>
      <w:r>
        <w:rPr>
          <w:spacing w:val="-1"/>
          <w:w w:val="105"/>
        </w:rPr>
        <w:t>остатков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зафиксированы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эти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показатели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для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определения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стоимости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транспортного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средства</w:t>
      </w:r>
      <w:r>
        <w:rPr>
          <w:spacing w:val="-10"/>
          <w:w w:val="105"/>
        </w:rPr>
        <w:t xml:space="preserve"> </w:t>
      </w:r>
      <w:r>
        <w:rPr>
          <w:w w:val="105"/>
        </w:rPr>
        <w:t>до</w:t>
      </w:r>
      <w:r>
        <w:rPr>
          <w:spacing w:val="-11"/>
          <w:w w:val="105"/>
        </w:rPr>
        <w:t xml:space="preserve"> </w:t>
      </w:r>
      <w:r>
        <w:rPr>
          <w:w w:val="105"/>
        </w:rPr>
        <w:t>дорожно-транспортного</w:t>
      </w:r>
      <w:r>
        <w:rPr>
          <w:spacing w:val="-44"/>
          <w:w w:val="105"/>
        </w:rPr>
        <w:t xml:space="preserve"> </w:t>
      </w:r>
      <w:r>
        <w:rPr>
          <w:w w:val="105"/>
        </w:rPr>
        <w:t>происшествия.</w:t>
      </w:r>
    </w:p>
    <w:p w14:paraId="7E1F0B94" w14:textId="77777777" w:rsidR="00023128" w:rsidRDefault="00000000">
      <w:pPr>
        <w:pStyle w:val="a3"/>
        <w:spacing w:before="98" w:line="259" w:lineRule="auto"/>
        <w:ind w:left="108" w:right="814"/>
      </w:pPr>
      <w:r>
        <w:rPr>
          <w:w w:val="105"/>
        </w:rPr>
        <w:t>Стоимость годных остатков транспортного средства (стоимость, по которой они могут быть реализованы, учитывая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затраты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их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демонтаж,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дефектовку,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ремонт,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хранение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продажу)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должна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определяться</w:t>
      </w:r>
      <w:r>
        <w:rPr>
          <w:spacing w:val="-10"/>
          <w:w w:val="105"/>
        </w:rPr>
        <w:t xml:space="preserve"> </w:t>
      </w:r>
      <w:r>
        <w:rPr>
          <w:w w:val="105"/>
        </w:rPr>
        <w:t>по</w:t>
      </w:r>
      <w:r>
        <w:rPr>
          <w:spacing w:val="-10"/>
          <w:w w:val="105"/>
        </w:rPr>
        <w:t xml:space="preserve"> </w:t>
      </w:r>
      <w:r>
        <w:rPr>
          <w:w w:val="105"/>
        </w:rPr>
        <w:t>данным</w:t>
      </w:r>
      <w:r>
        <w:rPr>
          <w:spacing w:val="-10"/>
          <w:w w:val="105"/>
        </w:rPr>
        <w:t xml:space="preserve"> </w:t>
      </w:r>
      <w:r>
        <w:rPr>
          <w:w w:val="105"/>
        </w:rPr>
        <w:t>специализированных</w:t>
      </w:r>
      <w:r>
        <w:rPr>
          <w:spacing w:val="-44"/>
          <w:w w:val="105"/>
        </w:rPr>
        <w:t xml:space="preserve"> </w:t>
      </w:r>
      <w:r>
        <w:rPr>
          <w:w w:val="105"/>
        </w:rPr>
        <w:t>торгов, осуществляющих реализацию поврежденных транспортных средств без их разборки и вычленения годных</w:t>
      </w:r>
      <w:r>
        <w:rPr>
          <w:spacing w:val="1"/>
          <w:w w:val="105"/>
        </w:rPr>
        <w:t xml:space="preserve"> </w:t>
      </w:r>
      <w:r>
        <w:rPr>
          <w:w w:val="105"/>
        </w:rPr>
        <w:t>остатков. В отсутствие специализированных торгов допускается применение расчетных методов: использование и</w:t>
      </w:r>
      <w:r>
        <w:rPr>
          <w:spacing w:val="1"/>
          <w:w w:val="105"/>
        </w:rPr>
        <w:t xml:space="preserve"> </w:t>
      </w:r>
      <w:r>
        <w:rPr>
          <w:w w:val="105"/>
        </w:rPr>
        <w:t>обработка</w:t>
      </w:r>
      <w:r>
        <w:rPr>
          <w:spacing w:val="-8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8"/>
          <w:w w:val="105"/>
        </w:rPr>
        <w:t xml:space="preserve"> </w:t>
      </w:r>
      <w:r>
        <w:rPr>
          <w:w w:val="105"/>
        </w:rPr>
        <w:t>универсальных</w:t>
      </w:r>
      <w:r>
        <w:rPr>
          <w:spacing w:val="-8"/>
          <w:w w:val="105"/>
        </w:rPr>
        <w:t xml:space="preserve"> </w:t>
      </w:r>
      <w:r>
        <w:rPr>
          <w:w w:val="105"/>
        </w:rPr>
        <w:t>площадок</w:t>
      </w:r>
      <w:r>
        <w:rPr>
          <w:spacing w:val="-8"/>
          <w:w w:val="105"/>
        </w:rPr>
        <w:t xml:space="preserve"> </w:t>
      </w:r>
      <w:r>
        <w:rPr>
          <w:w w:val="105"/>
        </w:rPr>
        <w:t>(сайтов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информационно-телекоммуникационной</w:t>
      </w:r>
      <w:r>
        <w:rPr>
          <w:spacing w:val="-8"/>
          <w:w w:val="105"/>
        </w:rPr>
        <w:t xml:space="preserve"> </w:t>
      </w:r>
      <w:r>
        <w:rPr>
          <w:w w:val="105"/>
        </w:rPr>
        <w:t>сети</w:t>
      </w:r>
      <w:r>
        <w:rPr>
          <w:spacing w:val="-8"/>
          <w:w w:val="105"/>
        </w:rPr>
        <w:t xml:space="preserve"> </w:t>
      </w:r>
      <w:r>
        <w:rPr>
          <w:w w:val="105"/>
        </w:rPr>
        <w:t>"Интернет")</w:t>
      </w:r>
    </w:p>
    <w:p w14:paraId="080C22EE" w14:textId="77777777" w:rsidR="00023128" w:rsidRDefault="00000000">
      <w:pPr>
        <w:pStyle w:val="a3"/>
        <w:spacing w:before="71" w:line="259" w:lineRule="auto"/>
        <w:ind w:left="108" w:right="707"/>
      </w:pPr>
      <w:r>
        <w:rPr>
          <w:spacing w:val="-1"/>
          <w:w w:val="105"/>
        </w:rPr>
        <w:t>Справочники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формируются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и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утверждаются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профессиональным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объединением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страховщиков,</w:t>
      </w:r>
      <w:r>
        <w:rPr>
          <w:spacing w:val="-11"/>
          <w:w w:val="105"/>
        </w:rPr>
        <w:t xml:space="preserve"> </w:t>
      </w:r>
      <w:r>
        <w:rPr>
          <w:w w:val="105"/>
        </w:rPr>
        <w:t>созданным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соответствии</w:t>
      </w:r>
      <w:r>
        <w:rPr>
          <w:spacing w:val="-11"/>
          <w:w w:val="105"/>
        </w:rPr>
        <w:t xml:space="preserve"> </w:t>
      </w:r>
      <w:r>
        <w:rPr>
          <w:w w:val="105"/>
        </w:rPr>
        <w:t>с</w:t>
      </w:r>
      <w:r>
        <w:rPr>
          <w:spacing w:val="-44"/>
          <w:w w:val="105"/>
        </w:rPr>
        <w:t xml:space="preserve"> </w:t>
      </w:r>
      <w:r>
        <w:rPr>
          <w:spacing w:val="-1"/>
          <w:w w:val="105"/>
        </w:rPr>
        <w:t xml:space="preserve">Федеральным законом "Об обязательном страховании гражданской </w:t>
      </w:r>
      <w:r>
        <w:rPr>
          <w:w w:val="105"/>
        </w:rPr>
        <w:t>ответственности владельцев транспортных средств"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(далее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профессиональное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объединение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страховщиков),</w:t>
      </w:r>
      <w:r>
        <w:rPr>
          <w:spacing w:val="-10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учетом</w:t>
      </w:r>
      <w:r>
        <w:rPr>
          <w:spacing w:val="-10"/>
          <w:w w:val="105"/>
        </w:rPr>
        <w:t xml:space="preserve"> </w:t>
      </w:r>
      <w:r>
        <w:rPr>
          <w:w w:val="105"/>
        </w:rPr>
        <w:t>установленных</w:t>
      </w:r>
      <w:r>
        <w:rPr>
          <w:spacing w:val="-11"/>
          <w:w w:val="105"/>
        </w:rPr>
        <w:t xml:space="preserve"> </w:t>
      </w:r>
      <w:r>
        <w:rPr>
          <w:w w:val="105"/>
        </w:rPr>
        <w:t>границ</w:t>
      </w:r>
      <w:r>
        <w:rPr>
          <w:spacing w:val="-10"/>
          <w:w w:val="105"/>
        </w:rPr>
        <w:t xml:space="preserve"> </w:t>
      </w:r>
      <w:r>
        <w:rPr>
          <w:w w:val="105"/>
        </w:rPr>
        <w:t>региональных</w:t>
      </w:r>
      <w:r>
        <w:rPr>
          <w:spacing w:val="-11"/>
          <w:w w:val="105"/>
        </w:rPr>
        <w:t xml:space="preserve"> </w:t>
      </w:r>
      <w:r>
        <w:rPr>
          <w:w w:val="105"/>
        </w:rPr>
        <w:t>товарных</w:t>
      </w:r>
      <w:r>
        <w:rPr>
          <w:spacing w:val="-10"/>
          <w:w w:val="105"/>
        </w:rPr>
        <w:t xml:space="preserve"> </w:t>
      </w:r>
      <w:r>
        <w:rPr>
          <w:w w:val="105"/>
        </w:rPr>
        <w:t>рынков.</w:t>
      </w:r>
    </w:p>
    <w:p w14:paraId="54A4C92B" w14:textId="77777777" w:rsidR="00023128" w:rsidRDefault="00023128">
      <w:pPr>
        <w:pStyle w:val="a3"/>
        <w:rPr>
          <w:sz w:val="20"/>
        </w:rPr>
      </w:pPr>
    </w:p>
    <w:p w14:paraId="66484B29" w14:textId="3E0EF390" w:rsidR="00023128" w:rsidRDefault="00F2701A">
      <w:pPr>
        <w:pStyle w:val="a3"/>
        <w:spacing w:before="6"/>
        <w:rPr>
          <w:sz w:val="24"/>
        </w:rPr>
      </w:pPr>
      <w:r w:rsidRPr="00F2701A">
        <w:rPr>
          <w:w w:val="105"/>
        </w:rPr>
        <w:t>26.07.2024</w:t>
      </w:r>
      <w:r>
        <w:rPr>
          <w:w w:val="105"/>
        </w:rPr>
        <w:br/>
      </w:r>
    </w:p>
    <w:p w14:paraId="7E7861EC" w14:textId="77777777" w:rsidR="00023128" w:rsidRDefault="00000000">
      <w:pPr>
        <w:pStyle w:val="a3"/>
        <w:spacing w:before="98"/>
        <w:ind w:left="294"/>
      </w:pPr>
      <w:r>
        <w:rPr>
          <w:spacing w:val="-1"/>
          <w:w w:val="105"/>
        </w:rPr>
        <w:t>Ознакомлен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(-а):</w:t>
      </w:r>
    </w:p>
    <w:p w14:paraId="6B518881" w14:textId="77777777" w:rsidR="00023128" w:rsidRDefault="00000000">
      <w:pPr>
        <w:pStyle w:val="a3"/>
        <w:tabs>
          <w:tab w:val="left" w:pos="3649"/>
          <w:tab w:val="left" w:pos="6403"/>
        </w:tabs>
        <w:spacing w:before="87"/>
        <w:ind w:left="1785"/>
      </w:pP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>
        <w:rPr>
          <w:w w:val="105"/>
          <w:u w:val="single"/>
        </w:rPr>
        <w:t>/</w:t>
      </w:r>
      <w:r>
        <w:rPr>
          <w:w w:val="105"/>
          <w:u w:val="single"/>
        </w:rPr>
        <w:tab/>
      </w:r>
      <w:r>
        <w:rPr>
          <w:w w:val="105"/>
        </w:rPr>
        <w:t>/</w:t>
      </w:r>
    </w:p>
    <w:p w14:paraId="31EE9AC0" w14:textId="77777777" w:rsidR="00023128" w:rsidRDefault="00023128">
      <w:pPr>
        <w:pStyle w:val="a3"/>
        <w:rPr>
          <w:sz w:val="20"/>
        </w:rPr>
      </w:pPr>
    </w:p>
    <w:p w14:paraId="29B38228" w14:textId="77777777" w:rsidR="00023128" w:rsidRDefault="00023128">
      <w:pPr>
        <w:pStyle w:val="a3"/>
        <w:rPr>
          <w:sz w:val="20"/>
        </w:rPr>
      </w:pPr>
    </w:p>
    <w:p w14:paraId="6694FA2B" w14:textId="77777777" w:rsidR="00023128" w:rsidRDefault="00023128">
      <w:pPr>
        <w:pStyle w:val="a3"/>
        <w:rPr>
          <w:sz w:val="20"/>
        </w:rPr>
      </w:pPr>
    </w:p>
    <w:p w14:paraId="7C4E21F4" w14:textId="77777777" w:rsidR="00023128" w:rsidRDefault="00023128">
      <w:pPr>
        <w:pStyle w:val="a3"/>
        <w:rPr>
          <w:sz w:val="20"/>
        </w:rPr>
      </w:pPr>
    </w:p>
    <w:p w14:paraId="5C7981C7" w14:textId="77777777" w:rsidR="00023128" w:rsidRDefault="00023128">
      <w:pPr>
        <w:pStyle w:val="a3"/>
        <w:rPr>
          <w:sz w:val="20"/>
        </w:rPr>
      </w:pPr>
    </w:p>
    <w:p w14:paraId="3C749E1D" w14:textId="77777777" w:rsidR="00023128" w:rsidRDefault="00023128">
      <w:pPr>
        <w:pStyle w:val="a3"/>
        <w:rPr>
          <w:sz w:val="20"/>
        </w:rPr>
      </w:pPr>
    </w:p>
    <w:p w14:paraId="60E28ACF" w14:textId="77777777" w:rsidR="00023128" w:rsidRDefault="00023128">
      <w:pPr>
        <w:pStyle w:val="a3"/>
        <w:rPr>
          <w:sz w:val="20"/>
        </w:rPr>
      </w:pPr>
    </w:p>
    <w:p w14:paraId="6DF423F4" w14:textId="77777777" w:rsidR="00023128" w:rsidRDefault="00023128">
      <w:pPr>
        <w:pStyle w:val="a3"/>
        <w:rPr>
          <w:sz w:val="20"/>
        </w:rPr>
      </w:pPr>
    </w:p>
    <w:p w14:paraId="4A14320A" w14:textId="77777777" w:rsidR="00023128" w:rsidRDefault="00023128">
      <w:pPr>
        <w:pStyle w:val="a3"/>
        <w:rPr>
          <w:sz w:val="20"/>
        </w:rPr>
      </w:pPr>
    </w:p>
    <w:p w14:paraId="03D080C7" w14:textId="77777777" w:rsidR="00023128" w:rsidRDefault="00023128">
      <w:pPr>
        <w:pStyle w:val="a3"/>
        <w:rPr>
          <w:sz w:val="20"/>
        </w:rPr>
      </w:pPr>
    </w:p>
    <w:p w14:paraId="70E90F48" w14:textId="77777777" w:rsidR="00023128" w:rsidRDefault="00023128">
      <w:pPr>
        <w:pStyle w:val="a3"/>
        <w:rPr>
          <w:sz w:val="20"/>
        </w:rPr>
      </w:pPr>
    </w:p>
    <w:p w14:paraId="37FC37D1" w14:textId="77777777" w:rsidR="00023128" w:rsidRDefault="00023128">
      <w:pPr>
        <w:pStyle w:val="a3"/>
        <w:rPr>
          <w:sz w:val="20"/>
        </w:rPr>
      </w:pPr>
    </w:p>
    <w:p w14:paraId="61F60DBD" w14:textId="77777777" w:rsidR="00023128" w:rsidRDefault="00023128">
      <w:pPr>
        <w:pStyle w:val="a3"/>
        <w:rPr>
          <w:sz w:val="20"/>
        </w:rPr>
      </w:pPr>
    </w:p>
    <w:p w14:paraId="3779EA12" w14:textId="77777777" w:rsidR="00023128" w:rsidRDefault="00023128">
      <w:pPr>
        <w:pStyle w:val="a3"/>
        <w:rPr>
          <w:sz w:val="20"/>
        </w:rPr>
      </w:pPr>
    </w:p>
    <w:p w14:paraId="5B158948" w14:textId="77777777" w:rsidR="00023128" w:rsidRDefault="00023128">
      <w:pPr>
        <w:pStyle w:val="a3"/>
        <w:rPr>
          <w:sz w:val="20"/>
        </w:rPr>
      </w:pPr>
    </w:p>
    <w:p w14:paraId="644079B4" w14:textId="77777777" w:rsidR="00023128" w:rsidRDefault="00023128">
      <w:pPr>
        <w:pStyle w:val="a3"/>
        <w:rPr>
          <w:sz w:val="20"/>
        </w:rPr>
      </w:pPr>
    </w:p>
    <w:p w14:paraId="1889D379" w14:textId="77777777" w:rsidR="00023128" w:rsidRDefault="00023128">
      <w:pPr>
        <w:pStyle w:val="a3"/>
        <w:rPr>
          <w:sz w:val="20"/>
        </w:rPr>
      </w:pPr>
    </w:p>
    <w:p w14:paraId="7A827DB4" w14:textId="77777777" w:rsidR="00023128" w:rsidRDefault="00023128">
      <w:pPr>
        <w:pStyle w:val="a3"/>
        <w:rPr>
          <w:sz w:val="20"/>
        </w:rPr>
      </w:pPr>
    </w:p>
    <w:p w14:paraId="7B1D5DCB" w14:textId="77777777" w:rsidR="00023128" w:rsidRDefault="00023128">
      <w:pPr>
        <w:pStyle w:val="a3"/>
        <w:rPr>
          <w:sz w:val="20"/>
        </w:rPr>
      </w:pPr>
    </w:p>
    <w:p w14:paraId="30A43B3E" w14:textId="77777777" w:rsidR="00023128" w:rsidRDefault="00023128">
      <w:pPr>
        <w:pStyle w:val="a3"/>
        <w:rPr>
          <w:sz w:val="20"/>
        </w:rPr>
      </w:pPr>
    </w:p>
    <w:p w14:paraId="2781952A" w14:textId="77777777" w:rsidR="00023128" w:rsidRDefault="00023128">
      <w:pPr>
        <w:pStyle w:val="a3"/>
        <w:spacing w:before="2"/>
        <w:rPr>
          <w:sz w:val="16"/>
        </w:rPr>
      </w:pPr>
    </w:p>
    <w:p w14:paraId="3144255B" w14:textId="77777777" w:rsidR="00023128" w:rsidRDefault="00000000">
      <w:pPr>
        <w:pStyle w:val="a4"/>
      </w:pPr>
      <w:r>
        <w:t>1</w:t>
      </w:r>
    </w:p>
    <w:sectPr w:rsidR="00023128">
      <w:type w:val="continuous"/>
      <w:pgSz w:w="11920" w:h="16860"/>
      <w:pgMar w:top="1040" w:right="3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28"/>
    <w:rsid w:val="00023128"/>
    <w:rsid w:val="00CA2E7B"/>
    <w:rsid w:val="00F2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397A"/>
  <w15:docId w15:val="{1D8C95A2-736F-4AB8-8AEC-65F3E831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94"/>
      <w:ind w:right="99"/>
      <w:jc w:val="right"/>
    </w:pPr>
    <w:rPr>
      <w:rFonts w:ascii="Arial MT" w:eastAsia="Arial MT" w:hAnsi="Arial MT" w:cs="Arial MT"/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2</cp:revision>
  <dcterms:created xsi:type="dcterms:W3CDTF">2024-07-24T09:01:00Z</dcterms:created>
  <dcterms:modified xsi:type="dcterms:W3CDTF">2024-07-24T09:01:00Z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2024-07-24T00:00:00Z</vt:filetime>
  </property>
</Properties>
</file>