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16" w:type="dxa"/>
        <w:tblCellSpacing w:w="0" w:type="dxa"/>
        <w:tblCellMar>
          <w:left w:w="0" w:type="dxa"/>
          <w:right w:w="0" w:type="dxa"/>
        </w:tblCellMar>
        <w:tblLook w:val="04A0" w:firstRow="1" w:lastRow="0" w:firstColumn="1" w:lastColumn="0" w:noHBand="0" w:noVBand="1"/>
      </w:tblPr>
      <w:tblGrid>
        <w:gridCol w:w="4926"/>
        <w:gridCol w:w="111"/>
        <w:gridCol w:w="5379"/>
      </w:tblGrid>
      <w:tr w:rsidR="003232D2" w:rsidRPr="00F61F73" w14:paraId="40601424" w14:textId="77777777" w:rsidTr="00F61F73">
        <w:trPr>
          <w:trHeight w:val="104"/>
          <w:tblCellSpacing w:w="0" w:type="dxa"/>
        </w:trPr>
        <w:tc>
          <w:tcPr>
            <w:tcW w:w="0" w:type="auto"/>
            <w:gridSpan w:val="3"/>
            <w:tcBorders>
              <w:top w:val="single" w:sz="6" w:space="0" w:color="000000"/>
              <w:left w:val="single" w:sz="6" w:space="0" w:color="000000"/>
              <w:right w:val="single" w:sz="6" w:space="0" w:color="000000"/>
            </w:tcBorders>
            <w:tcMar>
              <w:top w:w="30" w:type="dxa"/>
              <w:left w:w="45" w:type="dxa"/>
              <w:bottom w:w="30" w:type="dxa"/>
              <w:right w:w="45" w:type="dxa"/>
            </w:tcMar>
            <w:hideMark/>
          </w:tcPr>
          <w:p w14:paraId="19D2A065" w14:textId="3FD5EB3B" w:rsidR="003232D2" w:rsidRPr="00F61F73" w:rsidRDefault="00F33DB7" w:rsidP="003232D2">
            <w:pPr>
              <w:jc w:val="center"/>
              <w:rPr>
                <w:rFonts w:eastAsia="Times New Roman" w:cs="Times New Roman"/>
                <w:b/>
                <w:bCs/>
                <w:sz w:val="16"/>
                <w:szCs w:val="18"/>
                <w:lang w:eastAsia="ru-RU"/>
              </w:rPr>
            </w:pPr>
            <w:r w:rsidRPr="00F61F73">
              <w:rPr>
                <w:rFonts w:eastAsia="Times New Roman" w:cs="Times New Roman"/>
                <w:b/>
                <w:bCs/>
                <w:sz w:val="16"/>
                <w:szCs w:val="18"/>
                <w:lang w:eastAsia="ru-RU"/>
              </w:rPr>
              <w:t>ПАМЯТКА ПО ОРГАНИЗАЦИИ ОСМОТРА ТС*</w:t>
            </w:r>
          </w:p>
        </w:tc>
      </w:tr>
      <w:tr w:rsidR="003232D2" w:rsidRPr="00F61F73" w14:paraId="08E81868" w14:textId="77777777" w:rsidTr="00F61F73">
        <w:trPr>
          <w:trHeight w:val="315"/>
          <w:tblCellSpacing w:w="0" w:type="dxa"/>
        </w:trPr>
        <w:tc>
          <w:tcPr>
            <w:tcW w:w="0" w:type="auto"/>
            <w:tcBorders>
              <w:left w:val="single" w:sz="6" w:space="0" w:color="000000"/>
            </w:tcBorders>
            <w:tcMar>
              <w:top w:w="30" w:type="dxa"/>
              <w:left w:w="45" w:type="dxa"/>
              <w:bottom w:w="30" w:type="dxa"/>
              <w:right w:w="45" w:type="dxa"/>
            </w:tcMar>
            <w:vAlign w:val="bottom"/>
            <w:hideMark/>
          </w:tcPr>
          <w:p w14:paraId="40F16D90" w14:textId="36C8323E" w:rsidR="003232D2" w:rsidRPr="00F61F73" w:rsidRDefault="00B77265" w:rsidP="003232D2">
            <w:pPr>
              <w:rPr>
                <w:rFonts w:eastAsia="Times New Roman" w:cs="Times New Roman"/>
                <w:b/>
                <w:bCs/>
                <w:sz w:val="16"/>
                <w:szCs w:val="18"/>
                <w:lang w:eastAsia="ru-RU"/>
              </w:rPr>
            </w:pPr>
            <w:r w:rsidRPr="00F61F73">
              <w:rPr>
                <w:rFonts w:eastAsia="Times New Roman" w:cs="Times New Roman"/>
                <w:b/>
                <w:bCs/>
                <w:sz w:val="16"/>
                <w:szCs w:val="18"/>
                <w:lang w:eastAsia="ru-RU"/>
              </w:rPr>
              <w:t>г. Владивосток</w:t>
            </w:r>
          </w:p>
        </w:tc>
        <w:tc>
          <w:tcPr>
            <w:tcW w:w="0" w:type="auto"/>
            <w:tcMar>
              <w:top w:w="30" w:type="dxa"/>
              <w:left w:w="45" w:type="dxa"/>
              <w:bottom w:w="30" w:type="dxa"/>
              <w:right w:w="45" w:type="dxa"/>
            </w:tcMar>
            <w:vAlign w:val="bottom"/>
            <w:hideMark/>
          </w:tcPr>
          <w:p w14:paraId="090507E8" w14:textId="77777777" w:rsidR="003232D2" w:rsidRPr="00F61F73" w:rsidRDefault="003232D2" w:rsidP="003232D2">
            <w:pPr>
              <w:rPr>
                <w:rFonts w:eastAsia="Times New Roman" w:cs="Times New Roman"/>
                <w:b/>
                <w:bCs/>
                <w:sz w:val="16"/>
                <w:szCs w:val="18"/>
                <w:lang w:eastAsia="ru-RU"/>
              </w:rPr>
            </w:pPr>
          </w:p>
        </w:tc>
        <w:tc>
          <w:tcPr>
            <w:tcW w:w="0" w:type="auto"/>
            <w:tcBorders>
              <w:right w:val="single" w:sz="6" w:space="0" w:color="000000"/>
            </w:tcBorders>
            <w:tcMar>
              <w:top w:w="30" w:type="dxa"/>
              <w:left w:w="45" w:type="dxa"/>
              <w:bottom w:w="30" w:type="dxa"/>
              <w:right w:w="45" w:type="dxa"/>
            </w:tcMar>
            <w:vAlign w:val="bottom"/>
            <w:hideMark/>
          </w:tcPr>
          <w:p w14:paraId="210CF38C" w14:textId="0E00901A" w:rsidR="003232D2" w:rsidRPr="00F61F73" w:rsidRDefault="003232D2" w:rsidP="003232D2">
            <w:pPr>
              <w:jc w:val="right"/>
              <w:rPr>
                <w:rFonts w:eastAsia="Times New Roman" w:cs="Times New Roman"/>
                <w:b/>
                <w:bCs/>
                <w:sz w:val="16"/>
                <w:szCs w:val="18"/>
                <w:lang w:eastAsia="ru-RU"/>
              </w:rPr>
            </w:pPr>
          </w:p>
        </w:tc>
      </w:tr>
      <w:tr w:rsidR="003232D2" w:rsidRPr="00F61F73" w14:paraId="3D32EC99" w14:textId="77777777" w:rsidTr="00F61F73">
        <w:trPr>
          <w:trHeight w:val="315"/>
          <w:tblCellSpacing w:w="0" w:type="dxa"/>
        </w:trPr>
        <w:tc>
          <w:tcPr>
            <w:tcW w:w="0" w:type="auto"/>
            <w:tcBorders>
              <w:left w:val="single" w:sz="6" w:space="0" w:color="000000"/>
            </w:tcBorders>
            <w:tcMar>
              <w:top w:w="30" w:type="dxa"/>
              <w:left w:w="45" w:type="dxa"/>
              <w:bottom w:w="30" w:type="dxa"/>
              <w:right w:w="45" w:type="dxa"/>
            </w:tcMar>
            <w:hideMark/>
          </w:tcPr>
          <w:p w14:paraId="335D70EE"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Осмотр транспортного средства является этапом исследования, проводимым непосредственно экспертом-техником или страховщиком (представителем страховщика) с использованием его специальных знаний</w:t>
            </w:r>
          </w:p>
          <w:p w14:paraId="22C21881"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1. Обязательным приложением к акту осмотра транспортного средства являются фотоматериалы. Фотографирование поврежденного транспортного средства должно осуществляться в соответствии с требованиями, установленными в приложении 1 к настоящему Положению. Дополнительным приложением к акту осмотра является видеоматериал (при наличии).</w:t>
            </w:r>
          </w:p>
          <w:p w14:paraId="0B32CFA1"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1.1.1</w:t>
            </w:r>
            <w:r w:rsidRPr="00F61F73">
              <w:rPr>
                <w:rFonts w:eastAsia="Times New Roman" w:cs="Times New Roman"/>
                <w:sz w:val="16"/>
                <w:szCs w:val="18"/>
                <w:lang w:eastAsia="ru-RU"/>
              </w:rPr>
              <w:tab/>
              <w:t>При первичном осмотре повреждения транспортного средства фиксируются по результатам внешнего осмотра органолептическим методом, без проведения демонтажных работ.</w:t>
            </w:r>
          </w:p>
          <w:p w14:paraId="375400E5"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1.1.2</w:t>
            </w:r>
            <w:r w:rsidRPr="00F61F73">
              <w:rPr>
                <w:rFonts w:eastAsia="Times New Roman" w:cs="Times New Roman"/>
                <w:sz w:val="16"/>
                <w:szCs w:val="18"/>
                <w:lang w:eastAsia="ru-RU"/>
              </w:rPr>
              <w:tab/>
              <w:t>В случае необходимости при первичном осмотре транспортного средства применяются инструментальные методы с использованием технических средств измерения и контроля или диагностического оборудования в соответствии с технической документацией и инструкциями по эксплуатации и применению указанных технических средств и оборудования, а также осуществляется проведение демонтажных работ.</w:t>
            </w:r>
          </w:p>
          <w:p w14:paraId="2CB32DE1"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1.1.3</w:t>
            </w:r>
            <w:r w:rsidRPr="00F61F73">
              <w:rPr>
                <w:rFonts w:eastAsia="Times New Roman" w:cs="Times New Roman"/>
                <w:sz w:val="16"/>
                <w:szCs w:val="18"/>
                <w:lang w:eastAsia="ru-RU"/>
              </w:rPr>
              <w:tab/>
              <w:t>С целью определения причин повреждений узлов, агрегатов, систем пассивной и активной безопасности, мультимедийных, электронных устройств, электронных блоков управления системами транспортного средства и их соответствия заявленным обстоятельствам должны применяться инструментальные методы с использованием диагностического оборудования.</w:t>
            </w:r>
          </w:p>
          <w:p w14:paraId="70F3DEA9"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1.1.4</w:t>
            </w:r>
            <w:r w:rsidRPr="00F61F73">
              <w:rPr>
                <w:rFonts w:eastAsia="Times New Roman" w:cs="Times New Roman"/>
                <w:sz w:val="16"/>
                <w:szCs w:val="18"/>
                <w:lang w:eastAsia="ru-RU"/>
              </w:rPr>
              <w:tab/>
              <w:t>В случаях, когда осмотр транспортного средства невозможен (например, если транспортное средство находится в отдаленном или труднодоступном месте), установление повреждений транспортного средства допускается без его непосредственного осмотра - на основании представленных потерпевшим фотоматериалов (видеоматериалов - при их наличии), на которых зафиксированы повреждения транспортного средства, и документов, указанных в абзаце третьем пункта 2.1 настоящего Положения, при наличии письменного согласия потерпевшего и страховщика. В указанном случае в экспертном заключении должно быть указано, что транспортное средство не осматривалось (с указанием причин), а определение повреждений проводилось по представленным потерпевшим материалам (документам), с указанием их перечня и источника получения, полным описанием процедуры установления повреждений и их причин.</w:t>
            </w:r>
          </w:p>
          <w:p w14:paraId="56B1F600"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2.4. Для характеристики повреждений деталей кузова транспортного</w:t>
            </w:r>
          </w:p>
          <w:p w14:paraId="04373A8A"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средства должны использоваться следующие показатели, в зависимости от которых определяются методы и трудоемкость устранения повреждений:</w:t>
            </w:r>
          </w:p>
          <w:p w14:paraId="55CD801F"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площадь повреждения либо отношение площади повреждения к общей площади части, детали (в процентном соотношении или частях) и (или) глубина (объем) повреждения, в отдельных случаях - длина повреждения (количественные показатели);</w:t>
            </w:r>
          </w:p>
          <w:p w14:paraId="47B903BF"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вид (характеристика) деформации детали транспортного средства в зоне повреждения (качественные показатели) с учетом типовых характеристик повреждений транспортного средства согласно приложению 2 к настоящему Положению;</w:t>
            </w:r>
          </w:p>
          <w:p w14:paraId="1FD1921A"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конструктивные характеристики детали транспортного средства в зоне повреждения;</w:t>
            </w:r>
          </w:p>
          <w:p w14:paraId="45DEAF82"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локализация (место расположения) повреждений транспортного средства для определения доступности ремонтного воздействия.</w:t>
            </w:r>
          </w:p>
          <w:p w14:paraId="0AFFF3AF"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2.6.</w:t>
            </w:r>
            <w:r w:rsidRPr="00F61F73">
              <w:rPr>
                <w:rFonts w:eastAsia="Times New Roman" w:cs="Times New Roman"/>
                <w:sz w:val="16"/>
                <w:szCs w:val="18"/>
                <w:lang w:eastAsia="ru-RU"/>
              </w:rPr>
              <w:tab/>
              <w:t>В ходе осмотра транспортного средства должно проводиться описание повреждений исходя из следующих положений.</w:t>
            </w:r>
          </w:p>
          <w:p w14:paraId="4AFCF964" w14:textId="183431CE" w:rsidR="003232D2"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При наименовании в акте осмотра частей, узлов, агрегатов и деталей должен использоваться следующий порядок: наименование, расположение относительно стороны транспортного средства (например, дверь задняя левая). При наличии возможности нумерации (кодирования) частей, узлов, агрегатов и деталей производится такая нумерация (такое кодирование) с указанием источника информации (печатного издания или расчетно-программного комплекса)</w:t>
            </w:r>
          </w:p>
        </w:tc>
        <w:tc>
          <w:tcPr>
            <w:tcW w:w="0" w:type="auto"/>
            <w:tcMar>
              <w:top w:w="30" w:type="dxa"/>
              <w:left w:w="45" w:type="dxa"/>
              <w:bottom w:w="30" w:type="dxa"/>
              <w:right w:w="45" w:type="dxa"/>
            </w:tcMar>
            <w:vAlign w:val="center"/>
            <w:hideMark/>
          </w:tcPr>
          <w:p w14:paraId="65F8403A" w14:textId="77777777" w:rsidR="003232D2" w:rsidRPr="00F61F73" w:rsidRDefault="003232D2" w:rsidP="003232D2">
            <w:pPr>
              <w:rPr>
                <w:rFonts w:eastAsia="Times New Roman" w:cs="Times New Roman"/>
                <w:sz w:val="16"/>
                <w:szCs w:val="18"/>
                <w:lang w:eastAsia="ru-RU"/>
              </w:rPr>
            </w:pPr>
          </w:p>
        </w:tc>
        <w:tc>
          <w:tcPr>
            <w:tcW w:w="0" w:type="auto"/>
            <w:tcBorders>
              <w:right w:val="single" w:sz="6" w:space="0" w:color="000000"/>
            </w:tcBorders>
            <w:tcMar>
              <w:top w:w="30" w:type="dxa"/>
              <w:left w:w="45" w:type="dxa"/>
              <w:bottom w:w="30" w:type="dxa"/>
              <w:right w:w="45" w:type="dxa"/>
            </w:tcMar>
            <w:hideMark/>
          </w:tcPr>
          <w:p w14:paraId="1BA86583"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По каждому повреждению должны фиксироваться следующие данные: вид повреждения в соответствии с типовыми характеристиками повреждений транспортного средства, приведенными в приложении 2 к настоящему Положению, место расположения и объем. Объем повреждения определяется линейными размерами (глубиной, шириной, длиной) либо отношением площади поврежденной части к общей площади детали (в процентном соотношении или частях). При фиксации повреждений подушек и ремней безопасности должны быть сфотографированы номера и маркировочные обозначения указанных сработавших элементов (при их наличии).</w:t>
            </w:r>
          </w:p>
          <w:p w14:paraId="264B0518"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2.7.</w:t>
            </w:r>
            <w:r w:rsidRPr="00F61F73">
              <w:rPr>
                <w:rFonts w:eastAsia="Times New Roman" w:cs="Times New Roman"/>
                <w:sz w:val="16"/>
                <w:szCs w:val="18"/>
                <w:lang w:eastAsia="ru-RU"/>
              </w:rPr>
              <w:tab/>
              <w:t>Для каждой поврежденной детали (узла, агрегата) транспортного средства должны определяться и указываться в экспертном заключении вид и объем ремонтного воздействия и (или) категория окраски.</w:t>
            </w:r>
          </w:p>
          <w:p w14:paraId="270F2D88"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Необходимый и достаточный набор (комплекс) работ по восстановительному ремонту транспортного средства должен устанавливаться в зависимости от характера и степени повреждения отдельных частей, узлов, агрегатов и деталей на основе технологии завода-изготовителя, сертифицированных ремонтных технологий с учетом особенностей конструкции деталей (узлов, агрегатов), подвергающихся ремонтным воздействиям, выполнения в необходимом и достаточном объеме вспомогательных и сопутствующих работ по разборке/сборке, регулировке, подгонке, окраске, антикоррозийной обработке и так далее для обеспечения доступа к заменяемым и ремонтируемым частям, узлам, агрегатам и деталям, сохранности сопряженных частей, узлов, агрегатов и деталей и соблюдения требований безопасности работ.</w:t>
            </w:r>
          </w:p>
          <w:p w14:paraId="0C527CA5"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Требования завода-изготовителя транспортных средств в части норм,</w:t>
            </w:r>
          </w:p>
          <w:p w14:paraId="53848F4C"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правил и процедур ремонта транспортных средств являются приоритетными при выборе ремонтных воздействий.</w:t>
            </w:r>
          </w:p>
          <w:p w14:paraId="1F7A29C8"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В случае выявления повреждений дорогостоящих комплектующих изделий (части, детали, механизмы, узлы и агрегаты, стоимость которых с учетом износа превышает 5 процентов от стоимости транспортного средства на момент дорожно-транспортного происшествия), а также двигателя, коробки передач, раздаточной коробки (коробки отбора мощности), ведущих мостов, межосевых дифференциалов, колесных редукторов, рулевого механизма, гидроусилителя руля, топливного насоса высокого давления, мультимедийных, электронных устройств, электронных блоков управления системами транспортного средства, систем безопасности, блоков предохранителей, а для специализированного транспорта - выявления повреждений агрегатов и механизмов, размещенных на шасси базового транспортного средства, относящихся к рассматриваемому дорожно-транспортному происшествию, в акте осмотра должна делаться запись о необходимости инструментальной диагностики или диагностики и дефектовки с разборкой при наличии технически обоснованных показателей (признаков). Наличие механических повреждений только в виде царапин, задиров и сколов на корпусе к таким признакам не относится и не является основанием для замены узла в сборе, так как не влияет на его эксплуатационные характеристики. Замена жгута электропроводов должна назначаться только в случае, если его ремонт технологически невозможен. При наличии ремонтного комплекта разъема жгута электропроводов, повреждение такого разъема не является основанием для замены жгута электропроводов в сборе.</w:t>
            </w:r>
          </w:p>
          <w:p w14:paraId="2CA1A8F6"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Замена кузова, кабины транспортного средства должна назначаться в</w:t>
            </w:r>
          </w:p>
          <w:p w14:paraId="50DBADE6" w14:textId="77777777" w:rsidR="00F33DB7"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случае, если их ремонт, восстановление технически невозможны либо экономически нецелесообразны.</w:t>
            </w:r>
          </w:p>
          <w:p w14:paraId="7FC4D52C" w14:textId="16AB23CE" w:rsidR="003232D2" w:rsidRPr="00F61F73" w:rsidRDefault="00F33DB7" w:rsidP="00F33DB7">
            <w:pPr>
              <w:rPr>
                <w:rFonts w:eastAsia="Times New Roman" w:cs="Times New Roman"/>
                <w:sz w:val="16"/>
                <w:szCs w:val="18"/>
                <w:lang w:eastAsia="ru-RU"/>
              </w:rPr>
            </w:pPr>
            <w:r w:rsidRPr="00F61F73">
              <w:rPr>
                <w:rFonts w:eastAsia="Times New Roman" w:cs="Times New Roman"/>
                <w:sz w:val="16"/>
                <w:szCs w:val="18"/>
                <w:lang w:eastAsia="ru-RU"/>
              </w:rPr>
              <w:t>Необходимость и объем работ по устранению перекосов должны определяться по результатам замеров либо наличию информативных признаков, свидетельствующих о наличии перекоса. Предельное время по устранению перекосов должно определяться с учетом укрупненных показателей трудозатрат на выполнение работ по кузовному ремонту и устранению перекосов проемов и кузова, приведенных в приложении 3 к настоящему.</w:t>
            </w:r>
            <w:r w:rsidR="00A378C7" w:rsidRPr="00F61F73">
              <w:rPr>
                <w:rFonts w:eastAsia="Times New Roman" w:cs="Times New Roman"/>
                <w:sz w:val="16"/>
                <w:szCs w:val="18"/>
                <w:lang w:eastAsia="ru-RU"/>
              </w:rPr>
              <w:br/>
            </w:r>
          </w:p>
        </w:tc>
      </w:tr>
      <w:tr w:rsidR="003232D2" w:rsidRPr="00F61F73" w14:paraId="00F3091A" w14:textId="77777777" w:rsidTr="00F61F73">
        <w:trPr>
          <w:trHeight w:val="1200"/>
          <w:tblCellSpacing w:w="0" w:type="dxa"/>
        </w:trPr>
        <w:tc>
          <w:tcPr>
            <w:tcW w:w="0" w:type="auto"/>
            <w:tcBorders>
              <w:left w:val="single" w:sz="6" w:space="0" w:color="000000"/>
              <w:bottom w:val="single" w:sz="6" w:space="0" w:color="000000"/>
            </w:tcBorders>
            <w:tcMar>
              <w:top w:w="30" w:type="dxa"/>
              <w:left w:w="45" w:type="dxa"/>
              <w:bottom w:w="30" w:type="dxa"/>
              <w:right w:w="45" w:type="dxa"/>
            </w:tcMar>
            <w:vAlign w:val="bottom"/>
            <w:hideMark/>
          </w:tcPr>
          <w:p w14:paraId="65AB8DE9" w14:textId="2EFBCDA3" w:rsidR="003232D2" w:rsidRPr="00F61F73" w:rsidRDefault="003232D2" w:rsidP="003232D2">
            <w:pPr>
              <w:rPr>
                <w:rFonts w:eastAsia="Times New Roman" w:cs="Times New Roman"/>
                <w:sz w:val="16"/>
                <w:szCs w:val="18"/>
                <w:lang w:eastAsia="ru-RU"/>
              </w:rPr>
            </w:pPr>
            <w:proofErr w:type="gramStart"/>
            <w:r w:rsidRPr="00F61F73">
              <w:rPr>
                <w:rFonts w:eastAsia="Times New Roman" w:cs="Times New Roman"/>
                <w:sz w:val="16"/>
                <w:szCs w:val="18"/>
                <w:lang w:eastAsia="ru-RU"/>
              </w:rPr>
              <w:t>Цедент:_</w:t>
            </w:r>
            <w:proofErr w:type="gramEnd"/>
            <w:r w:rsidRPr="00F61F73">
              <w:rPr>
                <w:rFonts w:eastAsia="Times New Roman" w:cs="Times New Roman"/>
                <w:sz w:val="16"/>
                <w:szCs w:val="18"/>
                <w:lang w:eastAsia="ru-RU"/>
              </w:rPr>
              <w:t xml:space="preserve">__________________________ </w:t>
            </w:r>
            <w:r w:rsidRPr="00F61F73">
              <w:rPr>
                <w:rFonts w:eastAsia="Times New Roman" w:cs="Times New Roman"/>
                <w:sz w:val="16"/>
                <w:szCs w:val="18"/>
                <w:lang w:eastAsia="ru-RU"/>
              </w:rPr>
              <w:br/>
            </w:r>
            <w:r w:rsidR="00C82F24" w:rsidRPr="00F61F73">
              <w:rPr>
                <w:rFonts w:eastAsia="Times New Roman" w:cs="Times New Roman"/>
                <w:sz w:val="16"/>
                <w:szCs w:val="18"/>
                <w:lang w:eastAsia="ru-RU"/>
              </w:rPr>
              <w:t>Щербинин Сергей Александрович</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17005CE" w14:textId="77777777" w:rsidR="003232D2" w:rsidRPr="00F61F73" w:rsidRDefault="003232D2" w:rsidP="003232D2">
            <w:pPr>
              <w:rPr>
                <w:rFonts w:eastAsia="Times New Roman" w:cs="Times New Roman"/>
                <w:sz w:val="16"/>
                <w:szCs w:val="18"/>
                <w:lang w:eastAsia="ru-RU"/>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19B615D" w14:textId="35EAC5FE" w:rsidR="003232D2" w:rsidRPr="00F61F73" w:rsidRDefault="003232D2" w:rsidP="003232D2">
            <w:pPr>
              <w:rPr>
                <w:rFonts w:eastAsia="Times New Roman" w:cs="Times New Roman"/>
                <w:sz w:val="16"/>
                <w:szCs w:val="18"/>
                <w:lang w:eastAsia="ru-RU"/>
              </w:rPr>
            </w:pPr>
            <w:proofErr w:type="gramStart"/>
            <w:r w:rsidRPr="00F61F73">
              <w:rPr>
                <w:rFonts w:eastAsia="Times New Roman" w:cs="Times New Roman"/>
                <w:sz w:val="16"/>
                <w:szCs w:val="18"/>
                <w:lang w:eastAsia="ru-RU"/>
              </w:rPr>
              <w:t>Цессионарий:_</w:t>
            </w:r>
            <w:proofErr w:type="gramEnd"/>
            <w:r w:rsidRPr="00F61F73">
              <w:rPr>
                <w:rFonts w:eastAsia="Times New Roman" w:cs="Times New Roman"/>
                <w:sz w:val="16"/>
                <w:szCs w:val="18"/>
                <w:lang w:eastAsia="ru-RU"/>
              </w:rPr>
              <w:t>___________________________</w:t>
            </w:r>
            <w:r w:rsidRPr="00F61F73">
              <w:rPr>
                <w:rFonts w:eastAsia="Times New Roman" w:cs="Times New Roman"/>
                <w:sz w:val="16"/>
                <w:szCs w:val="18"/>
                <w:lang w:eastAsia="ru-RU"/>
              </w:rPr>
              <w:br/>
            </w:r>
            <w:r w:rsidR="00A0350A" w:rsidRPr="00F61F73">
              <w:rPr>
                <w:rFonts w:eastAsia="Times New Roman" w:cs="Times New Roman"/>
                <w:sz w:val="16"/>
                <w:szCs w:val="18"/>
                <w:lang w:eastAsia="ru-RU"/>
              </w:rPr>
              <w:t>Менеджер по работе с клиентами ООО "Правовой холдинг" Бируля М.В.</w:t>
            </w:r>
          </w:p>
        </w:tc>
      </w:tr>
      <w:tr w:rsidR="004C7D1D" w:rsidRPr="00F61F73" w14:paraId="7CACEFBD" w14:textId="77777777" w:rsidTr="004C7D1D">
        <w:trPr>
          <w:trHeight w:val="121"/>
          <w:tblCellSpacing w:w="0" w:type="dxa"/>
        </w:trPr>
        <w:tc>
          <w:tcPr>
            <w:tcW w:w="0" w:type="auto"/>
            <w:tcBorders>
              <w:left w:val="single" w:sz="4" w:space="0" w:color="FFFFFF" w:themeColor="background1"/>
            </w:tcBorders>
            <w:tcMar>
              <w:top w:w="30" w:type="dxa"/>
              <w:left w:w="45" w:type="dxa"/>
              <w:bottom w:w="30" w:type="dxa"/>
              <w:right w:w="45" w:type="dxa"/>
            </w:tcMar>
            <w:vAlign w:val="bottom"/>
          </w:tcPr>
          <w:p w14:paraId="47C08219" w14:textId="77777777" w:rsidR="004C7D1D" w:rsidRPr="00F61F73" w:rsidRDefault="004C7D1D" w:rsidP="003232D2">
            <w:pPr>
              <w:rPr>
                <w:rFonts w:eastAsia="Times New Roman" w:cs="Times New Roman"/>
                <w:sz w:val="16"/>
                <w:szCs w:val="18"/>
                <w:lang w:eastAsia="ru-RU"/>
              </w:rPr>
            </w:pPr>
          </w:p>
        </w:tc>
        <w:tc>
          <w:tcPr>
            <w:tcW w:w="0" w:type="auto"/>
            <w:tcBorders>
              <w:right w:val="single" w:sz="4" w:space="0" w:color="FFFFFF" w:themeColor="background1"/>
            </w:tcBorders>
            <w:tcMar>
              <w:top w:w="30" w:type="dxa"/>
              <w:left w:w="45" w:type="dxa"/>
              <w:bottom w:w="30" w:type="dxa"/>
              <w:right w:w="45" w:type="dxa"/>
            </w:tcMar>
            <w:vAlign w:val="bottom"/>
          </w:tcPr>
          <w:p w14:paraId="3F4BE667" w14:textId="77777777" w:rsidR="004C7D1D" w:rsidRPr="00F61F73" w:rsidRDefault="004C7D1D" w:rsidP="003232D2">
            <w:pPr>
              <w:rPr>
                <w:rFonts w:eastAsia="Times New Roman" w:cs="Times New Roman"/>
                <w:sz w:val="16"/>
                <w:szCs w:val="18"/>
                <w:lang w:eastAsia="ru-RU"/>
              </w:rPr>
            </w:pPr>
          </w:p>
        </w:tc>
        <w:tc>
          <w:tcPr>
            <w:tcW w:w="0" w:type="auto"/>
            <w:tcBorders>
              <w:top w:val="single" w:sz="4" w:space="0" w:color="FFFFFF" w:themeColor="background1"/>
              <w:right w:val="single" w:sz="4" w:space="0" w:color="FFFFFF" w:themeColor="background1"/>
            </w:tcBorders>
            <w:tcMar>
              <w:top w:w="30" w:type="dxa"/>
              <w:left w:w="45" w:type="dxa"/>
              <w:bottom w:w="30" w:type="dxa"/>
              <w:right w:w="45" w:type="dxa"/>
            </w:tcMar>
            <w:vAlign w:val="bottom"/>
          </w:tcPr>
          <w:p w14:paraId="5DD2D7C8" w14:textId="77777777" w:rsidR="004C7D1D" w:rsidRPr="00F61F73" w:rsidRDefault="004C7D1D" w:rsidP="003232D2">
            <w:pPr>
              <w:rPr>
                <w:rFonts w:eastAsia="Times New Roman" w:cs="Times New Roman"/>
                <w:sz w:val="16"/>
                <w:szCs w:val="18"/>
                <w:lang w:eastAsia="ru-RU"/>
              </w:rPr>
            </w:pPr>
          </w:p>
        </w:tc>
      </w:tr>
      <w:tr w:rsidR="003232D2" w:rsidRPr="00F61F73" w14:paraId="4FFA68D6" w14:textId="77777777" w:rsidTr="00644AEF">
        <w:trPr>
          <w:trHeight w:val="242"/>
          <w:tblCellSpacing w:w="0" w:type="dxa"/>
        </w:trPr>
        <w:tc>
          <w:tcPr>
            <w:tcW w:w="0" w:type="auto"/>
            <w:gridSpan w:val="3"/>
            <w:tcMar>
              <w:top w:w="30" w:type="dxa"/>
              <w:left w:w="45" w:type="dxa"/>
              <w:bottom w:w="30" w:type="dxa"/>
              <w:right w:w="45" w:type="dxa"/>
            </w:tcMar>
            <w:vAlign w:val="bottom"/>
            <w:hideMark/>
          </w:tcPr>
          <w:p w14:paraId="427CFCC8" w14:textId="2E90D7E4" w:rsidR="003232D2" w:rsidRPr="00F61F73" w:rsidRDefault="00F61F73" w:rsidP="003232D2">
            <w:pPr>
              <w:rPr>
                <w:rFonts w:eastAsia="Times New Roman" w:cs="Times New Roman"/>
                <w:sz w:val="16"/>
                <w:szCs w:val="18"/>
                <w:lang w:eastAsia="ru-RU"/>
              </w:rPr>
            </w:pPr>
            <w:r w:rsidRPr="00F61F73">
              <w:rPr>
                <w:rFonts w:eastAsia="Times New Roman" w:cs="Times New Roman"/>
                <w:sz w:val="16"/>
                <w:szCs w:val="18"/>
                <w:lang w:eastAsia="ru-RU"/>
              </w:rPr>
              <w:t>* - пункты из Положения Банка России от 04.03.2021 № 755-п (ред. от 31.05.2022)</w:t>
            </w:r>
          </w:p>
        </w:tc>
      </w:tr>
    </w:tbl>
    <w:p w14:paraId="5494ADF6" w14:textId="77777777" w:rsidR="009F15A6" w:rsidRPr="00F61F73" w:rsidRDefault="009F15A6" w:rsidP="003232D2">
      <w:pPr>
        <w:rPr>
          <w:szCs w:val="20"/>
        </w:rPr>
      </w:pPr>
    </w:p>
    <w:sectPr w:rsidR="009F15A6" w:rsidRPr="00F61F73" w:rsidSect="004C7D1D">
      <w:pgSz w:w="11906" w:h="16838"/>
      <w:pgMar w:top="397" w:right="737" w:bottom="851"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A6"/>
    <w:rsid w:val="0000185D"/>
    <w:rsid w:val="0003629A"/>
    <w:rsid w:val="00204F28"/>
    <w:rsid w:val="00245106"/>
    <w:rsid w:val="002E7948"/>
    <w:rsid w:val="003054AA"/>
    <w:rsid w:val="003232D2"/>
    <w:rsid w:val="00353799"/>
    <w:rsid w:val="003A5F6F"/>
    <w:rsid w:val="00460256"/>
    <w:rsid w:val="00474082"/>
    <w:rsid w:val="0048660B"/>
    <w:rsid w:val="00495101"/>
    <w:rsid w:val="004C7D1D"/>
    <w:rsid w:val="004E3661"/>
    <w:rsid w:val="004F04F7"/>
    <w:rsid w:val="00552BF3"/>
    <w:rsid w:val="00561525"/>
    <w:rsid w:val="005B1839"/>
    <w:rsid w:val="005C37E3"/>
    <w:rsid w:val="006057F4"/>
    <w:rsid w:val="00636657"/>
    <w:rsid w:val="00644AEF"/>
    <w:rsid w:val="00696799"/>
    <w:rsid w:val="00783578"/>
    <w:rsid w:val="007A3845"/>
    <w:rsid w:val="008F26BB"/>
    <w:rsid w:val="009302B4"/>
    <w:rsid w:val="009D4BC3"/>
    <w:rsid w:val="009F15A6"/>
    <w:rsid w:val="00A0350A"/>
    <w:rsid w:val="00A1063A"/>
    <w:rsid w:val="00A378C7"/>
    <w:rsid w:val="00A55AE3"/>
    <w:rsid w:val="00A904F6"/>
    <w:rsid w:val="00B77265"/>
    <w:rsid w:val="00C82F24"/>
    <w:rsid w:val="00CA2E7B"/>
    <w:rsid w:val="00D07275"/>
    <w:rsid w:val="00D83449"/>
    <w:rsid w:val="00DF4CAF"/>
    <w:rsid w:val="00E543B6"/>
    <w:rsid w:val="00EC5A8E"/>
    <w:rsid w:val="00EE7ED6"/>
    <w:rsid w:val="00F33DB7"/>
    <w:rsid w:val="00F61F73"/>
    <w:rsid w:val="00FB2E09"/>
    <w:rsid w:val="00FB53F0"/>
    <w:rsid w:val="00FD7507"/>
    <w:rsid w:val="00FE26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A64E"/>
  <w15:chartTrackingRefBased/>
  <w15:docId w15:val="{8CE22BA6-A9F1-4C49-9CBD-3ECFA38A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4CAF"/>
    <w:pPr>
      <w:spacing w:after="0" w:line="240" w:lineRule="auto"/>
    </w:pPr>
    <w:rPr>
      <w:rFonts w:ascii="Times New Roman" w:hAnsi="Times New Roman"/>
      <w:color w:val="000000" w:themeColor="text1"/>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37514">
      <w:bodyDiv w:val="1"/>
      <w:marLeft w:val="0"/>
      <w:marRight w:val="0"/>
      <w:marTop w:val="0"/>
      <w:marBottom w:val="0"/>
      <w:divBdr>
        <w:top w:val="none" w:sz="0" w:space="0" w:color="auto"/>
        <w:left w:val="none" w:sz="0" w:space="0" w:color="auto"/>
        <w:bottom w:val="none" w:sz="0" w:space="0" w:color="auto"/>
        <w:right w:val="none" w:sz="0" w:space="0" w:color="auto"/>
      </w:divBdr>
    </w:div>
    <w:div w:id="63451382">
      <w:bodyDiv w:val="1"/>
      <w:marLeft w:val="0"/>
      <w:marRight w:val="0"/>
      <w:marTop w:val="0"/>
      <w:marBottom w:val="0"/>
      <w:divBdr>
        <w:top w:val="none" w:sz="0" w:space="0" w:color="auto"/>
        <w:left w:val="none" w:sz="0" w:space="0" w:color="auto"/>
        <w:bottom w:val="none" w:sz="0" w:space="0" w:color="auto"/>
        <w:right w:val="none" w:sz="0" w:space="0" w:color="auto"/>
      </w:divBdr>
    </w:div>
    <w:div w:id="198670406">
      <w:bodyDiv w:val="1"/>
      <w:marLeft w:val="0"/>
      <w:marRight w:val="0"/>
      <w:marTop w:val="0"/>
      <w:marBottom w:val="0"/>
      <w:divBdr>
        <w:top w:val="none" w:sz="0" w:space="0" w:color="auto"/>
        <w:left w:val="none" w:sz="0" w:space="0" w:color="auto"/>
        <w:bottom w:val="none" w:sz="0" w:space="0" w:color="auto"/>
        <w:right w:val="none" w:sz="0" w:space="0" w:color="auto"/>
      </w:divBdr>
    </w:div>
    <w:div w:id="595359811">
      <w:bodyDiv w:val="1"/>
      <w:marLeft w:val="0"/>
      <w:marRight w:val="0"/>
      <w:marTop w:val="0"/>
      <w:marBottom w:val="0"/>
      <w:divBdr>
        <w:top w:val="none" w:sz="0" w:space="0" w:color="auto"/>
        <w:left w:val="none" w:sz="0" w:space="0" w:color="auto"/>
        <w:bottom w:val="none" w:sz="0" w:space="0" w:color="auto"/>
        <w:right w:val="none" w:sz="0" w:space="0" w:color="auto"/>
      </w:divBdr>
    </w:div>
    <w:div w:id="970935466">
      <w:bodyDiv w:val="1"/>
      <w:marLeft w:val="0"/>
      <w:marRight w:val="0"/>
      <w:marTop w:val="0"/>
      <w:marBottom w:val="0"/>
      <w:divBdr>
        <w:top w:val="none" w:sz="0" w:space="0" w:color="auto"/>
        <w:left w:val="none" w:sz="0" w:space="0" w:color="auto"/>
        <w:bottom w:val="none" w:sz="0" w:space="0" w:color="auto"/>
        <w:right w:val="none" w:sz="0" w:space="0" w:color="auto"/>
      </w:divBdr>
    </w:div>
    <w:div w:id="1859923580">
      <w:bodyDiv w:val="1"/>
      <w:marLeft w:val="0"/>
      <w:marRight w:val="0"/>
      <w:marTop w:val="0"/>
      <w:marBottom w:val="0"/>
      <w:divBdr>
        <w:top w:val="none" w:sz="0" w:space="0" w:color="auto"/>
        <w:left w:val="none" w:sz="0" w:space="0" w:color="auto"/>
        <w:bottom w:val="none" w:sz="0" w:space="0" w:color="auto"/>
        <w:right w:val="none" w:sz="0" w:space="0" w:color="auto"/>
      </w:divBdr>
    </w:div>
    <w:div w:id="197401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1156</Words>
  <Characters>6590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План Личный</cp:lastModifiedBy>
  <cp:revision>3</cp:revision>
  <dcterms:created xsi:type="dcterms:W3CDTF">2024-07-24T09:51:00Z</dcterms:created>
  <dcterms:modified xsi:type="dcterms:W3CDTF">2024-07-24T09:57:00Z</dcterms:modified>
</cp:coreProperties>
</file>