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16" w:type="dxa"/>
        <w:tblCellSpacing w:w="0" w:type="dxa"/>
        <w:tblCellMar>
          <w:left w:w="0" w:type="dxa"/>
          <w:right w:w="0" w:type="dxa"/>
        </w:tblCellMar>
        <w:tblLook w:val="04A0" w:firstRow="1" w:lastRow="0" w:firstColumn="1" w:lastColumn="0" w:noHBand="0" w:noVBand="1"/>
      </w:tblPr>
      <w:tblGrid>
        <w:gridCol w:w="4926"/>
        <w:gridCol w:w="111"/>
        <w:gridCol w:w="5379"/>
      </w:tblGrid>
      <w:tr w:rsidR="003232D2" w:rsidRPr="00F61F73" w14:paraId="40601424" w14:textId="77777777" w:rsidTr="00F61F73">
        <w:trPr>
          <w:trHeight w:val="104"/>
          <w:tblCellSpacing w:w="0" w:type="dxa"/>
        </w:trPr>
        <w:tc>
          <w:tcPr>
            <w:tcW w:w="0" w:type="auto"/>
            <w:gridSpan w:val="3"/>
            <w:tcBorders>
              <w:top w:val="single" w:sz="6" w:space="0" w:color="000000"/>
              <w:left w:val="single" w:sz="6" w:space="0" w:color="000000"/>
              <w:right w:val="single" w:sz="6" w:space="0" w:color="000000"/>
            </w:tcBorders>
            <w:tcMar>
              <w:top w:w="30" w:type="dxa"/>
              <w:left w:w="45" w:type="dxa"/>
              <w:bottom w:w="30" w:type="dxa"/>
              <w:right w:w="45" w:type="dxa"/>
            </w:tcMar>
            <w:hideMark/>
          </w:tcPr>
          <w:p w14:paraId="19D2A065" w14:textId="3FD5EB3B" w:rsidR="003232D2" w:rsidRPr="00F61F73" w:rsidRDefault="00F33DB7" w:rsidP="003232D2">
            <w:pPr>
              <w:jc w:val="center"/>
              <w:rPr>
                <w:rFonts w:eastAsia="Times New Roman" w:cs="Times New Roman"/>
                <w:b/>
                <w:bCs/>
                <w:sz w:val="16"/>
                <w:szCs w:val="18"/>
                <w:lang w:eastAsia="ru-RU"/>
              </w:rPr>
            </w:pPr>
            <w:r w:rsidRPr="00F61F73">
              <w:rPr>
                <w:rFonts w:eastAsia="Times New Roman" w:cs="Times New Roman"/>
                <w:b/>
                <w:bCs/>
                <w:sz w:val="16"/>
                <w:szCs w:val="18"/>
                <w:lang w:eastAsia="ru-RU"/>
              </w:rPr>
              <w:t>ПАМЯТКА ПО ОРГАНИЗАЦИИ ОСМОТРА ТС*</w:t>
            </w:r>
          </w:p>
        </w:tc>
      </w:tr>
      <w:tr w:rsidR="003232D2" w:rsidRPr="00F61F73" w14:paraId="08E81868" w14:textId="77777777" w:rsidTr="00F61F73">
        <w:trPr>
          <w:trHeight w:val="315"/>
          <w:tblCellSpacing w:w="0" w:type="dxa"/>
        </w:trPr>
        <w:tc>
          <w:tcPr>
            <w:tcW w:w="0" w:type="auto"/>
            <w:tcBorders>
              <w:left w:val="single" w:sz="6" w:space="0" w:color="000000"/>
            </w:tcBorders>
            <w:tcMar>
              <w:top w:w="30" w:type="dxa"/>
              <w:left w:w="45" w:type="dxa"/>
              <w:bottom w:w="30" w:type="dxa"/>
              <w:right w:w="45" w:type="dxa"/>
            </w:tcMar>
            <w:vAlign w:val="bottom"/>
            <w:hideMark/>
          </w:tcPr>
          <w:p w14:paraId="40F16D90" w14:textId="36C8323E" w:rsidR="003232D2" w:rsidRPr="00F61F73" w:rsidRDefault="00B77265" w:rsidP="003232D2">
            <w:pPr>
              <w:rPr>
                <w:rFonts w:eastAsia="Times New Roman" w:cs="Times New Roman"/>
                <w:b/>
                <w:bCs/>
                <w:sz w:val="16"/>
                <w:szCs w:val="18"/>
                <w:lang w:eastAsia="ru-RU"/>
              </w:rPr>
            </w:pPr>
            <w:r w:rsidRPr="00F61F73">
              <w:rPr>
                <w:rFonts w:eastAsia="Times New Roman" w:cs="Times New Roman"/>
                <w:b/>
                <w:bCs/>
                <w:sz w:val="16"/>
                <w:szCs w:val="18"/>
                <w:lang w:eastAsia="ru-RU"/>
              </w:rPr>
              <w:t>${</w:t>
            </w:r>
            <w:proofErr w:type="spellStart"/>
            <w:r w:rsidR="00FB53F0" w:rsidRPr="00F61F73">
              <w:rPr>
                <w:rFonts w:eastAsia="Times New Roman" w:cs="Times New Roman"/>
                <w:b/>
                <w:bCs/>
                <w:sz w:val="16"/>
                <w:szCs w:val="18"/>
                <w:lang w:eastAsia="ru-RU"/>
              </w:rPr>
              <w:t>г</w:t>
            </w:r>
            <w:r w:rsidR="00636657" w:rsidRPr="00F61F73">
              <w:rPr>
                <w:rFonts w:eastAsia="Times New Roman" w:cs="Times New Roman"/>
                <w:b/>
                <w:bCs/>
                <w:sz w:val="16"/>
                <w:szCs w:val="18"/>
                <w:lang w:eastAsia="ru-RU"/>
              </w:rPr>
              <w:t>ород</w:t>
            </w:r>
            <w:r w:rsidR="00FB53F0" w:rsidRPr="00F61F73">
              <w:rPr>
                <w:rFonts w:eastAsia="Times New Roman" w:cs="Times New Roman"/>
                <w:b/>
                <w:bCs/>
                <w:sz w:val="16"/>
                <w:szCs w:val="18"/>
                <w:lang w:eastAsia="ru-RU"/>
              </w:rPr>
              <w:t>З</w:t>
            </w:r>
            <w:r w:rsidR="00636657" w:rsidRPr="00F61F73">
              <w:rPr>
                <w:rFonts w:eastAsia="Times New Roman" w:cs="Times New Roman"/>
                <w:b/>
                <w:bCs/>
                <w:sz w:val="16"/>
                <w:szCs w:val="18"/>
                <w:lang w:eastAsia="ru-RU"/>
              </w:rPr>
              <w:t>аключения</w:t>
            </w:r>
            <w:r w:rsidR="00FB53F0" w:rsidRPr="00F61F73">
              <w:rPr>
                <w:rFonts w:eastAsia="Times New Roman" w:cs="Times New Roman"/>
                <w:b/>
                <w:bCs/>
                <w:sz w:val="16"/>
                <w:szCs w:val="18"/>
                <w:lang w:eastAsia="ru-RU"/>
              </w:rPr>
              <w:t>Д</w:t>
            </w:r>
            <w:r w:rsidR="00636657" w:rsidRPr="00F61F73">
              <w:rPr>
                <w:rFonts w:eastAsia="Times New Roman" w:cs="Times New Roman"/>
                <w:b/>
                <w:bCs/>
                <w:sz w:val="16"/>
                <w:szCs w:val="18"/>
                <w:lang w:eastAsia="ru-RU"/>
              </w:rPr>
              <w:t>оговора</w:t>
            </w:r>
            <w:proofErr w:type="spellEnd"/>
            <w:r w:rsidRPr="00F61F73">
              <w:rPr>
                <w:rFonts w:eastAsia="Times New Roman" w:cs="Times New Roman"/>
                <w:b/>
                <w:bCs/>
                <w:sz w:val="16"/>
                <w:szCs w:val="18"/>
                <w:lang w:eastAsia="ru-RU"/>
              </w:rPr>
              <w:t>}</w:t>
            </w:r>
          </w:p>
        </w:tc>
        <w:tc>
          <w:tcPr>
            <w:tcW w:w="0" w:type="auto"/>
            <w:tcMar>
              <w:top w:w="30" w:type="dxa"/>
              <w:left w:w="45" w:type="dxa"/>
              <w:bottom w:w="30" w:type="dxa"/>
              <w:right w:w="45" w:type="dxa"/>
            </w:tcMar>
            <w:vAlign w:val="bottom"/>
            <w:hideMark/>
          </w:tcPr>
          <w:p w14:paraId="090507E8" w14:textId="77777777" w:rsidR="003232D2" w:rsidRPr="00F61F73" w:rsidRDefault="003232D2" w:rsidP="003232D2">
            <w:pPr>
              <w:rPr>
                <w:rFonts w:eastAsia="Times New Roman" w:cs="Times New Roman"/>
                <w:b/>
                <w:bCs/>
                <w:sz w:val="16"/>
                <w:szCs w:val="18"/>
                <w:lang w:eastAsia="ru-RU"/>
              </w:rPr>
            </w:pPr>
          </w:p>
        </w:tc>
        <w:tc>
          <w:tcPr>
            <w:tcW w:w="0" w:type="auto"/>
            <w:tcBorders>
              <w:right w:val="single" w:sz="6" w:space="0" w:color="000000"/>
            </w:tcBorders>
            <w:tcMar>
              <w:top w:w="30" w:type="dxa"/>
              <w:left w:w="45" w:type="dxa"/>
              <w:bottom w:w="30" w:type="dxa"/>
              <w:right w:w="45" w:type="dxa"/>
            </w:tcMar>
            <w:vAlign w:val="bottom"/>
            <w:hideMark/>
          </w:tcPr>
          <w:p w14:paraId="210CF38C" w14:textId="0E00901A" w:rsidR="003232D2" w:rsidRPr="00F61F73" w:rsidRDefault="003232D2" w:rsidP="003232D2">
            <w:pPr>
              <w:jc w:val="right"/>
              <w:rPr>
                <w:rFonts w:eastAsia="Times New Roman" w:cs="Times New Roman"/>
                <w:b/>
                <w:bCs/>
                <w:sz w:val="16"/>
                <w:szCs w:val="18"/>
                <w:lang w:eastAsia="ru-RU"/>
              </w:rPr>
            </w:pPr>
          </w:p>
        </w:tc>
      </w:tr>
      <w:tr w:rsidR="003232D2" w:rsidRPr="00F61F73" w14:paraId="3D32EC99" w14:textId="77777777" w:rsidTr="00F61F73">
        <w:trPr>
          <w:trHeight w:val="315"/>
          <w:tblCellSpacing w:w="0" w:type="dxa"/>
        </w:trPr>
        <w:tc>
          <w:tcPr>
            <w:tcW w:w="0" w:type="auto"/>
            <w:tcBorders>
              <w:left w:val="single" w:sz="6" w:space="0" w:color="000000"/>
            </w:tcBorders>
            <w:tcMar>
              <w:top w:w="30" w:type="dxa"/>
              <w:left w:w="45" w:type="dxa"/>
              <w:bottom w:w="30" w:type="dxa"/>
              <w:right w:w="45" w:type="dxa"/>
            </w:tcMar>
            <w:hideMark/>
          </w:tcPr>
          <w:p w14:paraId="335D70EE" w14:textId="77777777" w:rsidR="00F33DB7" w:rsidRPr="00F61F73" w:rsidRDefault="00F33DB7" w:rsidP="00F33DB7">
            <w:pPr>
              <w:rPr>
                <w:rFonts w:eastAsia="Times New Roman" w:cs="Times New Roman"/>
                <w:sz w:val="16"/>
                <w:szCs w:val="18"/>
                <w:lang w:eastAsia="ru-RU"/>
              </w:rPr>
            </w:pPr>
            <w:r w:rsidRPr="00F61F73">
              <w:rPr>
                <w:rFonts w:eastAsia="Times New Roman" w:cs="Times New Roman"/>
                <w:sz w:val="16"/>
                <w:szCs w:val="18"/>
                <w:lang w:eastAsia="ru-RU"/>
              </w:rPr>
              <w:t>Осмотр транспортного средства является этапом исследования, проводимым непосредственно экспертом-техником или страховщиком (представителем страховщика) с использованием его специальных знаний</w:t>
            </w:r>
          </w:p>
          <w:p w14:paraId="22C21881" w14:textId="77777777" w:rsidR="00F33DB7" w:rsidRPr="00F61F73" w:rsidRDefault="00F33DB7" w:rsidP="00F33DB7">
            <w:pPr>
              <w:rPr>
                <w:rFonts w:eastAsia="Times New Roman" w:cs="Times New Roman"/>
                <w:sz w:val="16"/>
                <w:szCs w:val="18"/>
                <w:lang w:eastAsia="ru-RU"/>
              </w:rPr>
            </w:pPr>
            <w:r w:rsidRPr="00F61F73">
              <w:rPr>
                <w:rFonts w:eastAsia="Times New Roman" w:cs="Times New Roman"/>
                <w:sz w:val="16"/>
                <w:szCs w:val="18"/>
                <w:lang w:eastAsia="ru-RU"/>
              </w:rPr>
              <w:t>1. Обязательным приложением к акту осмотра транспортного средства являются фотоматериалы. Фотографирование поврежденного транспортного средства должно осуществляться в соответствии с требованиями, установленными в приложении 1 к настоящему Положению. Дополнительным приложением к акту осмотра является видеоматериал (при наличии).</w:t>
            </w:r>
          </w:p>
          <w:p w14:paraId="0B32CFA1" w14:textId="77777777" w:rsidR="00F33DB7" w:rsidRPr="00F61F73" w:rsidRDefault="00F33DB7" w:rsidP="00F33DB7">
            <w:pPr>
              <w:rPr>
                <w:rFonts w:eastAsia="Times New Roman" w:cs="Times New Roman"/>
                <w:sz w:val="16"/>
                <w:szCs w:val="18"/>
                <w:lang w:eastAsia="ru-RU"/>
              </w:rPr>
            </w:pPr>
            <w:r w:rsidRPr="00F61F73">
              <w:rPr>
                <w:rFonts w:eastAsia="Times New Roman" w:cs="Times New Roman"/>
                <w:sz w:val="16"/>
                <w:szCs w:val="18"/>
                <w:lang w:eastAsia="ru-RU"/>
              </w:rPr>
              <w:t>1.1.1</w:t>
            </w:r>
            <w:r w:rsidRPr="00F61F73">
              <w:rPr>
                <w:rFonts w:eastAsia="Times New Roman" w:cs="Times New Roman"/>
                <w:sz w:val="16"/>
                <w:szCs w:val="18"/>
                <w:lang w:eastAsia="ru-RU"/>
              </w:rPr>
              <w:tab/>
              <w:t>При первичном осмотре повреждения транспортного средства фиксируются по результатам внешнего осмотра органолептическим методом, без проведения демонтажных работ.</w:t>
            </w:r>
          </w:p>
          <w:p w14:paraId="375400E5" w14:textId="77777777" w:rsidR="00F33DB7" w:rsidRPr="00F61F73" w:rsidRDefault="00F33DB7" w:rsidP="00F33DB7">
            <w:pPr>
              <w:rPr>
                <w:rFonts w:eastAsia="Times New Roman" w:cs="Times New Roman"/>
                <w:sz w:val="16"/>
                <w:szCs w:val="18"/>
                <w:lang w:eastAsia="ru-RU"/>
              </w:rPr>
            </w:pPr>
            <w:r w:rsidRPr="00F61F73">
              <w:rPr>
                <w:rFonts w:eastAsia="Times New Roman" w:cs="Times New Roman"/>
                <w:sz w:val="16"/>
                <w:szCs w:val="18"/>
                <w:lang w:eastAsia="ru-RU"/>
              </w:rPr>
              <w:t>1.1.2</w:t>
            </w:r>
            <w:r w:rsidRPr="00F61F73">
              <w:rPr>
                <w:rFonts w:eastAsia="Times New Roman" w:cs="Times New Roman"/>
                <w:sz w:val="16"/>
                <w:szCs w:val="18"/>
                <w:lang w:eastAsia="ru-RU"/>
              </w:rPr>
              <w:tab/>
              <w:t>В случае необходимости при первичном осмотре транспортного средства применяются инструментальные методы с использованием технических средств измерения и контроля или диагностического оборудования в соответствии с технической документацией и инструкциями по эксплуатации и применению указанных технических средств и оборудования, а также осуществляется проведение демонтажных работ.</w:t>
            </w:r>
          </w:p>
          <w:p w14:paraId="2CB32DE1" w14:textId="77777777" w:rsidR="00F33DB7" w:rsidRPr="00F61F73" w:rsidRDefault="00F33DB7" w:rsidP="00F33DB7">
            <w:pPr>
              <w:rPr>
                <w:rFonts w:eastAsia="Times New Roman" w:cs="Times New Roman"/>
                <w:sz w:val="16"/>
                <w:szCs w:val="18"/>
                <w:lang w:eastAsia="ru-RU"/>
              </w:rPr>
            </w:pPr>
            <w:r w:rsidRPr="00F61F73">
              <w:rPr>
                <w:rFonts w:eastAsia="Times New Roman" w:cs="Times New Roman"/>
                <w:sz w:val="16"/>
                <w:szCs w:val="18"/>
                <w:lang w:eastAsia="ru-RU"/>
              </w:rPr>
              <w:t>1.1.3</w:t>
            </w:r>
            <w:r w:rsidRPr="00F61F73">
              <w:rPr>
                <w:rFonts w:eastAsia="Times New Roman" w:cs="Times New Roman"/>
                <w:sz w:val="16"/>
                <w:szCs w:val="18"/>
                <w:lang w:eastAsia="ru-RU"/>
              </w:rPr>
              <w:tab/>
              <w:t>С целью определения причин повреждений узлов, агрегатов, систем пассивной и активной безопасности, мультимедийных, электронных устройств, электронных блоков управления системами транспортного средства и их соответствия заявленным обстоятельствам должны применяться инструментальные методы с использованием диагностического оборудования.</w:t>
            </w:r>
          </w:p>
          <w:p w14:paraId="70F3DEA9" w14:textId="77777777" w:rsidR="00F33DB7" w:rsidRPr="00F61F73" w:rsidRDefault="00F33DB7" w:rsidP="00F33DB7">
            <w:pPr>
              <w:rPr>
                <w:rFonts w:eastAsia="Times New Roman" w:cs="Times New Roman"/>
                <w:sz w:val="16"/>
                <w:szCs w:val="18"/>
                <w:lang w:eastAsia="ru-RU"/>
              </w:rPr>
            </w:pPr>
            <w:r w:rsidRPr="00F61F73">
              <w:rPr>
                <w:rFonts w:eastAsia="Times New Roman" w:cs="Times New Roman"/>
                <w:sz w:val="16"/>
                <w:szCs w:val="18"/>
                <w:lang w:eastAsia="ru-RU"/>
              </w:rPr>
              <w:t>1.1.4</w:t>
            </w:r>
            <w:r w:rsidRPr="00F61F73">
              <w:rPr>
                <w:rFonts w:eastAsia="Times New Roman" w:cs="Times New Roman"/>
                <w:sz w:val="16"/>
                <w:szCs w:val="18"/>
                <w:lang w:eastAsia="ru-RU"/>
              </w:rPr>
              <w:tab/>
              <w:t>В случаях, когда осмотр транспортного средства невозможен (например, если транспортное средство находится в отдаленном или труднодоступном месте), установление повреждений транспортного средства допускается без его непосредственного осмотра - на основании представленных потерпевшим фотоматериалов (видеоматериалов - при их наличии), на которых зафиксированы повреждения транспортного средства, и документов, указанных в абзаце третьем пункта 2.1 настоящего Положения, при наличии письменного согласия потерпевшего и страховщика. В указанном случае в экспертном заключении должно быть указано, что транспортное средство не осматривалось (с указанием причин), а определение повреждений проводилось по представленным потерпевшим материалам (документам), с указанием их перечня и источника получения, полным описанием процедуры установления повреждений и их причин.</w:t>
            </w:r>
          </w:p>
          <w:p w14:paraId="56B1F600" w14:textId="77777777" w:rsidR="00F33DB7" w:rsidRPr="00F61F73" w:rsidRDefault="00F33DB7" w:rsidP="00F33DB7">
            <w:pPr>
              <w:rPr>
                <w:rFonts w:eastAsia="Times New Roman" w:cs="Times New Roman"/>
                <w:sz w:val="16"/>
                <w:szCs w:val="18"/>
                <w:lang w:eastAsia="ru-RU"/>
              </w:rPr>
            </w:pPr>
            <w:r w:rsidRPr="00F61F73">
              <w:rPr>
                <w:rFonts w:eastAsia="Times New Roman" w:cs="Times New Roman"/>
                <w:sz w:val="16"/>
                <w:szCs w:val="18"/>
                <w:lang w:eastAsia="ru-RU"/>
              </w:rPr>
              <w:t>2.4. Для характеристики повреждений деталей кузова транспортного</w:t>
            </w:r>
          </w:p>
          <w:p w14:paraId="04373A8A" w14:textId="77777777" w:rsidR="00F33DB7" w:rsidRPr="00F61F73" w:rsidRDefault="00F33DB7" w:rsidP="00F33DB7">
            <w:pPr>
              <w:rPr>
                <w:rFonts w:eastAsia="Times New Roman" w:cs="Times New Roman"/>
                <w:sz w:val="16"/>
                <w:szCs w:val="18"/>
                <w:lang w:eastAsia="ru-RU"/>
              </w:rPr>
            </w:pPr>
            <w:r w:rsidRPr="00F61F73">
              <w:rPr>
                <w:rFonts w:eastAsia="Times New Roman" w:cs="Times New Roman"/>
                <w:sz w:val="16"/>
                <w:szCs w:val="18"/>
                <w:lang w:eastAsia="ru-RU"/>
              </w:rPr>
              <w:t>средства должны использоваться следующие показатели, в зависимости от которых определяются методы и трудоемкость устранения повреждений:</w:t>
            </w:r>
          </w:p>
          <w:p w14:paraId="55CD801F" w14:textId="77777777" w:rsidR="00F33DB7" w:rsidRPr="00F61F73" w:rsidRDefault="00F33DB7" w:rsidP="00F33DB7">
            <w:pPr>
              <w:rPr>
                <w:rFonts w:eastAsia="Times New Roman" w:cs="Times New Roman"/>
                <w:sz w:val="16"/>
                <w:szCs w:val="18"/>
                <w:lang w:eastAsia="ru-RU"/>
              </w:rPr>
            </w:pPr>
            <w:r w:rsidRPr="00F61F73">
              <w:rPr>
                <w:rFonts w:eastAsia="Times New Roman" w:cs="Times New Roman"/>
                <w:sz w:val="16"/>
                <w:szCs w:val="18"/>
                <w:lang w:eastAsia="ru-RU"/>
              </w:rPr>
              <w:t>площадь повреждения либо отношение площади повреждения к общей площади части, детали (в процентном соотношении или частях) и (или) глубина (объем) повреждения, в отдельных случаях - длина повреждения (количественные показатели);</w:t>
            </w:r>
          </w:p>
          <w:p w14:paraId="47B903BF" w14:textId="77777777" w:rsidR="00F33DB7" w:rsidRPr="00F61F73" w:rsidRDefault="00F33DB7" w:rsidP="00F33DB7">
            <w:pPr>
              <w:rPr>
                <w:rFonts w:eastAsia="Times New Roman" w:cs="Times New Roman"/>
                <w:sz w:val="16"/>
                <w:szCs w:val="18"/>
                <w:lang w:eastAsia="ru-RU"/>
              </w:rPr>
            </w:pPr>
            <w:r w:rsidRPr="00F61F73">
              <w:rPr>
                <w:rFonts w:eastAsia="Times New Roman" w:cs="Times New Roman"/>
                <w:sz w:val="16"/>
                <w:szCs w:val="18"/>
                <w:lang w:eastAsia="ru-RU"/>
              </w:rPr>
              <w:t>вид (характеристика) деформации детали транспортного средства в зоне повреждения (качественные показатели) с учетом типовых характеристик повреждений транспортного средства согласно приложению 2 к настоящему Положению;</w:t>
            </w:r>
          </w:p>
          <w:p w14:paraId="1FD1921A" w14:textId="77777777" w:rsidR="00F33DB7" w:rsidRPr="00F61F73" w:rsidRDefault="00F33DB7" w:rsidP="00F33DB7">
            <w:pPr>
              <w:rPr>
                <w:rFonts w:eastAsia="Times New Roman" w:cs="Times New Roman"/>
                <w:sz w:val="16"/>
                <w:szCs w:val="18"/>
                <w:lang w:eastAsia="ru-RU"/>
              </w:rPr>
            </w:pPr>
            <w:r w:rsidRPr="00F61F73">
              <w:rPr>
                <w:rFonts w:eastAsia="Times New Roman" w:cs="Times New Roman"/>
                <w:sz w:val="16"/>
                <w:szCs w:val="18"/>
                <w:lang w:eastAsia="ru-RU"/>
              </w:rPr>
              <w:t>конструктивные характеристики детали транспортного средства в зоне повреждения;</w:t>
            </w:r>
          </w:p>
          <w:p w14:paraId="45DEAF82" w14:textId="77777777" w:rsidR="00F33DB7" w:rsidRPr="00F61F73" w:rsidRDefault="00F33DB7" w:rsidP="00F33DB7">
            <w:pPr>
              <w:rPr>
                <w:rFonts w:eastAsia="Times New Roman" w:cs="Times New Roman"/>
                <w:sz w:val="16"/>
                <w:szCs w:val="18"/>
                <w:lang w:eastAsia="ru-RU"/>
              </w:rPr>
            </w:pPr>
            <w:r w:rsidRPr="00F61F73">
              <w:rPr>
                <w:rFonts w:eastAsia="Times New Roman" w:cs="Times New Roman"/>
                <w:sz w:val="16"/>
                <w:szCs w:val="18"/>
                <w:lang w:eastAsia="ru-RU"/>
              </w:rPr>
              <w:t>локализация (место расположения) повреждений транспортного средства для определения доступности ремонтного воздействия.</w:t>
            </w:r>
          </w:p>
          <w:p w14:paraId="0AFFF3AF" w14:textId="77777777" w:rsidR="00F33DB7" w:rsidRPr="00F61F73" w:rsidRDefault="00F33DB7" w:rsidP="00F33DB7">
            <w:pPr>
              <w:rPr>
                <w:rFonts w:eastAsia="Times New Roman" w:cs="Times New Roman"/>
                <w:sz w:val="16"/>
                <w:szCs w:val="18"/>
                <w:lang w:eastAsia="ru-RU"/>
              </w:rPr>
            </w:pPr>
            <w:r w:rsidRPr="00F61F73">
              <w:rPr>
                <w:rFonts w:eastAsia="Times New Roman" w:cs="Times New Roman"/>
                <w:sz w:val="16"/>
                <w:szCs w:val="18"/>
                <w:lang w:eastAsia="ru-RU"/>
              </w:rPr>
              <w:t>2.6.</w:t>
            </w:r>
            <w:r w:rsidRPr="00F61F73">
              <w:rPr>
                <w:rFonts w:eastAsia="Times New Roman" w:cs="Times New Roman"/>
                <w:sz w:val="16"/>
                <w:szCs w:val="18"/>
                <w:lang w:eastAsia="ru-RU"/>
              </w:rPr>
              <w:tab/>
              <w:t>В ходе осмотра транспортного средства должно проводиться описание повреждений исходя из следующих положений.</w:t>
            </w:r>
          </w:p>
          <w:p w14:paraId="4AFCF964" w14:textId="183431CE" w:rsidR="003232D2" w:rsidRPr="00F61F73" w:rsidRDefault="00F33DB7" w:rsidP="00F33DB7">
            <w:pPr>
              <w:rPr>
                <w:rFonts w:eastAsia="Times New Roman" w:cs="Times New Roman"/>
                <w:sz w:val="16"/>
                <w:szCs w:val="18"/>
                <w:lang w:eastAsia="ru-RU"/>
              </w:rPr>
            </w:pPr>
            <w:r w:rsidRPr="00F61F73">
              <w:rPr>
                <w:rFonts w:eastAsia="Times New Roman" w:cs="Times New Roman"/>
                <w:sz w:val="16"/>
                <w:szCs w:val="18"/>
                <w:lang w:eastAsia="ru-RU"/>
              </w:rPr>
              <w:t>При наименовании в акте осмотра частей, узлов, агрегатов и деталей должен использоваться следующий порядок: наименование, расположение относительно стороны транспортного средства (например, дверь задняя левая). При наличии возможности нумерации (кодирования) частей, узлов, агрегатов и деталей производится такая нумерация (такое кодирование) с указанием источника информации (печатного издания или расчетно-программного комплекса)</w:t>
            </w:r>
          </w:p>
        </w:tc>
        <w:tc>
          <w:tcPr>
            <w:tcW w:w="0" w:type="auto"/>
            <w:tcMar>
              <w:top w:w="30" w:type="dxa"/>
              <w:left w:w="45" w:type="dxa"/>
              <w:bottom w:w="30" w:type="dxa"/>
              <w:right w:w="45" w:type="dxa"/>
            </w:tcMar>
            <w:vAlign w:val="center"/>
            <w:hideMark/>
          </w:tcPr>
          <w:p w14:paraId="65F8403A" w14:textId="77777777" w:rsidR="003232D2" w:rsidRPr="00F61F73" w:rsidRDefault="003232D2" w:rsidP="003232D2">
            <w:pPr>
              <w:rPr>
                <w:rFonts w:eastAsia="Times New Roman" w:cs="Times New Roman"/>
                <w:sz w:val="16"/>
                <w:szCs w:val="18"/>
                <w:lang w:eastAsia="ru-RU"/>
              </w:rPr>
            </w:pPr>
          </w:p>
        </w:tc>
        <w:tc>
          <w:tcPr>
            <w:tcW w:w="0" w:type="auto"/>
            <w:tcBorders>
              <w:right w:val="single" w:sz="6" w:space="0" w:color="000000"/>
            </w:tcBorders>
            <w:tcMar>
              <w:top w:w="30" w:type="dxa"/>
              <w:left w:w="45" w:type="dxa"/>
              <w:bottom w:w="30" w:type="dxa"/>
              <w:right w:w="45" w:type="dxa"/>
            </w:tcMar>
            <w:hideMark/>
          </w:tcPr>
          <w:p w14:paraId="1BA86583" w14:textId="77777777" w:rsidR="00F33DB7" w:rsidRPr="00F61F73" w:rsidRDefault="00F33DB7" w:rsidP="00F33DB7">
            <w:pPr>
              <w:rPr>
                <w:rFonts w:eastAsia="Times New Roman" w:cs="Times New Roman"/>
                <w:sz w:val="16"/>
                <w:szCs w:val="18"/>
                <w:lang w:eastAsia="ru-RU"/>
              </w:rPr>
            </w:pPr>
            <w:r w:rsidRPr="00F61F73">
              <w:rPr>
                <w:rFonts w:eastAsia="Times New Roman" w:cs="Times New Roman"/>
                <w:sz w:val="16"/>
                <w:szCs w:val="18"/>
                <w:lang w:eastAsia="ru-RU"/>
              </w:rPr>
              <w:t>По каждому повреждению должны фиксироваться следующие данные: вид повреждения в соответствии с типовыми характеристиками повреждений транспортного средства, приведенными в приложении 2 к настоящему Положению, место расположения и объем. Объем повреждения определяется линейными размерами (глубиной, шириной, длиной) либо отношением площади поврежденной части к общей площади детали (в процентном соотношении или частях). При фиксации повреждений подушек и ремней безопасности должны быть сфотографированы номера и маркировочные обозначения указанных сработавших элементов (при их наличии).</w:t>
            </w:r>
          </w:p>
          <w:p w14:paraId="264B0518" w14:textId="77777777" w:rsidR="00F33DB7" w:rsidRPr="00F61F73" w:rsidRDefault="00F33DB7" w:rsidP="00F33DB7">
            <w:pPr>
              <w:rPr>
                <w:rFonts w:eastAsia="Times New Roman" w:cs="Times New Roman"/>
                <w:sz w:val="16"/>
                <w:szCs w:val="18"/>
                <w:lang w:eastAsia="ru-RU"/>
              </w:rPr>
            </w:pPr>
            <w:r w:rsidRPr="00F61F73">
              <w:rPr>
                <w:rFonts w:eastAsia="Times New Roman" w:cs="Times New Roman"/>
                <w:sz w:val="16"/>
                <w:szCs w:val="18"/>
                <w:lang w:eastAsia="ru-RU"/>
              </w:rPr>
              <w:t>2.7.</w:t>
            </w:r>
            <w:r w:rsidRPr="00F61F73">
              <w:rPr>
                <w:rFonts w:eastAsia="Times New Roman" w:cs="Times New Roman"/>
                <w:sz w:val="16"/>
                <w:szCs w:val="18"/>
                <w:lang w:eastAsia="ru-RU"/>
              </w:rPr>
              <w:tab/>
              <w:t>Для каждой поврежденной детали (узла, агрегата) транспортного средства должны определяться и указываться в экспертном заключении вид и объем ремонтного воздействия и (или) категория окраски.</w:t>
            </w:r>
          </w:p>
          <w:p w14:paraId="270F2D88" w14:textId="77777777" w:rsidR="00F33DB7" w:rsidRPr="00F61F73" w:rsidRDefault="00F33DB7" w:rsidP="00F33DB7">
            <w:pPr>
              <w:rPr>
                <w:rFonts w:eastAsia="Times New Roman" w:cs="Times New Roman"/>
                <w:sz w:val="16"/>
                <w:szCs w:val="18"/>
                <w:lang w:eastAsia="ru-RU"/>
              </w:rPr>
            </w:pPr>
            <w:r w:rsidRPr="00F61F73">
              <w:rPr>
                <w:rFonts w:eastAsia="Times New Roman" w:cs="Times New Roman"/>
                <w:sz w:val="16"/>
                <w:szCs w:val="18"/>
                <w:lang w:eastAsia="ru-RU"/>
              </w:rPr>
              <w:t>Необходимый и достаточный набор (комплекс) работ по восстановительному ремонту транспортного средства должен устанавливаться в зависимости от характера и степени повреждения отдельных частей, узлов, агрегатов и деталей на основе технологии завода-изготовителя, сертифицированных ремонтных технологий с учетом особенностей конструкции деталей (узлов, агрегатов), подвергающихся ремонтным воздействиям, выполнения в необходимом и достаточном объеме вспомогательных и сопутствующих работ по разборке/сборке, регулировке, подгонке, окраске, антикоррозийной обработке и так далее для обеспечения доступа к заменяемым и ремонтируемым частям, узлам, агрегатам и деталям, сохранности сопряженных частей, узлов, агрегатов и деталей и соблюдения требований безопасности работ.</w:t>
            </w:r>
          </w:p>
          <w:p w14:paraId="0C527CA5" w14:textId="77777777" w:rsidR="00F33DB7" w:rsidRPr="00F61F73" w:rsidRDefault="00F33DB7" w:rsidP="00F33DB7">
            <w:pPr>
              <w:rPr>
                <w:rFonts w:eastAsia="Times New Roman" w:cs="Times New Roman"/>
                <w:sz w:val="16"/>
                <w:szCs w:val="18"/>
                <w:lang w:eastAsia="ru-RU"/>
              </w:rPr>
            </w:pPr>
            <w:r w:rsidRPr="00F61F73">
              <w:rPr>
                <w:rFonts w:eastAsia="Times New Roman" w:cs="Times New Roman"/>
                <w:sz w:val="16"/>
                <w:szCs w:val="18"/>
                <w:lang w:eastAsia="ru-RU"/>
              </w:rPr>
              <w:t>Требования завода-изготовителя транспортных средств в части норм,</w:t>
            </w:r>
          </w:p>
          <w:p w14:paraId="53848F4C" w14:textId="77777777" w:rsidR="00F33DB7" w:rsidRPr="00F61F73" w:rsidRDefault="00F33DB7" w:rsidP="00F33DB7">
            <w:pPr>
              <w:rPr>
                <w:rFonts w:eastAsia="Times New Roman" w:cs="Times New Roman"/>
                <w:sz w:val="16"/>
                <w:szCs w:val="18"/>
                <w:lang w:eastAsia="ru-RU"/>
              </w:rPr>
            </w:pPr>
            <w:r w:rsidRPr="00F61F73">
              <w:rPr>
                <w:rFonts w:eastAsia="Times New Roman" w:cs="Times New Roman"/>
                <w:sz w:val="16"/>
                <w:szCs w:val="18"/>
                <w:lang w:eastAsia="ru-RU"/>
              </w:rPr>
              <w:t>правил и процедур ремонта транспортных средств являются приоритетными при выборе ремонтных воздействий.</w:t>
            </w:r>
          </w:p>
          <w:p w14:paraId="1F7A29C8" w14:textId="77777777" w:rsidR="00F33DB7" w:rsidRPr="00F61F73" w:rsidRDefault="00F33DB7" w:rsidP="00F33DB7">
            <w:pPr>
              <w:rPr>
                <w:rFonts w:eastAsia="Times New Roman" w:cs="Times New Roman"/>
                <w:sz w:val="16"/>
                <w:szCs w:val="18"/>
                <w:lang w:eastAsia="ru-RU"/>
              </w:rPr>
            </w:pPr>
            <w:r w:rsidRPr="00F61F73">
              <w:rPr>
                <w:rFonts w:eastAsia="Times New Roman" w:cs="Times New Roman"/>
                <w:sz w:val="16"/>
                <w:szCs w:val="18"/>
                <w:lang w:eastAsia="ru-RU"/>
              </w:rPr>
              <w:t>В случае выявления повреждений дорогостоящих комплектующих изделий (части, детали, механизмы, узлы и агрегаты, стоимость которых с учетом износа превышает 5 процентов от стоимости транспортного средства на момент дорожно-транспортного происшествия), а также двигателя, коробки передач, раздаточной коробки (коробки отбора мощности), ведущих мостов, межосевых дифференциалов, колесных редукторов, рулевого механизма, гидроусилителя руля, топливного насоса высокого давления, мультимедийных, электронных устройств, электронных блоков управления системами транспортного средства, систем безопасности, блоков предохранителей, а для специализированного транспорта - выявления повреждений агрегатов и механизмов, размещенных на шасси базового транспортного средства, относящихся к рассматриваемому дорожно-транспортному происшествию, в акте осмотра должна делаться запись о необходимости инструментальной диагностики или диагностики и дефектовки с разборкой при наличии технически обоснованных показателей (признаков). Наличие механических повреждений только в виде царапин, задиров и сколов на корпусе к таким признакам не относится и не является основанием для замены узла в сборе, так как не влияет на его эксплуатационные характеристики. Замена жгута электропроводов должна назначаться только в случае, если его ремонт технологически невозможен. При наличии ремонтного комплекта разъема жгута электропроводов, повреждение такого разъема не является основанием для замены жгута электропроводов в сборе.</w:t>
            </w:r>
          </w:p>
          <w:p w14:paraId="2CA1A8F6" w14:textId="77777777" w:rsidR="00F33DB7" w:rsidRPr="00F61F73" w:rsidRDefault="00F33DB7" w:rsidP="00F33DB7">
            <w:pPr>
              <w:rPr>
                <w:rFonts w:eastAsia="Times New Roman" w:cs="Times New Roman"/>
                <w:sz w:val="16"/>
                <w:szCs w:val="18"/>
                <w:lang w:eastAsia="ru-RU"/>
              </w:rPr>
            </w:pPr>
            <w:r w:rsidRPr="00F61F73">
              <w:rPr>
                <w:rFonts w:eastAsia="Times New Roman" w:cs="Times New Roman"/>
                <w:sz w:val="16"/>
                <w:szCs w:val="18"/>
                <w:lang w:eastAsia="ru-RU"/>
              </w:rPr>
              <w:t>Замена кузова, кабины транспортного средства должна назначаться в</w:t>
            </w:r>
          </w:p>
          <w:p w14:paraId="50DBADE6" w14:textId="77777777" w:rsidR="00F33DB7" w:rsidRPr="00F61F73" w:rsidRDefault="00F33DB7" w:rsidP="00F33DB7">
            <w:pPr>
              <w:rPr>
                <w:rFonts w:eastAsia="Times New Roman" w:cs="Times New Roman"/>
                <w:sz w:val="16"/>
                <w:szCs w:val="18"/>
                <w:lang w:eastAsia="ru-RU"/>
              </w:rPr>
            </w:pPr>
            <w:r w:rsidRPr="00F61F73">
              <w:rPr>
                <w:rFonts w:eastAsia="Times New Roman" w:cs="Times New Roman"/>
                <w:sz w:val="16"/>
                <w:szCs w:val="18"/>
                <w:lang w:eastAsia="ru-RU"/>
              </w:rPr>
              <w:t>случае, если их ремонт, восстановление технически невозможны либо экономически нецелесообразны.</w:t>
            </w:r>
          </w:p>
          <w:p w14:paraId="7FC4D52C" w14:textId="16AB23CE" w:rsidR="003232D2" w:rsidRPr="00F61F73" w:rsidRDefault="00F33DB7" w:rsidP="00F33DB7">
            <w:pPr>
              <w:rPr>
                <w:rFonts w:eastAsia="Times New Roman" w:cs="Times New Roman"/>
                <w:sz w:val="16"/>
                <w:szCs w:val="18"/>
                <w:lang w:eastAsia="ru-RU"/>
              </w:rPr>
            </w:pPr>
            <w:r w:rsidRPr="00F61F73">
              <w:rPr>
                <w:rFonts w:eastAsia="Times New Roman" w:cs="Times New Roman"/>
                <w:sz w:val="16"/>
                <w:szCs w:val="18"/>
                <w:lang w:eastAsia="ru-RU"/>
              </w:rPr>
              <w:t>Необходимость и объем работ по устранению перекосов должны определяться по результатам замеров либо наличию информативных признаков, свидетельствующих о наличии перекоса. Предельное время по устранению перекосов должно определяться с учетом укрупненных показателей трудозатрат на выполнение работ по кузовному ремонту и устранению перекосов проемов и кузова, приведенных в приложении 3 к настоящему.</w:t>
            </w:r>
            <w:r w:rsidR="00A378C7" w:rsidRPr="00F61F73">
              <w:rPr>
                <w:rFonts w:eastAsia="Times New Roman" w:cs="Times New Roman"/>
                <w:sz w:val="16"/>
                <w:szCs w:val="18"/>
                <w:lang w:eastAsia="ru-RU"/>
              </w:rPr>
              <w:br/>
            </w:r>
          </w:p>
        </w:tc>
      </w:tr>
      <w:tr w:rsidR="003232D2" w:rsidRPr="00F61F73" w14:paraId="00F3091A" w14:textId="77777777" w:rsidTr="00F61F73">
        <w:trPr>
          <w:trHeight w:val="1200"/>
          <w:tblCellSpacing w:w="0" w:type="dxa"/>
        </w:trPr>
        <w:tc>
          <w:tcPr>
            <w:tcW w:w="0" w:type="auto"/>
            <w:tcBorders>
              <w:left w:val="single" w:sz="6" w:space="0" w:color="000000"/>
              <w:bottom w:val="single" w:sz="6" w:space="0" w:color="000000"/>
            </w:tcBorders>
            <w:tcMar>
              <w:top w:w="30" w:type="dxa"/>
              <w:left w:w="45" w:type="dxa"/>
              <w:bottom w:w="30" w:type="dxa"/>
              <w:right w:w="45" w:type="dxa"/>
            </w:tcMar>
            <w:vAlign w:val="bottom"/>
            <w:hideMark/>
          </w:tcPr>
          <w:p w14:paraId="65AB8DE9" w14:textId="2EFBCDA3" w:rsidR="003232D2" w:rsidRPr="00F61F73" w:rsidRDefault="003232D2" w:rsidP="003232D2">
            <w:pPr>
              <w:rPr>
                <w:rFonts w:eastAsia="Times New Roman" w:cs="Times New Roman"/>
                <w:sz w:val="16"/>
                <w:szCs w:val="18"/>
                <w:lang w:eastAsia="ru-RU"/>
              </w:rPr>
            </w:pPr>
            <w:proofErr w:type="gramStart"/>
            <w:r w:rsidRPr="00F61F73">
              <w:rPr>
                <w:rFonts w:eastAsia="Times New Roman" w:cs="Times New Roman"/>
                <w:sz w:val="16"/>
                <w:szCs w:val="18"/>
                <w:lang w:eastAsia="ru-RU"/>
              </w:rPr>
              <w:t>Цедент:_</w:t>
            </w:r>
            <w:proofErr w:type="gramEnd"/>
            <w:r w:rsidRPr="00F61F73">
              <w:rPr>
                <w:rFonts w:eastAsia="Times New Roman" w:cs="Times New Roman"/>
                <w:sz w:val="16"/>
                <w:szCs w:val="18"/>
                <w:lang w:eastAsia="ru-RU"/>
              </w:rPr>
              <w:t xml:space="preserve">__________________________ </w:t>
            </w:r>
            <w:r w:rsidRPr="00F61F73">
              <w:rPr>
                <w:rFonts w:eastAsia="Times New Roman" w:cs="Times New Roman"/>
                <w:sz w:val="16"/>
                <w:szCs w:val="18"/>
                <w:lang w:eastAsia="ru-RU"/>
              </w:rPr>
              <w:br/>
            </w:r>
            <w:r w:rsidR="00C82F24" w:rsidRPr="00F61F73">
              <w:rPr>
                <w:rFonts w:eastAsia="Times New Roman" w:cs="Times New Roman"/>
                <w:sz w:val="16"/>
                <w:szCs w:val="18"/>
                <w:lang w:eastAsia="ru-RU"/>
              </w:rPr>
              <w:t>${клиент ФИО}</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17005CE" w14:textId="77777777" w:rsidR="003232D2" w:rsidRPr="00F61F73" w:rsidRDefault="003232D2" w:rsidP="003232D2">
            <w:pPr>
              <w:rPr>
                <w:rFonts w:eastAsia="Times New Roman" w:cs="Times New Roman"/>
                <w:sz w:val="16"/>
                <w:szCs w:val="18"/>
                <w:lang w:eastAsia="ru-RU"/>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19B615D" w14:textId="35EAC5FE" w:rsidR="003232D2" w:rsidRPr="00F61F73" w:rsidRDefault="003232D2" w:rsidP="003232D2">
            <w:pPr>
              <w:rPr>
                <w:rFonts w:eastAsia="Times New Roman" w:cs="Times New Roman"/>
                <w:sz w:val="16"/>
                <w:szCs w:val="18"/>
                <w:lang w:eastAsia="ru-RU"/>
              </w:rPr>
            </w:pPr>
            <w:proofErr w:type="gramStart"/>
            <w:r w:rsidRPr="00F61F73">
              <w:rPr>
                <w:rFonts w:eastAsia="Times New Roman" w:cs="Times New Roman"/>
                <w:sz w:val="16"/>
                <w:szCs w:val="18"/>
                <w:lang w:eastAsia="ru-RU"/>
              </w:rPr>
              <w:t>Цессионарий:_</w:t>
            </w:r>
            <w:proofErr w:type="gramEnd"/>
            <w:r w:rsidRPr="00F61F73">
              <w:rPr>
                <w:rFonts w:eastAsia="Times New Roman" w:cs="Times New Roman"/>
                <w:sz w:val="16"/>
                <w:szCs w:val="18"/>
                <w:lang w:eastAsia="ru-RU"/>
              </w:rPr>
              <w:t>___________________________</w:t>
            </w:r>
            <w:r w:rsidRPr="00F61F73">
              <w:rPr>
                <w:rFonts w:eastAsia="Times New Roman" w:cs="Times New Roman"/>
                <w:sz w:val="16"/>
                <w:szCs w:val="18"/>
                <w:lang w:eastAsia="ru-RU"/>
              </w:rPr>
              <w:br/>
            </w:r>
            <w:r w:rsidR="00A0350A" w:rsidRPr="00F61F73">
              <w:rPr>
                <w:rFonts w:eastAsia="Times New Roman" w:cs="Times New Roman"/>
                <w:sz w:val="16"/>
                <w:szCs w:val="18"/>
                <w:lang w:eastAsia="ru-RU"/>
              </w:rPr>
              <w:t>${Краткое наименование 2}</w:t>
            </w:r>
          </w:p>
        </w:tc>
      </w:tr>
      <w:tr w:rsidR="004C7D1D" w:rsidRPr="00F61F73" w14:paraId="7CACEFBD" w14:textId="77777777" w:rsidTr="004C7D1D">
        <w:trPr>
          <w:trHeight w:val="121"/>
          <w:tblCellSpacing w:w="0" w:type="dxa"/>
        </w:trPr>
        <w:tc>
          <w:tcPr>
            <w:tcW w:w="0" w:type="auto"/>
            <w:tcBorders>
              <w:left w:val="single" w:sz="4" w:space="0" w:color="FFFFFF" w:themeColor="background1"/>
            </w:tcBorders>
            <w:tcMar>
              <w:top w:w="30" w:type="dxa"/>
              <w:left w:w="45" w:type="dxa"/>
              <w:bottom w:w="30" w:type="dxa"/>
              <w:right w:w="45" w:type="dxa"/>
            </w:tcMar>
            <w:vAlign w:val="bottom"/>
          </w:tcPr>
          <w:p w14:paraId="47C08219" w14:textId="77777777" w:rsidR="004C7D1D" w:rsidRPr="00F61F73" w:rsidRDefault="004C7D1D" w:rsidP="003232D2">
            <w:pPr>
              <w:rPr>
                <w:rFonts w:eastAsia="Times New Roman" w:cs="Times New Roman"/>
                <w:sz w:val="16"/>
                <w:szCs w:val="18"/>
                <w:lang w:eastAsia="ru-RU"/>
              </w:rPr>
            </w:pPr>
          </w:p>
        </w:tc>
        <w:tc>
          <w:tcPr>
            <w:tcW w:w="0" w:type="auto"/>
            <w:tcBorders>
              <w:right w:val="single" w:sz="4" w:space="0" w:color="FFFFFF" w:themeColor="background1"/>
            </w:tcBorders>
            <w:tcMar>
              <w:top w:w="30" w:type="dxa"/>
              <w:left w:w="45" w:type="dxa"/>
              <w:bottom w:w="30" w:type="dxa"/>
              <w:right w:w="45" w:type="dxa"/>
            </w:tcMar>
            <w:vAlign w:val="bottom"/>
          </w:tcPr>
          <w:p w14:paraId="3F4BE667" w14:textId="77777777" w:rsidR="004C7D1D" w:rsidRPr="00F61F73" w:rsidRDefault="004C7D1D" w:rsidP="003232D2">
            <w:pPr>
              <w:rPr>
                <w:rFonts w:eastAsia="Times New Roman" w:cs="Times New Roman"/>
                <w:sz w:val="16"/>
                <w:szCs w:val="18"/>
                <w:lang w:eastAsia="ru-RU"/>
              </w:rPr>
            </w:pPr>
          </w:p>
        </w:tc>
        <w:tc>
          <w:tcPr>
            <w:tcW w:w="0" w:type="auto"/>
            <w:tcBorders>
              <w:top w:val="single" w:sz="4" w:space="0" w:color="FFFFFF" w:themeColor="background1"/>
              <w:right w:val="single" w:sz="4" w:space="0" w:color="FFFFFF" w:themeColor="background1"/>
            </w:tcBorders>
            <w:tcMar>
              <w:top w:w="30" w:type="dxa"/>
              <w:left w:w="45" w:type="dxa"/>
              <w:bottom w:w="30" w:type="dxa"/>
              <w:right w:w="45" w:type="dxa"/>
            </w:tcMar>
            <w:vAlign w:val="bottom"/>
          </w:tcPr>
          <w:p w14:paraId="5DD2D7C8" w14:textId="77777777" w:rsidR="004C7D1D" w:rsidRPr="00F61F73" w:rsidRDefault="004C7D1D" w:rsidP="003232D2">
            <w:pPr>
              <w:rPr>
                <w:rFonts w:eastAsia="Times New Roman" w:cs="Times New Roman"/>
                <w:sz w:val="16"/>
                <w:szCs w:val="18"/>
                <w:lang w:eastAsia="ru-RU"/>
              </w:rPr>
            </w:pPr>
          </w:p>
        </w:tc>
      </w:tr>
      <w:tr w:rsidR="003232D2" w:rsidRPr="00F61F73" w14:paraId="4FFA68D6" w14:textId="77777777" w:rsidTr="00644AEF">
        <w:trPr>
          <w:trHeight w:val="242"/>
          <w:tblCellSpacing w:w="0" w:type="dxa"/>
        </w:trPr>
        <w:tc>
          <w:tcPr>
            <w:tcW w:w="0" w:type="auto"/>
            <w:gridSpan w:val="3"/>
            <w:tcMar>
              <w:top w:w="30" w:type="dxa"/>
              <w:left w:w="45" w:type="dxa"/>
              <w:bottom w:w="30" w:type="dxa"/>
              <w:right w:w="45" w:type="dxa"/>
            </w:tcMar>
            <w:vAlign w:val="bottom"/>
            <w:hideMark/>
          </w:tcPr>
          <w:p w14:paraId="427CFCC8" w14:textId="2E90D7E4" w:rsidR="003232D2" w:rsidRPr="00F61F73" w:rsidRDefault="00F61F73" w:rsidP="003232D2">
            <w:pPr>
              <w:rPr>
                <w:rFonts w:eastAsia="Times New Roman" w:cs="Times New Roman"/>
                <w:sz w:val="16"/>
                <w:szCs w:val="18"/>
                <w:lang w:eastAsia="ru-RU"/>
              </w:rPr>
            </w:pPr>
            <w:r w:rsidRPr="00F61F73">
              <w:rPr>
                <w:rFonts w:eastAsia="Times New Roman" w:cs="Times New Roman"/>
                <w:sz w:val="16"/>
                <w:szCs w:val="18"/>
                <w:lang w:eastAsia="ru-RU"/>
              </w:rPr>
              <w:t>* - пункты из Положения Банка России от 04.03.2021 № 755-п (ред. от 31.05.2022)</w:t>
            </w:r>
          </w:p>
        </w:tc>
      </w:tr>
    </w:tbl>
    <w:p w14:paraId="5494ADF6" w14:textId="77777777" w:rsidR="009F15A6" w:rsidRPr="00F61F73" w:rsidRDefault="009F15A6" w:rsidP="003232D2">
      <w:pPr>
        <w:rPr>
          <w:szCs w:val="20"/>
        </w:rPr>
      </w:pPr>
    </w:p>
    <w:sectPr w:rsidR="009F15A6" w:rsidRPr="00F61F73" w:rsidSect="004C7D1D">
      <w:pgSz w:w="11906" w:h="16838"/>
      <w:pgMar w:top="397" w:right="737" w:bottom="851" w:left="73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5A6"/>
    <w:rsid w:val="0000185D"/>
    <w:rsid w:val="0003629A"/>
    <w:rsid w:val="00204F28"/>
    <w:rsid w:val="00245106"/>
    <w:rsid w:val="002E7948"/>
    <w:rsid w:val="003054AA"/>
    <w:rsid w:val="003232D2"/>
    <w:rsid w:val="00353799"/>
    <w:rsid w:val="003A5F6F"/>
    <w:rsid w:val="00460256"/>
    <w:rsid w:val="00474082"/>
    <w:rsid w:val="0048660B"/>
    <w:rsid w:val="00495101"/>
    <w:rsid w:val="004C7D1D"/>
    <w:rsid w:val="004E3661"/>
    <w:rsid w:val="004F04F7"/>
    <w:rsid w:val="00552BF3"/>
    <w:rsid w:val="00561525"/>
    <w:rsid w:val="005B1839"/>
    <w:rsid w:val="005C37E3"/>
    <w:rsid w:val="006057F4"/>
    <w:rsid w:val="00636657"/>
    <w:rsid w:val="00644AEF"/>
    <w:rsid w:val="00696799"/>
    <w:rsid w:val="00783578"/>
    <w:rsid w:val="007A3845"/>
    <w:rsid w:val="008F26BB"/>
    <w:rsid w:val="009302B4"/>
    <w:rsid w:val="009D4BC3"/>
    <w:rsid w:val="009F15A6"/>
    <w:rsid w:val="00A0350A"/>
    <w:rsid w:val="00A1063A"/>
    <w:rsid w:val="00A378C7"/>
    <w:rsid w:val="00A55AE3"/>
    <w:rsid w:val="00A904F6"/>
    <w:rsid w:val="00B77265"/>
    <w:rsid w:val="00C82F24"/>
    <w:rsid w:val="00CA2E7B"/>
    <w:rsid w:val="00D07275"/>
    <w:rsid w:val="00D83449"/>
    <w:rsid w:val="00DF4CAF"/>
    <w:rsid w:val="00E543B6"/>
    <w:rsid w:val="00EC5A8E"/>
    <w:rsid w:val="00EE7ED6"/>
    <w:rsid w:val="00F33DB7"/>
    <w:rsid w:val="00F61F73"/>
    <w:rsid w:val="00FB2E09"/>
    <w:rsid w:val="00FB53F0"/>
    <w:rsid w:val="00FD7507"/>
    <w:rsid w:val="00FE26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4A64E"/>
  <w15:chartTrackingRefBased/>
  <w15:docId w15:val="{8CE22BA6-A9F1-4C49-9CBD-3ECFA38A4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4CAF"/>
    <w:pPr>
      <w:spacing w:after="0" w:line="240" w:lineRule="auto"/>
    </w:pPr>
    <w:rPr>
      <w:rFonts w:ascii="Times New Roman" w:hAnsi="Times New Roman"/>
      <w:color w:val="000000" w:themeColor="text1"/>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37514">
      <w:bodyDiv w:val="1"/>
      <w:marLeft w:val="0"/>
      <w:marRight w:val="0"/>
      <w:marTop w:val="0"/>
      <w:marBottom w:val="0"/>
      <w:divBdr>
        <w:top w:val="none" w:sz="0" w:space="0" w:color="auto"/>
        <w:left w:val="none" w:sz="0" w:space="0" w:color="auto"/>
        <w:bottom w:val="none" w:sz="0" w:space="0" w:color="auto"/>
        <w:right w:val="none" w:sz="0" w:space="0" w:color="auto"/>
      </w:divBdr>
    </w:div>
    <w:div w:id="63451382">
      <w:bodyDiv w:val="1"/>
      <w:marLeft w:val="0"/>
      <w:marRight w:val="0"/>
      <w:marTop w:val="0"/>
      <w:marBottom w:val="0"/>
      <w:divBdr>
        <w:top w:val="none" w:sz="0" w:space="0" w:color="auto"/>
        <w:left w:val="none" w:sz="0" w:space="0" w:color="auto"/>
        <w:bottom w:val="none" w:sz="0" w:space="0" w:color="auto"/>
        <w:right w:val="none" w:sz="0" w:space="0" w:color="auto"/>
      </w:divBdr>
    </w:div>
    <w:div w:id="198670406">
      <w:bodyDiv w:val="1"/>
      <w:marLeft w:val="0"/>
      <w:marRight w:val="0"/>
      <w:marTop w:val="0"/>
      <w:marBottom w:val="0"/>
      <w:divBdr>
        <w:top w:val="none" w:sz="0" w:space="0" w:color="auto"/>
        <w:left w:val="none" w:sz="0" w:space="0" w:color="auto"/>
        <w:bottom w:val="none" w:sz="0" w:space="0" w:color="auto"/>
        <w:right w:val="none" w:sz="0" w:space="0" w:color="auto"/>
      </w:divBdr>
    </w:div>
    <w:div w:id="595359811">
      <w:bodyDiv w:val="1"/>
      <w:marLeft w:val="0"/>
      <w:marRight w:val="0"/>
      <w:marTop w:val="0"/>
      <w:marBottom w:val="0"/>
      <w:divBdr>
        <w:top w:val="none" w:sz="0" w:space="0" w:color="auto"/>
        <w:left w:val="none" w:sz="0" w:space="0" w:color="auto"/>
        <w:bottom w:val="none" w:sz="0" w:space="0" w:color="auto"/>
        <w:right w:val="none" w:sz="0" w:space="0" w:color="auto"/>
      </w:divBdr>
    </w:div>
    <w:div w:id="970935466">
      <w:bodyDiv w:val="1"/>
      <w:marLeft w:val="0"/>
      <w:marRight w:val="0"/>
      <w:marTop w:val="0"/>
      <w:marBottom w:val="0"/>
      <w:divBdr>
        <w:top w:val="none" w:sz="0" w:space="0" w:color="auto"/>
        <w:left w:val="none" w:sz="0" w:space="0" w:color="auto"/>
        <w:bottom w:val="none" w:sz="0" w:space="0" w:color="auto"/>
        <w:right w:val="none" w:sz="0" w:space="0" w:color="auto"/>
      </w:divBdr>
    </w:div>
    <w:div w:id="1859923580">
      <w:bodyDiv w:val="1"/>
      <w:marLeft w:val="0"/>
      <w:marRight w:val="0"/>
      <w:marTop w:val="0"/>
      <w:marBottom w:val="0"/>
      <w:divBdr>
        <w:top w:val="none" w:sz="0" w:space="0" w:color="auto"/>
        <w:left w:val="none" w:sz="0" w:space="0" w:color="auto"/>
        <w:bottom w:val="none" w:sz="0" w:space="0" w:color="auto"/>
        <w:right w:val="none" w:sz="0" w:space="0" w:color="auto"/>
      </w:divBdr>
    </w:div>
    <w:div w:id="197401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1156</Words>
  <Characters>6590</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План Личный</cp:lastModifiedBy>
  <cp:revision>3</cp:revision>
  <dcterms:created xsi:type="dcterms:W3CDTF">2024-07-24T09:51:00Z</dcterms:created>
  <dcterms:modified xsi:type="dcterms:W3CDTF">2024-07-24T09:57:00Z</dcterms:modified>
</cp:coreProperties>
</file>