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line="264"/>
        <w:jc w:val="center"/>
      </w:pPr>
      <w:r>
        <w:rPr>
          <w:rFonts w:ascii="Times New Roman" w:cs="Times New Roman" w:eastAsia="Times New Roman" w:hAnsi="Times New Roman"/>
          <w:b/>
          <w:bCs/>
          <w:sz w:val="26"/>
          <w:szCs w:val="26"/>
        </w:rPr>
        <w:t xml:space="preserve">ДОГОВОР № {{shartnoma_raqami}}</w:t>
      </w:r>
    </w:p>
    <w:p>
      <w:pPr>
        <w:spacing w:after="120" w:line="264"/>
        <w:jc w:val="center"/>
      </w:pPr>
      <w:r>
        <w:rPr>
          <w:rFonts w:ascii="Times New Roman" w:cs="Times New Roman" w:eastAsia="Times New Roman" w:hAnsi="Times New Roman"/>
          <w:b/>
          <w:bCs/>
          <w:sz w:val="21"/>
          <w:szCs w:val="21"/>
        </w:rPr>
        <w:t xml:space="preserve">комиссии на оказание услуг по реализации товаров через платформу Kitobchi</w:t>
      </w:r>
    </w:p>
    <w:p>
      <w:pPr>
        <w:spacing w:after="20" w:line="264"/>
        <w:jc w:val="center"/>
      </w:pPr>
      <w:r>
        <w:rPr>
          <w:rFonts w:ascii="Times New Roman" w:cs="Times New Roman" w:eastAsia="Times New Roman" w:hAnsi="Times New Roman"/>
          <w:b/>
          <w:bCs/>
          <w:sz w:val="21"/>
          <w:szCs w:val="21"/>
        </w:rPr>
        <w:t xml:space="preserve">Kitobchi платформаси орқали товарларни реализация қилиш хизматларини кўрсатиш тўғрисидаги</w:t>
      </w:r>
    </w:p>
    <w:p>
      <w:pPr>
        <w:spacing w:after="200" w:line="264"/>
        <w:jc w:val="center"/>
      </w:pPr>
      <w:r>
        <w:rPr>
          <w:rFonts w:ascii="Times New Roman" w:cs="Times New Roman" w:eastAsia="Times New Roman" w:hAnsi="Times New Roman"/>
          <w:b/>
          <w:bCs/>
          <w:sz w:val="26"/>
          <w:szCs w:val="26"/>
        </w:rPr>
        <w:t xml:space="preserve">№ {{shartnoma_raqami}} КОМИССИЯ ШАРТНОМАСИ</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Mar>
              <w:top w:type="dxa" w:w="40"/>
              <w:left w:type="dxa" w:w="100"/>
              <w:bottom w:type="dxa" w:w="40"/>
              <w:right w:type="dxa" w:w="100"/>
            </w:tcMar>
          </w:tcPr>
          <w:p>
            <w:pPr>
              <w:spacing w:after="80" w:line="264"/>
              <w:jc w:val="left"/>
            </w:pPr>
            <w:r>
              <w:rPr>
                <w:rFonts w:ascii="Times New Roman" w:cs="Times New Roman" w:eastAsia="Times New Roman" w:hAnsi="Times New Roman"/>
                <w:b/>
                <w:bCs/>
                <w:sz w:val="21"/>
                <w:szCs w:val="21"/>
              </w:rPr>
              <w:t xml:space="preserve">г. {{shahar_ru}} / {{shahar_kiril}} ш.</w:t>
            </w:r>
          </w:p>
        </w:tc>
        <w:tc>
          <w:tcPr>
            <w:tcW w:type="dxa" w:w="4680"/>
            <w:tcMar>
              <w:top w:type="dxa" w:w="40"/>
              <w:left w:type="dxa" w:w="100"/>
              <w:bottom w:type="dxa" w:w="40"/>
              <w:right w:type="dxa" w:w="100"/>
            </w:tcMar>
          </w:tcPr>
          <w:p>
            <w:pPr>
              <w:spacing w:after="80" w:line="264"/>
              <w:jc w:val="right"/>
            </w:pPr>
            <w:r>
              <w:rPr>
                <w:rFonts w:ascii="Times New Roman" w:cs="Times New Roman" w:eastAsia="Times New Roman" w:hAnsi="Times New Roman"/>
                <w:b/>
                <w:bCs/>
                <w:sz w:val="21"/>
                <w:szCs w:val="21"/>
              </w:rPr>
              <w:t xml:space="preserve">{{sana}}</w:t>
            </w:r>
          </w:p>
        </w:tc>
      </w:tr>
    </w:tbl>
    <w:p>
      <w:pPr>
        <w:spacing w:after="60" w:line="264"/>
        <w:jc w:val="both"/>
      </w:pPr>
      <w:r>
        <w:rPr>
          <w:rFonts w:ascii="Times New Roman" w:cs="Times New Roman" w:eastAsia="Times New Roman" w:hAnsi="Times New Roman"/>
          <w:sz w:val="21"/>
          <w:szCs w:val="21"/>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rPr>
          <w:cantSplit w:val="false"/>
        </w:trPr>
        <w:tc>
          <w:tcPr>
            <w:tcW w:type="dxa" w:w="4680"/>
            <w:tcMar>
              <w:top w:type="dxa" w:w="40"/>
              <w:left w:type="dxa" w:w="100"/>
              <w:bottom w:type="dxa" w:w="40"/>
              <w:right w:type="dxa" w:w="100"/>
            </w:tcMar>
          </w:tcPr>
          <w:p>
            <w:pPr>
              <w:spacing w:after="80" w:line="264"/>
              <w:jc w:val="both"/>
            </w:pPr>
            <w:r>
              <w:rPr>
                <w:rFonts w:ascii="Times New Roman" w:cs="Times New Roman" w:eastAsia="Times New Roman" w:hAnsi="Times New Roman"/>
                <w:b/>
                <w:bCs/>
                <w:sz w:val="21"/>
                <w:szCs w:val="21"/>
              </w:rPr>
              <w:t xml:space="preserve">{{kompaniya_nomi_ru}}</w:t>
            </w:r>
            <w:r>
              <w:rPr>
                <w:rFonts w:ascii="Times New Roman" w:cs="Times New Roman" w:eastAsia="Times New Roman" w:hAnsi="Times New Roman"/>
                <w:sz w:val="21"/>
                <w:szCs w:val="21"/>
              </w:rPr>
              <w:t xml:space="preserve"> (ИНН {{kompaniya_stir}}), именуемый в дальнейшем «Kitobchi», в лице индивидуального предпринимателя {{kompaniya_rahbari_ru}}, действующего на основании свидетельства о государственной регистрации, с одной стороны, и </w:t>
            </w:r>
            <w:r>
              <w:rPr>
                <w:rFonts w:ascii="Times New Roman" w:cs="Times New Roman" w:eastAsia="Times New Roman" w:hAnsi="Times New Roman"/>
                <w:b/>
                <w:bCs/>
                <w:sz w:val="21"/>
                <w:szCs w:val="21"/>
              </w:rPr>
              <w:t xml:space="preserve">{{sotuvchi_nomi}}</w:t>
            </w:r>
            <w:r>
              <w:rPr>
                <w:rFonts w:ascii="Times New Roman" w:cs="Times New Roman" w:eastAsia="Times New Roman" w:hAnsi="Times New Roman"/>
                <w:sz w:val="21"/>
                <w:szCs w:val="21"/>
              </w:rPr>
              <w:t xml:space="preserve">, именуемый(ая) в дальнейшем «Продавец», в лице {{sotuvchi_rahbari}}, действующего на основании {{sotuvchi_asos}}, с другой стороны, вместе именуемые «Стороны», заключили настоящий Договор (далее — «Договор») о нижеследующем:</w:t>
            </w:r>
          </w:p>
        </w:tc>
        <w:tc>
          <w:tcPr>
            <w:tcW w:type="dxa" w:w="4680"/>
            <w:tcMar>
              <w:top w:type="dxa" w:w="40"/>
              <w:left w:type="dxa" w:w="100"/>
              <w:bottom w:type="dxa" w:w="40"/>
              <w:right w:type="dxa" w:w="100"/>
            </w:tcMar>
          </w:tcPr>
          <w:p>
            <w:pPr>
              <w:spacing w:after="80" w:line="264"/>
              <w:jc w:val="both"/>
            </w:pPr>
            <w:r>
              <w:rPr>
                <w:rFonts w:ascii="Times New Roman" w:cs="Times New Roman" w:eastAsia="Times New Roman" w:hAnsi="Times New Roman"/>
                <w:b/>
                <w:bCs/>
                <w:sz w:val="21"/>
                <w:szCs w:val="21"/>
              </w:rPr>
              <w:t xml:space="preserve">{{kompaniya_nomi}}</w:t>
            </w:r>
            <w:r>
              <w:rPr>
                <w:rFonts w:ascii="Times New Roman" w:cs="Times New Roman" w:eastAsia="Times New Roman" w:hAnsi="Times New Roman"/>
                <w:sz w:val="21"/>
                <w:szCs w:val="21"/>
              </w:rPr>
              <w:t xml:space="preserve"> (СТИР {{kompaniya_stir}}), кейинги ўринларда «Kitobchi» деб номланади, давлат рўйхатидан ўтказилганлик тўғрисидаги гувоҳнома асосида фаолият юритувчи якка тартибдаги тадбиркор {{kompaniya_rahbari_kiril}} тимсолида, бир томондан ва </w:t>
            </w:r>
            <w:r>
              <w:rPr>
                <w:rFonts w:ascii="Times New Roman" w:cs="Times New Roman" w:eastAsia="Times New Roman" w:hAnsi="Times New Roman"/>
                <w:b/>
                <w:bCs/>
                <w:sz w:val="21"/>
                <w:szCs w:val="21"/>
              </w:rPr>
              <w:t xml:space="preserve">{{sotuvchi_nomi}}</w:t>
            </w:r>
            <w:r>
              <w:rPr>
                <w:rFonts w:ascii="Times New Roman" w:cs="Times New Roman" w:eastAsia="Times New Roman" w:hAnsi="Times New Roman"/>
                <w:sz w:val="21"/>
                <w:szCs w:val="21"/>
              </w:rPr>
              <w:t xml:space="preserve">, кейинги ўринларда «Сотувчи» деб номланади, {{sotuvchi_asos}} асосида фаолият юритувчи {{sotuvchi_rahbari}} тимсолида, бошқа томондан, биргаликда «Томонлар» деб номланиб, қуйидагилар ҳақида мазкур Шартномани (кейинги ўринларда — «Шартнома») туздилар:</w:t>
            </w:r>
          </w:p>
        </w:tc>
      </w:tr>
      <w:tr>
        <w:trPr>
          <w:cantSplit/>
        </w:trPr>
        <w:tc>
          <w:tcPr>
            <w:tcW w:type="dxa" w:w="4680"/>
            <w:tcMar>
              <w:top w:type="dxa" w:w="40"/>
              <w:left w:type="dxa" w:w="100"/>
              <w:bottom w:type="dxa" w:w="40"/>
              <w:right w:type="dxa" w:w="100"/>
            </w:tcMar>
          </w:tcPr>
          <w:p>
            <w:pPr>
              <w:keepNext/>
              <w:spacing w:after="60" w:line="264"/>
              <w:jc w:val="center"/>
            </w:pPr>
            <w:r>
              <w:rPr>
                <w:rFonts w:ascii="Times New Roman" w:cs="Times New Roman" w:eastAsia="Times New Roman" w:hAnsi="Times New Roman"/>
                <w:b/>
                <w:bCs/>
                <w:sz w:val="21"/>
                <w:szCs w:val="21"/>
              </w:rPr>
              <w:t xml:space="preserve">1. ТЕРМИНЫ И ОПРЕДЕЛЕНИЯ</w:t>
            </w:r>
          </w:p>
        </w:tc>
        <w:tc>
          <w:tcPr>
            <w:tcW w:type="dxa" w:w="4680"/>
            <w:tcMar>
              <w:top w:type="dxa" w:w="40"/>
              <w:left w:type="dxa" w:w="100"/>
              <w:bottom w:type="dxa" w:w="40"/>
              <w:right w:type="dxa" w:w="100"/>
            </w:tcMar>
          </w:tcPr>
          <w:p>
            <w:pPr>
              <w:keepNext/>
              <w:spacing w:after="60" w:line="264"/>
              <w:jc w:val="center"/>
            </w:pPr>
            <w:r>
              <w:rPr>
                <w:rFonts w:ascii="Times New Roman" w:cs="Times New Roman" w:eastAsia="Times New Roman" w:hAnsi="Times New Roman"/>
                <w:b/>
                <w:bCs/>
                <w:sz w:val="21"/>
                <w:szCs w:val="21"/>
              </w:rPr>
              <w:t xml:space="preserve">1. АТАМАЛАР ВА ТАЪРИФЛАР</w:t>
            </w:r>
          </w:p>
        </w:tc>
      </w:tr>
      <w:tr>
        <w:trPr>
          <w:cantSplit w:val="false"/>
        </w:trPr>
        <w:tc>
          <w:tcPr>
            <w:tcW w:type="dxa" w:w="4680"/>
            <w:tcMar>
              <w:top w:type="dxa" w:w="40"/>
              <w:left w:type="dxa" w:w="100"/>
              <w:bottom w:type="dxa" w:w="40"/>
              <w:right w:type="dxa" w:w="100"/>
            </w:tcMar>
          </w:tcPr>
          <w:p>
            <w:pPr>
              <w:spacing w:after="80" w:line="264"/>
              <w:jc w:val="both"/>
            </w:pPr>
            <w:r>
              <w:rPr>
                <w:rFonts w:ascii="Times New Roman" w:cs="Times New Roman" w:eastAsia="Times New Roman" w:hAnsi="Times New Roman"/>
                <w:sz w:val="21"/>
                <w:szCs w:val="21"/>
              </w:rPr>
              <w:t xml:space="preserve">1.1. Платформа (электронная площадка Kitobchi) — веб-сайт {{kompaniya_sayt}}, мобильные приложения «Kitobchi» и «Kitobchi Business», а также связанные с ними сервисы, посредством которых Покупатели оформляют Заказы на Товары Продавца.</w:t>
            </w:r>
          </w:p>
        </w:tc>
        <w:tc>
          <w:tcPr>
            <w:tcW w:type="dxa" w:w="4680"/>
            <w:tcMar>
              <w:top w:type="dxa" w:w="40"/>
              <w:left w:type="dxa" w:w="100"/>
              <w:bottom w:type="dxa" w:w="40"/>
              <w:right w:type="dxa" w:w="100"/>
            </w:tcMar>
          </w:tcPr>
          <w:p>
            <w:pPr>
              <w:spacing w:after="80" w:line="264"/>
              <w:jc w:val="both"/>
            </w:pPr>
            <w:r>
              <w:rPr>
                <w:rFonts w:ascii="Times New Roman" w:cs="Times New Roman" w:eastAsia="Times New Roman" w:hAnsi="Times New Roman"/>
                <w:sz w:val="21"/>
                <w:szCs w:val="21"/>
              </w:rPr>
              <w:t xml:space="preserve">1.1. Платформа (Kitobchi электрон майдончаси) — {{kompaniya_sayt}} веб-сайти, «Kitobchi» ва «Kitobchi Business» мобил иловалари ҳамда улар билан боғлиқ хизматлар бўлиб, улар орқали Харидорлар Сотувчининг Товарларига Буюртма расмийлаштирадилар.</w:t>
            </w:r>
          </w:p>
        </w:tc>
      </w:tr>
      <w:tr>
        <w:trPr>
          <w:cantSplit w:val="false"/>
        </w:trPr>
        <w:tc>
          <w:tcPr>
            <w:tcW w:type="dxa" w:w="4680"/>
            <w:tcMar>
              <w:top w:type="dxa" w:w="40"/>
              <w:left w:type="dxa" w:w="100"/>
              <w:bottom w:type="dxa" w:w="40"/>
              <w:right w:type="dxa" w:w="100"/>
            </w:tcMar>
          </w:tcPr>
          <w:p>
            <w:pPr>
              <w:spacing w:after="80" w:line="264"/>
              <w:jc w:val="both"/>
            </w:pPr>
            <w:r>
              <w:rPr>
                <w:rFonts w:ascii="Times New Roman" w:cs="Times New Roman" w:eastAsia="Times New Roman" w:hAnsi="Times New Roman"/>
                <w:sz w:val="21"/>
                <w:szCs w:val="21"/>
              </w:rPr>
              <w:t xml:space="preserve">1.2. Покупатель — физическое или юридическое лицо, оформившее Заказ на Платформе. Товар — книги, канцелярские и иные товары Продавца, размещённые на Платформе. Заказ — оформленный Покупателем запрос на покупку Товара. Личный кабинет — раздел Продавца в приложении «Kitobchi Business». Отчётный период — календарный месяц.</w:t>
            </w:r>
          </w:p>
        </w:tc>
        <w:tc>
          <w:tcPr>
            <w:tcW w:type="dxa" w:w="4680"/>
            <w:tcMar>
              <w:top w:type="dxa" w:w="40"/>
              <w:left w:type="dxa" w:w="100"/>
              <w:bottom w:type="dxa" w:w="40"/>
              <w:right w:type="dxa" w:w="100"/>
            </w:tcMar>
          </w:tcPr>
          <w:p>
            <w:pPr>
              <w:spacing w:after="80" w:line="264"/>
              <w:jc w:val="both"/>
            </w:pPr>
            <w:r>
              <w:rPr>
                <w:rFonts w:ascii="Times New Roman" w:cs="Times New Roman" w:eastAsia="Times New Roman" w:hAnsi="Times New Roman"/>
                <w:sz w:val="21"/>
                <w:szCs w:val="21"/>
              </w:rPr>
              <w:t xml:space="preserve">1.2. Харидор — Платформада Буюртма расмийлаштирган жисмоний ёки юридик шахс. Товар — Платформага жойлаштирилган Сотувчининг китоблари, канцелярия ва бошқа товарлари. Буюртма — Харидор томонидан Товарни сотиб олиш учун расмийлаштирилган сўров. Шахсий кабинет — «Kitobchi Business» иловасидаги Сотувчи бўлими. Ҳисобот даври — календарь ой.</w:t>
            </w:r>
          </w:p>
        </w:tc>
      </w:tr>
      <w:tr>
        <w:trPr>
          <w:cantSplit/>
        </w:trPr>
        <w:tc>
          <w:tcPr>
            <w:tcW w:type="dxa" w:w="4680"/>
            <w:tcMar>
              <w:top w:type="dxa" w:w="40"/>
              <w:left w:type="dxa" w:w="100"/>
              <w:bottom w:type="dxa" w:w="40"/>
              <w:right w:type="dxa" w:w="100"/>
            </w:tcMar>
          </w:tcPr>
          <w:p>
            <w:pPr>
              <w:keepNext/>
              <w:spacing w:after="60" w:line="264"/>
              <w:jc w:val="center"/>
            </w:pPr>
            <w:r>
              <w:rPr>
                <w:rFonts w:ascii="Times New Roman" w:cs="Times New Roman" w:eastAsia="Times New Roman" w:hAnsi="Times New Roman"/>
                <w:b/>
                <w:bCs/>
                <w:sz w:val="21"/>
                <w:szCs w:val="21"/>
              </w:rPr>
              <w:t xml:space="preserve">2. ПРЕДМЕТ ДОГОВОРА</w:t>
            </w:r>
          </w:p>
        </w:tc>
        <w:tc>
          <w:tcPr>
            <w:tcW w:type="dxa" w:w="4680"/>
            <w:tcMar>
              <w:top w:type="dxa" w:w="40"/>
              <w:left w:type="dxa" w:w="100"/>
              <w:bottom w:type="dxa" w:w="40"/>
              <w:right w:type="dxa" w:w="100"/>
            </w:tcMar>
          </w:tcPr>
          <w:p>
            <w:pPr>
              <w:keepNext/>
              <w:spacing w:after="60" w:line="264"/>
              <w:jc w:val="center"/>
            </w:pPr>
            <w:r>
              <w:rPr>
                <w:rFonts w:ascii="Times New Roman" w:cs="Times New Roman" w:eastAsia="Times New Roman" w:hAnsi="Times New Roman"/>
                <w:b/>
                <w:bCs/>
                <w:sz w:val="21"/>
                <w:szCs w:val="21"/>
              </w:rPr>
              <w:t xml:space="preserve">2. ШАРТНОМА ПРЕДМЕТИ</w:t>
            </w:r>
          </w:p>
        </w:tc>
      </w:tr>
      <w:tr>
        <w:trPr>
          <w:cantSplit w:val="false"/>
        </w:trPr>
        <w:tc>
          <w:tcPr>
            <w:tcW w:type="dxa" w:w="4680"/>
            <w:tcMar>
              <w:top w:type="dxa" w:w="40"/>
              <w:left w:type="dxa" w:w="100"/>
              <w:bottom w:type="dxa" w:w="40"/>
              <w:right w:type="dxa" w:w="100"/>
            </w:tcMar>
          </w:tcPr>
          <w:p>
            <w:pPr>
              <w:spacing w:after="80" w:line="264"/>
              <w:jc w:val="both"/>
            </w:pPr>
            <w:r>
              <w:rPr>
                <w:rFonts w:ascii="Times New Roman" w:cs="Times New Roman" w:eastAsia="Times New Roman" w:hAnsi="Times New Roman"/>
                <w:sz w:val="21"/>
                <w:szCs w:val="21"/>
              </w:rPr>
              <w:t xml:space="preserve">2.1. По настоящему Договору Kitobchi за вознаграждение обязуется оказывать Продавцу совокупность комиссионных услуг, оказываемых Kitobchi от своего имени, но по поручению и за счёт Продавца по совершению одной или нескольких сделок, связанных с реализацией товаров Продавца через Платформу (далее – Услуги), а Продавец обязуется принимать Услуги и оплачивать их.</w:t>
            </w:r>
          </w:p>
        </w:tc>
        <w:tc>
          <w:tcPr>
            <w:tcW w:type="dxa" w:w="4680"/>
            <w:tcMar>
              <w:top w:type="dxa" w:w="40"/>
              <w:left w:type="dxa" w:w="100"/>
              <w:bottom w:type="dxa" w:w="40"/>
              <w:right w:type="dxa" w:w="100"/>
            </w:tcMar>
          </w:tcPr>
          <w:p>
            <w:pPr>
              <w:spacing w:after="80" w:line="264"/>
              <w:jc w:val="both"/>
            </w:pPr>
            <w:r>
              <w:rPr>
                <w:rFonts w:ascii="Times New Roman" w:cs="Times New Roman" w:eastAsia="Times New Roman" w:hAnsi="Times New Roman"/>
                <w:sz w:val="21"/>
                <w:szCs w:val="21"/>
              </w:rPr>
              <w:t xml:space="preserve">2.1. Мазкур Шартномага кўра Kitobchi Сотувчининг товарларини Платформа орқали реализация қилиш билан боғлиқ бир ёки бир нечта битимларни амалга ошириш бўйича Kitobchi ўз номидан, бироқ Сотувчининг топшириғига кўра ва унинг ҳисобидан кўрсатадиган комиссион хизматлар мажмуини (кейинги ўринларда – Хизматлар) Сотувчига ҳақ эвазига кўрсатиш мажбуриятини олади, Сотувчи эса Хизматларни қабул қилиш ва уларнинг ҳақини тўлаш мажбуриятини олади.</w:t>
            </w:r>
          </w:p>
        </w:tc>
      </w:tr>
      <w:tr>
        <w:trPr>
          <w:cantSplit w:val="false"/>
        </w:trPr>
        <w:tc>
          <w:tcPr>
            <w:tcW w:type="dxa" w:w="4680"/>
            <w:tcMar>
              <w:top w:type="dxa" w:w="40"/>
              <w:left w:type="dxa" w:w="100"/>
              <w:bottom w:type="dxa" w:w="40"/>
              <w:right w:type="dxa" w:w="100"/>
            </w:tcMar>
          </w:tcPr>
          <w:p>
            <w:pPr>
              <w:spacing w:after="80" w:line="264"/>
              <w:jc w:val="both"/>
            </w:pPr>
            <w:r>
              <w:rPr>
                <w:rFonts w:ascii="Times New Roman" w:cs="Times New Roman" w:eastAsia="Times New Roman" w:hAnsi="Times New Roman"/>
                <w:sz w:val="21"/>
                <w:szCs w:val="21"/>
              </w:rPr>
              <w:t xml:space="preserve">2.2. В рамках Услуг Kitobchi совершает следующие действия: размещает на Платформе товарные предложения Продавца; совершает сделки по реализации Товаров Продавца; принимает от Покупателей платежи (наличными при доставке, банковскими картами, в рассрочку и иными доступными способами) в пользу Продавца; передаёт Продавцу вырученные средства за вычетом вознаграждения Kitobchi; организует доставку Товаров Покупателям и обработку возвратов.</w:t>
            </w:r>
          </w:p>
        </w:tc>
        <w:tc>
          <w:tcPr>
            <w:tcW w:type="dxa" w:w="4680"/>
            <w:tcMar>
              <w:top w:type="dxa" w:w="40"/>
              <w:left w:type="dxa" w:w="100"/>
              <w:bottom w:type="dxa" w:w="40"/>
              <w:right w:type="dxa" w:w="100"/>
            </w:tcMar>
          </w:tcPr>
          <w:p>
            <w:pPr>
              <w:spacing w:after="80" w:line="264"/>
              <w:jc w:val="both"/>
            </w:pPr>
            <w:r>
              <w:rPr>
                <w:rFonts w:ascii="Times New Roman" w:cs="Times New Roman" w:eastAsia="Times New Roman" w:hAnsi="Times New Roman"/>
                <w:sz w:val="21"/>
                <w:szCs w:val="21"/>
              </w:rPr>
              <w:t xml:space="preserve">2.2. Хизматлар доирасида Kitobchi қуйидаги ҳаракатларни амалга оширади: Сотувчининг товар таклифларини Платформага жойлаштиради; Сотувчининг Товарларини реализация қилиш бўйича битимлар тузади; Сотувчи фойдасига Харидорлардан тўловларни (етказиб беришда нақд пул, банк карталари, муддатли тўлов ва бошқа мавжуд усуллар орқали) қабул қилади; тушган маблағларни Kitobchi ҳақини чегирган ҳолда Сотувчига ўтказади; Товарларни Харидорларга етказиб беришни ва қайтаришларни ташкил этади.</w:t>
            </w:r>
          </w:p>
        </w:tc>
      </w:tr>
      <w:tr>
        <w:trPr>
          <w:cantSplit w:val="false"/>
        </w:trPr>
        <w:tc>
          <w:tcPr>
            <w:tcW w:type="dxa" w:w="4680"/>
            <w:tcMar>
              <w:top w:type="dxa" w:w="40"/>
              <w:left w:type="dxa" w:w="100"/>
              <w:bottom w:type="dxa" w:w="40"/>
              <w:right w:type="dxa" w:w="100"/>
            </w:tcMar>
          </w:tcPr>
          <w:p>
            <w:pPr>
              <w:spacing w:after="80" w:line="264"/>
              <w:jc w:val="both"/>
            </w:pPr>
            <w:r>
              <w:rPr>
                <w:rFonts w:ascii="Times New Roman" w:cs="Times New Roman" w:eastAsia="Times New Roman" w:hAnsi="Times New Roman"/>
                <w:sz w:val="21"/>
                <w:szCs w:val="21"/>
              </w:rPr>
              <w:t xml:space="preserve">2.3. Kitobchi вправе привлекать к исполнению своих обязательств третьих лиц (курьерские службы, платёжные организации, операторы фискализации) и несёт перед Продавцом ответственность за их действия как за свои собственные.</w:t>
            </w:r>
          </w:p>
        </w:tc>
        <w:tc>
          <w:tcPr>
            <w:tcW w:type="dxa" w:w="4680"/>
            <w:tcMar>
              <w:top w:type="dxa" w:w="40"/>
              <w:left w:type="dxa" w:w="100"/>
              <w:bottom w:type="dxa" w:w="40"/>
              <w:right w:type="dxa" w:w="100"/>
            </w:tcMar>
          </w:tcPr>
          <w:p>
            <w:pPr>
              <w:spacing w:after="80" w:line="264"/>
              <w:jc w:val="both"/>
            </w:pPr>
            <w:r>
              <w:rPr>
                <w:rFonts w:ascii="Times New Roman" w:cs="Times New Roman" w:eastAsia="Times New Roman" w:hAnsi="Times New Roman"/>
                <w:sz w:val="21"/>
                <w:szCs w:val="21"/>
              </w:rPr>
              <w:t xml:space="preserve">2.3. Kitobchi ўз мажбуриятларини бажариш учун учинчи шахсларни (курьерлик хизматлари, тўлов ташкилотлари, фискаллаштириш операторлари) жалб этишга ҳақли ва уларнинг ҳаракатлари учун Сотувчи олдида ўзининг ҳаракатлари каби жавобгар бўлади.</w:t>
            </w:r>
          </w:p>
        </w:tc>
      </w:tr>
      <w:tr>
        <w:trPr>
          <w:cantSplit w:val="false"/>
        </w:trPr>
        <w:tc>
          <w:tcPr>
            <w:tcW w:type="dxa" w:w="4680"/>
            <w:tcMar>
              <w:top w:type="dxa" w:w="40"/>
              <w:left w:type="dxa" w:w="100"/>
              <w:bottom w:type="dxa" w:w="40"/>
              <w:right w:type="dxa" w:w="100"/>
            </w:tcMar>
          </w:tcPr>
          <w:p>
            <w:pPr>
              <w:spacing w:after="80" w:line="264"/>
              <w:jc w:val="both"/>
            </w:pPr>
            <w:r>
              <w:rPr>
                <w:rFonts w:ascii="Times New Roman" w:cs="Times New Roman" w:eastAsia="Times New Roman" w:hAnsi="Times New Roman"/>
                <w:sz w:val="21"/>
                <w:szCs w:val="21"/>
              </w:rPr>
              <w:t xml:space="preserve">2.4. Товар является собственностью Продавца до момента перехода права собственности к Покупателю. Kitobchi не приобретает право собственности на Товар.</w:t>
            </w:r>
          </w:p>
        </w:tc>
        <w:tc>
          <w:tcPr>
            <w:tcW w:type="dxa" w:w="4680"/>
            <w:tcMar>
              <w:top w:type="dxa" w:w="40"/>
              <w:left w:type="dxa" w:w="100"/>
              <w:bottom w:type="dxa" w:w="40"/>
              <w:right w:type="dxa" w:w="100"/>
            </w:tcMar>
          </w:tcPr>
          <w:p>
            <w:pPr>
              <w:spacing w:after="80" w:line="264"/>
              <w:jc w:val="both"/>
            </w:pPr>
            <w:r>
              <w:rPr>
                <w:rFonts w:ascii="Times New Roman" w:cs="Times New Roman" w:eastAsia="Times New Roman" w:hAnsi="Times New Roman"/>
                <w:sz w:val="21"/>
                <w:szCs w:val="21"/>
              </w:rPr>
              <w:t xml:space="preserve">2.4. Мулк ҳуқуқи Харидорга ўтгунга қадар Товар Сотувчининг мулки ҳисобланади. Kitobchi Товарга мулк ҳуқуқини олмайди.</w:t>
            </w:r>
          </w:p>
        </w:tc>
      </w:tr>
      <w:tr>
        <w:trPr>
          <w:cantSplit/>
        </w:trPr>
        <w:tc>
          <w:tcPr>
            <w:tcW w:type="dxa" w:w="4680"/>
            <w:tcMar>
              <w:top w:type="dxa" w:w="40"/>
              <w:left w:type="dxa" w:w="100"/>
              <w:bottom w:type="dxa" w:w="40"/>
              <w:right w:type="dxa" w:w="100"/>
            </w:tcMar>
          </w:tcPr>
          <w:p>
            <w:pPr>
              <w:keepNext/>
              <w:spacing w:after="60" w:line="264"/>
              <w:jc w:val="center"/>
            </w:pPr>
            <w:r>
              <w:rPr>
                <w:rFonts w:ascii="Times New Roman" w:cs="Times New Roman" w:eastAsia="Times New Roman" w:hAnsi="Times New Roman"/>
                <w:b/>
                <w:bCs/>
                <w:sz w:val="21"/>
                <w:szCs w:val="21"/>
              </w:rPr>
              <w:t xml:space="preserve">3. ВОЗНАГРАЖДЕНИЕ И ПОРЯДОК РАСЧЁТОВ</w:t>
            </w:r>
          </w:p>
        </w:tc>
        <w:tc>
          <w:tcPr>
            <w:tcW w:type="dxa" w:w="4680"/>
            <w:tcMar>
              <w:top w:type="dxa" w:w="40"/>
              <w:left w:type="dxa" w:w="100"/>
              <w:bottom w:type="dxa" w:w="40"/>
              <w:right w:type="dxa" w:w="100"/>
            </w:tcMar>
          </w:tcPr>
          <w:p>
            <w:pPr>
              <w:keepNext/>
              <w:spacing w:after="60" w:line="264"/>
              <w:jc w:val="center"/>
            </w:pPr>
            <w:r>
              <w:rPr>
                <w:rFonts w:ascii="Times New Roman" w:cs="Times New Roman" w:eastAsia="Times New Roman" w:hAnsi="Times New Roman"/>
                <w:b/>
                <w:bCs/>
                <w:sz w:val="21"/>
                <w:szCs w:val="21"/>
              </w:rPr>
              <w:t xml:space="preserve">3. ҲАҚ ВА ҲИСОБ-КИТОБ ТАРТИБИ</w:t>
            </w:r>
          </w:p>
        </w:tc>
      </w:tr>
      <w:tr>
        <w:trPr>
          <w:cantSplit w:val="false"/>
        </w:trPr>
        <w:tc>
          <w:tcPr>
            <w:tcW w:type="dxa" w:w="4680"/>
            <w:tcMar>
              <w:top w:type="dxa" w:w="40"/>
              <w:left w:type="dxa" w:w="100"/>
              <w:bottom w:type="dxa" w:w="40"/>
              <w:right w:type="dxa" w:w="100"/>
            </w:tcMar>
          </w:tcPr>
          <w:p>
            <w:pPr>
              <w:spacing w:after="80" w:line="264"/>
              <w:jc w:val="both"/>
            </w:pPr>
            <w:r>
              <w:rPr>
                <w:rFonts w:ascii="Times New Roman" w:cs="Times New Roman" w:eastAsia="Times New Roman" w:hAnsi="Times New Roman"/>
                <w:sz w:val="21"/>
                <w:szCs w:val="21"/>
              </w:rPr>
              <w:t xml:space="preserve">3.1. Вознаграждение Kitobchi (комиссия) составляет {{komissiya_foiz}}% от стоимости каждого реализованного Товара. Базой для расчёта является цена Товара, установленная Продавцом в Личном кабинете. Скидки, кешбэк и акции, проводимые Kitobchi за свой счёт, не уменьшают сумму, причитающуюся Продавцу. Иные категории комиссии могут устанавливаться дополнительным соглашением.</w:t>
            </w:r>
          </w:p>
        </w:tc>
        <w:tc>
          <w:tcPr>
            <w:tcW w:type="dxa" w:w="4680"/>
            <w:tcMar>
              <w:top w:type="dxa" w:w="40"/>
              <w:left w:type="dxa" w:w="100"/>
              <w:bottom w:type="dxa" w:w="40"/>
              <w:right w:type="dxa" w:w="100"/>
            </w:tcMar>
          </w:tcPr>
          <w:p>
            <w:pPr>
              <w:spacing w:after="80" w:line="264"/>
              <w:jc w:val="both"/>
            </w:pPr>
            <w:r>
              <w:rPr>
                <w:rFonts w:ascii="Times New Roman" w:cs="Times New Roman" w:eastAsia="Times New Roman" w:hAnsi="Times New Roman"/>
                <w:sz w:val="21"/>
                <w:szCs w:val="21"/>
              </w:rPr>
              <w:t xml:space="preserve">3.1. Kitobchi ҳақи (комиссия) реализация қилинган ҳар бир Товар қийматининг {{komissiya_foiz}}% ини ташкил этади. Ҳисоблаш учун асос — Сотувчи Шахсий кабинетда белгилаган Товар нархи. Kitobchi ўз ҳисобидан ўтказадиган чегирмалар, кешбэк ва акциялар Сотувчига тўланадиган суммани камайтирмайди. Комиссиянинг бошқа тоифалари қўшимча келишув билан белгиланиши мумкин.</w:t>
            </w:r>
          </w:p>
        </w:tc>
      </w:tr>
      <w:tr>
        <w:trPr>
          <w:cantSplit w:val="false"/>
        </w:trPr>
        <w:tc>
          <w:tcPr>
            <w:tcW w:type="dxa" w:w="4680"/>
            <w:tcMar>
              <w:top w:type="dxa" w:w="40"/>
              <w:left w:type="dxa" w:w="100"/>
              <w:bottom w:type="dxa" w:w="40"/>
              <w:right w:type="dxa" w:w="100"/>
            </w:tcMar>
          </w:tcPr>
          <w:p>
            <w:pPr>
              <w:spacing w:after="80" w:line="264"/>
              <w:jc w:val="both"/>
            </w:pPr>
            <w:r>
              <w:rPr>
                <w:rFonts w:ascii="Times New Roman" w:cs="Times New Roman" w:eastAsia="Times New Roman" w:hAnsi="Times New Roman"/>
                <w:sz w:val="21"/>
                <w:szCs w:val="21"/>
              </w:rPr>
              <w:t xml:space="preserve">3.2. Стоимость Товара по каждому Заказу за вычетом вознаграждения Kitobchi перечисляется на банковский счёт Продавца в течение {{tolov_muddati_kun}} банковских дней с момента вручения Товара Покупателю. По Заказам, оплаченным в рассрочку, Kitobchi перечисляет Продавцу полную стоимость Товара в том же порядке; риск неоплаты Покупателем по рассрочке несёт Kitobchi.</w:t>
            </w:r>
          </w:p>
        </w:tc>
        <w:tc>
          <w:tcPr>
            <w:tcW w:type="dxa" w:w="4680"/>
            <w:tcMar>
              <w:top w:type="dxa" w:w="40"/>
              <w:left w:type="dxa" w:w="100"/>
              <w:bottom w:type="dxa" w:w="40"/>
              <w:right w:type="dxa" w:w="100"/>
            </w:tcMar>
          </w:tcPr>
          <w:p>
            <w:pPr>
              <w:spacing w:after="80" w:line="264"/>
              <w:jc w:val="both"/>
            </w:pPr>
            <w:r>
              <w:rPr>
                <w:rFonts w:ascii="Times New Roman" w:cs="Times New Roman" w:eastAsia="Times New Roman" w:hAnsi="Times New Roman"/>
                <w:sz w:val="21"/>
                <w:szCs w:val="21"/>
              </w:rPr>
              <w:t xml:space="preserve">3.2. Ҳар бир Буюртма бўйича Товар қиймати Kitobchi ҳақини чегирган ҳолда Товар Харидорга топширилган пайтдан бошлаб {{tolov_muddati_kun}} банк иш куни ичида Сотувчининг банк ҳисобварағига ўтказилади. Муддатли тўлов (насия) орқали тўланган Буюртмалар бўйича Kitobchi Товарнинг тўлиқ қийматини шу тартибда Сотувчига ўтказади; Харидор насияни тўламаслиги хавфини Kitobchi ўз зиммасига олади.</w:t>
            </w:r>
          </w:p>
        </w:tc>
      </w:tr>
      <w:tr>
        <w:trPr>
          <w:cantSplit w:val="false"/>
        </w:trPr>
        <w:tc>
          <w:tcPr>
            <w:tcW w:type="dxa" w:w="4680"/>
            <w:tcMar>
              <w:top w:type="dxa" w:w="40"/>
              <w:left w:type="dxa" w:w="100"/>
              <w:bottom w:type="dxa" w:w="40"/>
              <w:right w:type="dxa" w:w="100"/>
            </w:tcMar>
          </w:tcPr>
          <w:p>
            <w:pPr>
              <w:spacing w:after="80" w:line="264"/>
              <w:jc w:val="both"/>
            </w:pPr>
            <w:r>
              <w:rPr>
                <w:rFonts w:ascii="Times New Roman" w:cs="Times New Roman" w:eastAsia="Times New Roman" w:hAnsi="Times New Roman"/>
                <w:sz w:val="21"/>
                <w:szCs w:val="21"/>
              </w:rPr>
              <w:t xml:space="preserve">3.3. В случае отказа Покупателя от приёмки предоплаченного Товара Kitobchi возвращает стоимость Товара Покупателю, а также удерживает в свою пользу стоимость доставки Товара из суммы, подлежащей выплате Продавцу по следующей сделке.</w:t>
            </w:r>
          </w:p>
        </w:tc>
        <w:tc>
          <w:tcPr>
            <w:tcW w:type="dxa" w:w="4680"/>
            <w:tcMar>
              <w:top w:type="dxa" w:w="40"/>
              <w:left w:type="dxa" w:w="100"/>
              <w:bottom w:type="dxa" w:w="40"/>
              <w:right w:type="dxa" w:w="100"/>
            </w:tcMar>
          </w:tcPr>
          <w:p>
            <w:pPr>
              <w:spacing w:after="80" w:line="264"/>
              <w:jc w:val="both"/>
            </w:pPr>
            <w:r>
              <w:rPr>
                <w:rFonts w:ascii="Times New Roman" w:cs="Times New Roman" w:eastAsia="Times New Roman" w:hAnsi="Times New Roman"/>
                <w:sz w:val="21"/>
                <w:szCs w:val="21"/>
              </w:rPr>
              <w:t xml:space="preserve">3.3. Харидор олдиндан ҳақи тўланган Товарни қабул қилишдан бош тортган тақдирда, Kitobchi Товар қийматини Харидорга қайтаради, шунингдек кейинги битим бўйича Сотувчига тўланиши лозим бўлган суммадан Товарни етказиб бериш қийматини ўз фойдасига ушлаб қолади.</w:t>
            </w:r>
          </w:p>
        </w:tc>
      </w:tr>
      <w:tr>
        <w:trPr>
          <w:cantSplit w:val="false"/>
        </w:trPr>
        <w:tc>
          <w:tcPr>
            <w:tcW w:type="dxa" w:w="4680"/>
            <w:tcMar>
              <w:top w:type="dxa" w:w="40"/>
              <w:left w:type="dxa" w:w="100"/>
              <w:bottom w:type="dxa" w:w="40"/>
              <w:right w:type="dxa" w:w="100"/>
            </w:tcMar>
          </w:tcPr>
          <w:p>
            <w:pPr>
              <w:spacing w:after="80" w:line="264"/>
              <w:jc w:val="both"/>
            </w:pPr>
            <w:r>
              <w:rPr>
                <w:rFonts w:ascii="Times New Roman" w:cs="Times New Roman" w:eastAsia="Times New Roman" w:hAnsi="Times New Roman"/>
                <w:sz w:val="21"/>
                <w:szCs w:val="21"/>
              </w:rPr>
              <w:t xml:space="preserve">3.4. Kitobchi вправе удерживать (зачитывать) из сумм, причитающихся Продавцу: суммы возвратов Покупателям за Товары Продавца; расходы, возникшие по вине Продавца (недостача, брак, несоответствие Товара описанию); иные суммы, признанные Продавцом или установленные решением суда. По спорным Заказам выплата может быть приостановлена до урегулирования спора, но не более чем на 30 календарных дней.</w:t>
            </w:r>
          </w:p>
        </w:tc>
        <w:tc>
          <w:tcPr>
            <w:tcW w:type="dxa" w:w="4680"/>
            <w:tcMar>
              <w:top w:type="dxa" w:w="40"/>
              <w:left w:type="dxa" w:w="100"/>
              <w:bottom w:type="dxa" w:w="40"/>
              <w:right w:type="dxa" w:w="100"/>
            </w:tcMar>
          </w:tcPr>
          <w:p>
            <w:pPr>
              <w:spacing w:after="80" w:line="264"/>
              <w:jc w:val="both"/>
            </w:pPr>
            <w:r>
              <w:rPr>
                <w:rFonts w:ascii="Times New Roman" w:cs="Times New Roman" w:eastAsia="Times New Roman" w:hAnsi="Times New Roman"/>
                <w:sz w:val="21"/>
                <w:szCs w:val="21"/>
              </w:rPr>
              <w:t xml:space="preserve">3.4. Kitobchi Сотувчига тўланиши лозим бўлган суммалардан қуйидагиларни ушлаб қолишга (ҳисобга олишга) ҳақли: Сотувчининг Товарлари учун Харидорларга қайтарилган суммалар; Сотувчининг айби билан юзага келган харажатлар (камомад, брак, Товарнинг тавсифга мос келмаслиги); Сотувчи тан олган ёки суд қарори билан белгиланган бошқа суммалар. Низоли Буюртмалар бўйича тўлов низо ҳал бўлгунга қадар, бироқ 30 календарь кундан кўп бўлмаган муддатга тўхтатиб турилиши мумкин.</w:t>
            </w:r>
          </w:p>
        </w:tc>
      </w:tr>
      <w:tr>
        <w:trPr>
          <w:cantSplit w:val="false"/>
        </w:trPr>
        <w:tc>
          <w:tcPr>
            <w:tcW w:type="dxa" w:w="4680"/>
            <w:tcMar>
              <w:top w:type="dxa" w:w="40"/>
              <w:left w:type="dxa" w:w="100"/>
              <w:bottom w:type="dxa" w:w="40"/>
              <w:right w:type="dxa" w:w="100"/>
            </w:tcMar>
          </w:tcPr>
          <w:p>
            <w:pPr>
              <w:spacing w:after="80" w:line="264"/>
              <w:jc w:val="both"/>
            </w:pPr>
            <w:r>
              <w:rPr>
                <w:rFonts w:ascii="Times New Roman" w:cs="Times New Roman" w:eastAsia="Times New Roman" w:hAnsi="Times New Roman"/>
                <w:sz w:val="21"/>
                <w:szCs w:val="21"/>
              </w:rPr>
              <w:t xml:space="preserve">3.5. Ежемесячно, не позднее 10 числа месяца, следующего за отчётным, Kitobchi направляет Продавцу через систему электронного документооборота отчёт комиссионера, Акт оказанных Услуг и электронную счёт-фактуру. Если в течение 5 (пяти) рабочих дней Продавец не подписал документы и не направил мотивированный отказ, Услуги считаются принятыми.</w:t>
            </w:r>
          </w:p>
        </w:tc>
        <w:tc>
          <w:tcPr>
            <w:tcW w:type="dxa" w:w="4680"/>
            <w:tcMar>
              <w:top w:type="dxa" w:w="40"/>
              <w:left w:type="dxa" w:w="100"/>
              <w:bottom w:type="dxa" w:w="40"/>
              <w:right w:type="dxa" w:w="100"/>
            </w:tcMar>
          </w:tcPr>
          <w:p>
            <w:pPr>
              <w:spacing w:after="80" w:line="264"/>
              <w:jc w:val="both"/>
            </w:pPr>
            <w:r>
              <w:rPr>
                <w:rFonts w:ascii="Times New Roman" w:cs="Times New Roman" w:eastAsia="Times New Roman" w:hAnsi="Times New Roman"/>
                <w:sz w:val="21"/>
                <w:szCs w:val="21"/>
              </w:rPr>
              <w:t xml:space="preserve">3.5. Kitobchi ҳар ойда, ҳисобот ойидан кейинги ойнинг 10-санасидан кечиктирмай, электрон ҳужжат айланиш тизими орқали Сотувчига комиссионер ҳисоботи, Кўрсатилган хизматлар далолатномаси ва электрон ҳисобварақ-фактурани юборади. Агар Сотувчи 5 (беш) иш куни ичида ҳужжатларни имзоламаса ва асосли рад этишни юбормаса, Хизматлар қабул қилинган деб ҳисобланади.</w:t>
            </w:r>
          </w:p>
        </w:tc>
      </w:tr>
      <w:tr>
        <w:trPr>
          <w:cantSplit w:val="false"/>
        </w:trPr>
        <w:tc>
          <w:tcPr>
            <w:tcW w:type="dxa" w:w="4680"/>
            <w:tcMar>
              <w:top w:type="dxa" w:w="40"/>
              <w:left w:type="dxa" w:w="100"/>
              <w:bottom w:type="dxa" w:w="40"/>
              <w:right w:type="dxa" w:w="100"/>
            </w:tcMar>
          </w:tcPr>
          <w:p>
            <w:pPr>
              <w:spacing w:after="80" w:line="264"/>
              <w:jc w:val="both"/>
            </w:pPr>
            <w:r>
              <w:rPr>
                <w:rFonts w:ascii="Times New Roman" w:cs="Times New Roman" w:eastAsia="Times New Roman" w:hAnsi="Times New Roman"/>
                <w:sz w:val="21"/>
                <w:szCs w:val="21"/>
              </w:rPr>
              <w:t xml:space="preserve">3.6. Kitobchi вправе изменить размер вознаграждения, уведомив Продавца через Личный кабинет или по электронной почте не менее чем за 15 (пятнадцать) календарных дней. При несогласии Продавец вправе расторгнуть Договор до вступления изменений в силу. Каждая Сторона самостоятельно исполняет свои налоговые обязательства.</w:t>
            </w:r>
          </w:p>
        </w:tc>
        <w:tc>
          <w:tcPr>
            <w:tcW w:type="dxa" w:w="4680"/>
            <w:tcMar>
              <w:top w:type="dxa" w:w="40"/>
              <w:left w:type="dxa" w:w="100"/>
              <w:bottom w:type="dxa" w:w="40"/>
              <w:right w:type="dxa" w:w="100"/>
            </w:tcMar>
          </w:tcPr>
          <w:p>
            <w:pPr>
              <w:spacing w:after="80" w:line="264"/>
              <w:jc w:val="both"/>
            </w:pPr>
            <w:r>
              <w:rPr>
                <w:rFonts w:ascii="Times New Roman" w:cs="Times New Roman" w:eastAsia="Times New Roman" w:hAnsi="Times New Roman"/>
                <w:sz w:val="21"/>
                <w:szCs w:val="21"/>
              </w:rPr>
              <w:t xml:space="preserve">3.6. Kitobchi Сотувчини Шахсий кабинет ёки электрон почта орқали камида 15 (ўн беш) календарь кун олдин хабардор қилиб, ҳақ миқдорини ўзгартиришга ҳақли. Рози бўлмаган тақдирда Сотувчи ўзгаришлар кучга киргунга қадар Шартномани бекор қилишга ҳақли. Ҳар бир Томон ўз солиқ мажбуриятларини мустақил бажаради.</w:t>
            </w:r>
          </w:p>
        </w:tc>
      </w:tr>
      <w:tr>
        <w:trPr>
          <w:cantSplit w:val="false"/>
        </w:trPr>
        <w:tc>
          <w:tcPr>
            <w:tcW w:type="dxa" w:w="4680"/>
            <w:tcMar>
              <w:top w:type="dxa" w:w="40"/>
              <w:left w:type="dxa" w:w="100"/>
              <w:bottom w:type="dxa" w:w="40"/>
              <w:right w:type="dxa" w:w="100"/>
            </w:tcMar>
          </w:tcPr>
          <w:p>
            <w:pPr>
              <w:spacing w:after="80" w:line="264"/>
              <w:jc w:val="both"/>
            </w:pPr>
            <w:r>
              <w:rPr>
                <w:rFonts w:ascii="Times New Roman" w:cs="Times New Roman" w:eastAsia="Times New Roman" w:hAnsi="Times New Roman"/>
                <w:sz w:val="21"/>
                <w:szCs w:val="21"/>
              </w:rPr>
              <w:t xml:space="preserve">3.7. Стороны вправе ежемесячно проводить сверку взаиморасчётов, в том числе в электронной форме.</w:t>
            </w:r>
          </w:p>
        </w:tc>
        <w:tc>
          <w:tcPr>
            <w:tcW w:type="dxa" w:w="4680"/>
            <w:tcMar>
              <w:top w:type="dxa" w:w="40"/>
              <w:left w:type="dxa" w:w="100"/>
              <w:bottom w:type="dxa" w:w="40"/>
              <w:right w:type="dxa" w:w="100"/>
            </w:tcMar>
          </w:tcPr>
          <w:p>
            <w:pPr>
              <w:spacing w:after="80" w:line="264"/>
              <w:jc w:val="both"/>
            </w:pPr>
            <w:r>
              <w:rPr>
                <w:rFonts w:ascii="Times New Roman" w:cs="Times New Roman" w:eastAsia="Times New Roman" w:hAnsi="Times New Roman"/>
                <w:sz w:val="21"/>
                <w:szCs w:val="21"/>
              </w:rPr>
              <w:t xml:space="preserve">3.7. Томонлар ҳар ойда ўзаро ҳисоб-китобларни, шу жумладан электрон шаклда солиштиришга ҳақли.</w:t>
            </w:r>
          </w:p>
        </w:tc>
      </w:tr>
      <w:tr>
        <w:trPr>
          <w:cantSplit/>
        </w:trPr>
        <w:tc>
          <w:tcPr>
            <w:tcW w:type="dxa" w:w="4680"/>
            <w:tcMar>
              <w:top w:type="dxa" w:w="40"/>
              <w:left w:type="dxa" w:w="100"/>
              <w:bottom w:type="dxa" w:w="40"/>
              <w:right w:type="dxa" w:w="100"/>
            </w:tcMar>
          </w:tcPr>
          <w:p>
            <w:pPr>
              <w:keepNext/>
              <w:spacing w:after="60" w:line="264"/>
              <w:jc w:val="center"/>
            </w:pPr>
            <w:r>
              <w:rPr>
                <w:rFonts w:ascii="Times New Roman" w:cs="Times New Roman" w:eastAsia="Times New Roman" w:hAnsi="Times New Roman"/>
                <w:b/>
                <w:bCs/>
                <w:sz w:val="21"/>
                <w:szCs w:val="21"/>
              </w:rPr>
              <w:t xml:space="preserve">4. ОБЯЗАННОСТИ И ГАРАНТИИ ПРОДАВЦА</w:t>
            </w:r>
          </w:p>
        </w:tc>
        <w:tc>
          <w:tcPr>
            <w:tcW w:type="dxa" w:w="4680"/>
            <w:tcMar>
              <w:top w:type="dxa" w:w="40"/>
              <w:left w:type="dxa" w:w="100"/>
              <w:bottom w:type="dxa" w:w="40"/>
              <w:right w:type="dxa" w:w="100"/>
            </w:tcMar>
          </w:tcPr>
          <w:p>
            <w:pPr>
              <w:keepNext/>
              <w:spacing w:after="60" w:line="264"/>
              <w:jc w:val="center"/>
            </w:pPr>
            <w:r>
              <w:rPr>
                <w:rFonts w:ascii="Times New Roman" w:cs="Times New Roman" w:eastAsia="Times New Roman" w:hAnsi="Times New Roman"/>
                <w:b/>
                <w:bCs/>
                <w:sz w:val="21"/>
                <w:szCs w:val="21"/>
              </w:rPr>
              <w:t xml:space="preserve">4. СОТУВЧИНИНГ МАЖБУРИЯТЛАРИ ВА КАФОЛАТЛАРИ</w:t>
            </w:r>
          </w:p>
        </w:tc>
      </w:tr>
      <w:tr>
        <w:trPr>
          <w:cantSplit w:val="false"/>
        </w:trPr>
        <w:tc>
          <w:tcPr>
            <w:tcW w:type="dxa" w:w="4680"/>
            <w:tcMar>
              <w:top w:type="dxa" w:w="40"/>
              <w:left w:type="dxa" w:w="100"/>
              <w:bottom w:type="dxa" w:w="40"/>
              <w:right w:type="dxa" w:w="100"/>
            </w:tcMar>
          </w:tcPr>
          <w:p>
            <w:pPr>
              <w:spacing w:after="80" w:line="264"/>
              <w:jc w:val="both"/>
            </w:pPr>
            <w:r>
              <w:rPr>
                <w:rFonts w:ascii="Times New Roman" w:cs="Times New Roman" w:eastAsia="Times New Roman" w:hAnsi="Times New Roman"/>
                <w:sz w:val="21"/>
                <w:szCs w:val="21"/>
              </w:rPr>
              <w:t xml:space="preserve">4.1. Продавец гарантирует, что реализуемые Товары принадлежат ему на законных основаниях, являются оригинальными (не контрафактными), соответствуют обязательным требованиям законодательства Республики Узбекистан и описанию на Платформе, а их реализация не нарушает прав третьих лиц, в том числе авторских и смежных прав.</w:t>
            </w:r>
          </w:p>
        </w:tc>
        <w:tc>
          <w:tcPr>
            <w:tcW w:type="dxa" w:w="4680"/>
            <w:tcMar>
              <w:top w:type="dxa" w:w="40"/>
              <w:left w:type="dxa" w:w="100"/>
              <w:bottom w:type="dxa" w:w="40"/>
              <w:right w:type="dxa" w:w="100"/>
            </w:tcMar>
          </w:tcPr>
          <w:p>
            <w:pPr>
              <w:spacing w:after="80" w:line="264"/>
              <w:jc w:val="both"/>
            </w:pPr>
            <w:r>
              <w:rPr>
                <w:rFonts w:ascii="Times New Roman" w:cs="Times New Roman" w:eastAsia="Times New Roman" w:hAnsi="Times New Roman"/>
                <w:sz w:val="21"/>
                <w:szCs w:val="21"/>
              </w:rPr>
              <w:t xml:space="preserve">4.1. Сотувчи реализация қилинаётган Товарлар унга қонуний асосда тегишли эканлиги, асл (контрафакт эмас) эканлиги, Ўзбекистон Республикаси қонунчилигининг мажбурий талабларига ва Платформадаги тавсифга мос келиши, уларни реализация қилиш учинчи шахсларнинг ҳуқуқларини, шу жумладан муаллифлик ва турдош ҳуқуқларни бузмаслигини кафолатлайди.</w:t>
            </w:r>
          </w:p>
        </w:tc>
      </w:tr>
      <w:tr>
        <w:trPr>
          <w:cantSplit w:val="false"/>
        </w:trPr>
        <w:tc>
          <w:tcPr>
            <w:tcW w:type="dxa" w:w="4680"/>
            <w:tcMar>
              <w:top w:type="dxa" w:w="40"/>
              <w:left w:type="dxa" w:w="100"/>
              <w:bottom w:type="dxa" w:w="40"/>
              <w:right w:type="dxa" w:w="100"/>
            </w:tcMar>
          </w:tcPr>
          <w:p>
            <w:pPr>
              <w:spacing w:after="80" w:line="264"/>
              <w:jc w:val="both"/>
            </w:pPr>
            <w:r>
              <w:rPr>
                <w:rFonts w:ascii="Times New Roman" w:cs="Times New Roman" w:eastAsia="Times New Roman" w:hAnsi="Times New Roman"/>
                <w:sz w:val="21"/>
                <w:szCs w:val="21"/>
              </w:rPr>
              <w:t xml:space="preserve">4.2. Продавцу запрещается размещать: контрафактные и пиратские издания; материалы, распространение которых запрещено законодательством; литературу, требующую в силу закона положительного заключения уполномоченного органа (в том числе религиозного содержания), — без такого заключения; иные Товары, указанные в Правилах для Продавцов.</w:t>
            </w:r>
          </w:p>
        </w:tc>
        <w:tc>
          <w:tcPr>
            <w:tcW w:type="dxa" w:w="4680"/>
            <w:tcMar>
              <w:top w:type="dxa" w:w="40"/>
              <w:left w:type="dxa" w:w="100"/>
              <w:bottom w:type="dxa" w:w="40"/>
              <w:right w:type="dxa" w:w="100"/>
            </w:tcMar>
          </w:tcPr>
          <w:p>
            <w:pPr>
              <w:spacing w:after="80" w:line="264"/>
              <w:jc w:val="both"/>
            </w:pPr>
            <w:r>
              <w:rPr>
                <w:rFonts w:ascii="Times New Roman" w:cs="Times New Roman" w:eastAsia="Times New Roman" w:hAnsi="Times New Roman"/>
                <w:sz w:val="21"/>
                <w:szCs w:val="21"/>
              </w:rPr>
              <w:t xml:space="preserve">4.2. Сотувчига қуйидагиларни жойлаштириш тақиқланади: контрафакт ва қароқчилик нашрлари; тарқатилиши қонунчиликда тақиқланган материаллар; қонунга кўра ваколатли органнинг ижобий хулосасини талаб қиладиган адабиётлар (шу жумладан диний мазмундаги) — бундай хулосасиз; Сотувчилар учун қоидаларда кўрсатилган бошқа Товарлар.</w:t>
            </w:r>
          </w:p>
        </w:tc>
      </w:tr>
      <w:tr>
        <w:trPr>
          <w:cantSplit w:val="false"/>
        </w:trPr>
        <w:tc>
          <w:tcPr>
            <w:tcW w:type="dxa" w:w="4680"/>
            <w:tcMar>
              <w:top w:type="dxa" w:w="40"/>
              <w:left w:type="dxa" w:w="100"/>
              <w:bottom w:type="dxa" w:w="40"/>
              <w:right w:type="dxa" w:w="100"/>
            </w:tcMar>
          </w:tcPr>
          <w:p>
            <w:pPr>
              <w:spacing w:after="80" w:line="264"/>
              <w:jc w:val="both"/>
            </w:pPr>
            <w:r>
              <w:rPr>
                <w:rFonts w:ascii="Times New Roman" w:cs="Times New Roman" w:eastAsia="Times New Roman" w:hAnsi="Times New Roman"/>
                <w:sz w:val="21"/>
                <w:szCs w:val="21"/>
              </w:rPr>
              <w:t xml:space="preserve">4.3. Продавец обязуется: поддерживать достоверные сведения о Товаре, цене и остатках; собрать и упаковать Заказ и передать его курьеру (или иному лицу, привлечённому Kitobchi) через Личный кабинет в течение {{tayyorlash_soat}} часов с момента поступления Заказа; указывать для каждого Товара код ИКПУ (MXIK) и единицу измерения, необходимые для формирования фискального чека; по запросу Kitobchi предоставлять документы, подтверждающие происхождение и качество Товара.</w:t>
            </w:r>
          </w:p>
        </w:tc>
        <w:tc>
          <w:tcPr>
            <w:tcW w:type="dxa" w:w="4680"/>
            <w:tcMar>
              <w:top w:type="dxa" w:w="40"/>
              <w:left w:type="dxa" w:w="100"/>
              <w:bottom w:type="dxa" w:w="40"/>
              <w:right w:type="dxa" w:w="100"/>
            </w:tcMar>
          </w:tcPr>
          <w:p>
            <w:pPr>
              <w:spacing w:after="80" w:line="264"/>
              <w:jc w:val="both"/>
            </w:pPr>
            <w:r>
              <w:rPr>
                <w:rFonts w:ascii="Times New Roman" w:cs="Times New Roman" w:eastAsia="Times New Roman" w:hAnsi="Times New Roman"/>
                <w:sz w:val="21"/>
                <w:szCs w:val="21"/>
              </w:rPr>
              <w:t xml:space="preserve">4.3. Сотувчи қуйидаги мажбуриятларни олади: Товар, нарх ва қолдиқлар ҳақидаги маълумотларни ишончли ҳолатда сақлаш; Буюртмани йиғиш, қадоқлаш ва уни Шахсий кабинет орқали Буюртма тушган пайтдан бошлаб {{tayyorlash_soat}} соат ичида курьерга (ёки Kitobchi жалб этган бошқа шахсга) топшириш; ҳар бир Товар учун фискал чекни шакллантириш учун зарур бўлган МХИК (ИКПУ) кодини ва ўлчов бирлигини кўрсатиш; Kitobchi сўровига кўра Товарнинг келиб чиқиши ва сифатини тасдиқловчи ҳужжатларни тақдим этиш.</w:t>
            </w:r>
          </w:p>
        </w:tc>
      </w:tr>
      <w:tr>
        <w:trPr>
          <w:cantSplit w:val="false"/>
        </w:trPr>
        <w:tc>
          <w:tcPr>
            <w:tcW w:type="dxa" w:w="4680"/>
            <w:tcMar>
              <w:top w:type="dxa" w:w="40"/>
              <w:left w:type="dxa" w:w="100"/>
              <w:bottom w:type="dxa" w:w="40"/>
              <w:right w:type="dxa" w:w="100"/>
            </w:tcMar>
          </w:tcPr>
          <w:p>
            <w:pPr>
              <w:spacing w:after="80" w:line="264"/>
              <w:jc w:val="both"/>
            </w:pPr>
            <w:r>
              <w:rPr>
                <w:rFonts w:ascii="Times New Roman" w:cs="Times New Roman" w:eastAsia="Times New Roman" w:hAnsi="Times New Roman"/>
                <w:sz w:val="21"/>
                <w:szCs w:val="21"/>
              </w:rPr>
              <w:t xml:space="preserve">4.4. Продавец несёт ответственность перед Покупателями за качество, комплектность и соответствие Товара в соответствии с законодательством о защите прав потребителей и возмещает Kitobchi расходы по удовлетворению обоснованных претензий Покупателей, а также по претензиям третьих лиц, связанным с Товаром (в том числе о нарушении интеллектуальных прав).</w:t>
            </w:r>
          </w:p>
        </w:tc>
        <w:tc>
          <w:tcPr>
            <w:tcW w:type="dxa" w:w="4680"/>
            <w:tcMar>
              <w:top w:type="dxa" w:w="40"/>
              <w:left w:type="dxa" w:w="100"/>
              <w:bottom w:type="dxa" w:w="40"/>
              <w:right w:type="dxa" w:w="100"/>
            </w:tcMar>
          </w:tcPr>
          <w:p>
            <w:pPr>
              <w:spacing w:after="80" w:line="264"/>
              <w:jc w:val="both"/>
            </w:pPr>
            <w:r>
              <w:rPr>
                <w:rFonts w:ascii="Times New Roman" w:cs="Times New Roman" w:eastAsia="Times New Roman" w:hAnsi="Times New Roman"/>
                <w:sz w:val="21"/>
                <w:szCs w:val="21"/>
              </w:rPr>
              <w:t xml:space="preserve">4.4. Сотувчи Товарнинг сифати, бутлиги ва мувофиқлиги учун истеъмолчилар ҳуқуқларини ҳимоя қилиш тўғрисидаги қонунчиликка мувофиқ Харидорлар олдида жавобгар бўлади ҳамда Харидорларнинг асосли эътирозларини, шунингдек Товар билан боғлиқ учинчи шахсларнинг эътирозларини (шу жумладан интеллектуал ҳуқуқлар бузилиши ҳақида) қаноатлантириш бўйича Kitobchi харажатларини қоплайди.</w:t>
            </w:r>
          </w:p>
        </w:tc>
      </w:tr>
      <w:tr>
        <w:trPr>
          <w:cantSplit w:val="false"/>
        </w:trPr>
        <w:tc>
          <w:tcPr>
            <w:tcW w:type="dxa" w:w="4680"/>
            <w:tcMar>
              <w:top w:type="dxa" w:w="40"/>
              <w:left w:type="dxa" w:w="100"/>
              <w:bottom w:type="dxa" w:w="40"/>
              <w:right w:type="dxa" w:w="100"/>
            </w:tcMar>
          </w:tcPr>
          <w:p>
            <w:pPr>
              <w:spacing w:after="80" w:line="264"/>
              <w:jc w:val="both"/>
            </w:pPr>
            <w:r>
              <w:rPr>
                <w:rFonts w:ascii="Times New Roman" w:cs="Times New Roman" w:eastAsia="Times New Roman" w:hAnsi="Times New Roman"/>
                <w:sz w:val="21"/>
                <w:szCs w:val="21"/>
              </w:rPr>
              <w:t xml:space="preserve">4.5. Продавец не вправе побуждать Покупателей, привлечённых через Платформу, совершать покупки в обход Платформы, а также использовать персональные данные Покупателей для иных целей, кроме исполнения Заказа.</w:t>
            </w:r>
          </w:p>
        </w:tc>
        <w:tc>
          <w:tcPr>
            <w:tcW w:type="dxa" w:w="4680"/>
            <w:tcMar>
              <w:top w:type="dxa" w:w="40"/>
              <w:left w:type="dxa" w:w="100"/>
              <w:bottom w:type="dxa" w:w="40"/>
              <w:right w:type="dxa" w:w="100"/>
            </w:tcMar>
          </w:tcPr>
          <w:p>
            <w:pPr>
              <w:spacing w:after="80" w:line="264"/>
              <w:jc w:val="both"/>
            </w:pPr>
            <w:r>
              <w:rPr>
                <w:rFonts w:ascii="Times New Roman" w:cs="Times New Roman" w:eastAsia="Times New Roman" w:hAnsi="Times New Roman"/>
                <w:sz w:val="21"/>
                <w:szCs w:val="21"/>
              </w:rPr>
              <w:t xml:space="preserve">4.5. Сотувчи Платформа орқали жалб этилган Харидорларни Платформани четлаб ўтиб харид қилишга ундашга, шунингдек Харидорларнинг шахсга доир маълумотларидан Буюртмани бажаришдан бошқа мақсадларда фойдаланишга ҳақли эмас.</w:t>
            </w:r>
          </w:p>
        </w:tc>
      </w:tr>
      <w:tr>
        <w:trPr>
          <w:cantSplit/>
        </w:trPr>
        <w:tc>
          <w:tcPr>
            <w:tcW w:type="dxa" w:w="4680"/>
            <w:tcMar>
              <w:top w:type="dxa" w:w="40"/>
              <w:left w:type="dxa" w:w="100"/>
              <w:bottom w:type="dxa" w:w="40"/>
              <w:right w:type="dxa" w:w="100"/>
            </w:tcMar>
          </w:tcPr>
          <w:p>
            <w:pPr>
              <w:keepNext/>
              <w:spacing w:after="60" w:line="264"/>
              <w:jc w:val="center"/>
            </w:pPr>
            <w:r>
              <w:rPr>
                <w:rFonts w:ascii="Times New Roman" w:cs="Times New Roman" w:eastAsia="Times New Roman" w:hAnsi="Times New Roman"/>
                <w:b/>
                <w:bCs/>
                <w:sz w:val="21"/>
                <w:szCs w:val="21"/>
              </w:rPr>
              <w:t xml:space="preserve">5. ОБЯЗАННОСТИ И ПРАВА KITOBCHI</w:t>
            </w:r>
          </w:p>
        </w:tc>
        <w:tc>
          <w:tcPr>
            <w:tcW w:type="dxa" w:w="4680"/>
            <w:tcMar>
              <w:top w:type="dxa" w:w="40"/>
              <w:left w:type="dxa" w:w="100"/>
              <w:bottom w:type="dxa" w:w="40"/>
              <w:right w:type="dxa" w:w="100"/>
            </w:tcMar>
          </w:tcPr>
          <w:p>
            <w:pPr>
              <w:keepNext/>
              <w:spacing w:after="60" w:line="264"/>
              <w:jc w:val="center"/>
            </w:pPr>
            <w:r>
              <w:rPr>
                <w:rFonts w:ascii="Times New Roman" w:cs="Times New Roman" w:eastAsia="Times New Roman" w:hAnsi="Times New Roman"/>
                <w:b/>
                <w:bCs/>
                <w:sz w:val="21"/>
                <w:szCs w:val="21"/>
              </w:rPr>
              <w:t xml:space="preserve">5. KITOBCHI НИНГ МАЖБУРИЯТЛАРИ ВА ҲУҚУҚЛАРИ</w:t>
            </w:r>
          </w:p>
        </w:tc>
      </w:tr>
      <w:tr>
        <w:trPr>
          <w:cantSplit w:val="false"/>
        </w:trPr>
        <w:tc>
          <w:tcPr>
            <w:tcW w:type="dxa" w:w="4680"/>
            <w:tcMar>
              <w:top w:type="dxa" w:w="40"/>
              <w:left w:type="dxa" w:w="100"/>
              <w:bottom w:type="dxa" w:w="40"/>
              <w:right w:type="dxa" w:w="100"/>
            </w:tcMar>
          </w:tcPr>
          <w:p>
            <w:pPr>
              <w:spacing w:after="80" w:line="264"/>
              <w:jc w:val="both"/>
            </w:pPr>
            <w:r>
              <w:rPr>
                <w:rFonts w:ascii="Times New Roman" w:cs="Times New Roman" w:eastAsia="Times New Roman" w:hAnsi="Times New Roman"/>
                <w:sz w:val="21"/>
                <w:szCs w:val="21"/>
              </w:rPr>
              <w:t xml:space="preserve">5.1. Kitobchi обязуется: предоставить Продавцу доступ к Личному кабинету; обеспечить приём платежей и формирование фискального чека на Товар Продавца за свой счёт самостоятельно или с привлечением третьих лиц; организовать доставку и поддержку Покупателей; предоставлять в Личном кабинете сведения о Заказах, выплатах и удержаниях; своевременно перечислять Продавцу причитающиеся суммы.</w:t>
            </w:r>
          </w:p>
        </w:tc>
        <w:tc>
          <w:tcPr>
            <w:tcW w:type="dxa" w:w="4680"/>
            <w:tcMar>
              <w:top w:type="dxa" w:w="40"/>
              <w:left w:type="dxa" w:w="100"/>
              <w:bottom w:type="dxa" w:w="40"/>
              <w:right w:type="dxa" w:w="100"/>
            </w:tcMar>
          </w:tcPr>
          <w:p>
            <w:pPr>
              <w:spacing w:after="80" w:line="264"/>
              <w:jc w:val="both"/>
            </w:pPr>
            <w:r>
              <w:rPr>
                <w:rFonts w:ascii="Times New Roman" w:cs="Times New Roman" w:eastAsia="Times New Roman" w:hAnsi="Times New Roman"/>
                <w:sz w:val="21"/>
                <w:szCs w:val="21"/>
              </w:rPr>
              <w:t xml:space="preserve">5.1. Kitobchi қуйидаги мажбуриятларни олади: Сотувчига Шахсий кабинетдан фойдаланиш имкониятини бериш; тўловларни қабул қилишни ва Сотувчининг Товари учун фискал чекни ўз ҳисобидан мустақил равишда ёки учинчи шахсларни жалб этган ҳолда шакллантиришни таъминлаш; етказиб беришни ва Харидорларни қўллаб-қувватлашни ташкил этиш; Шахсий кабинетда Буюртмалар, тўловлар ва ушланмалар ҳақида маълумот бериш; Сотувчига тегишли суммаларни ўз вақтида ўтказиш.</w:t>
            </w:r>
          </w:p>
        </w:tc>
      </w:tr>
      <w:tr>
        <w:trPr>
          <w:cantSplit w:val="false"/>
        </w:trPr>
        <w:tc>
          <w:tcPr>
            <w:tcW w:type="dxa" w:w="4680"/>
            <w:tcMar>
              <w:top w:type="dxa" w:w="40"/>
              <w:left w:type="dxa" w:w="100"/>
              <w:bottom w:type="dxa" w:w="40"/>
              <w:right w:type="dxa" w:w="100"/>
            </w:tcMar>
          </w:tcPr>
          <w:p>
            <w:pPr>
              <w:spacing w:after="80" w:line="264"/>
              <w:jc w:val="both"/>
            </w:pPr>
            <w:r>
              <w:rPr>
                <w:rFonts w:ascii="Times New Roman" w:cs="Times New Roman" w:eastAsia="Times New Roman" w:hAnsi="Times New Roman"/>
                <w:sz w:val="21"/>
                <w:szCs w:val="21"/>
              </w:rPr>
              <w:t xml:space="preserve">5.2. С момента передачи Товара курьеру Kitobchi несёт риск его утраты или повреждения при доставке и в этом случае возмещает Продавцу стоимость Товара за вычетом вознаграждения.</w:t>
            </w:r>
          </w:p>
        </w:tc>
        <w:tc>
          <w:tcPr>
            <w:tcW w:type="dxa" w:w="4680"/>
            <w:tcMar>
              <w:top w:type="dxa" w:w="40"/>
              <w:left w:type="dxa" w:w="100"/>
              <w:bottom w:type="dxa" w:w="40"/>
              <w:right w:type="dxa" w:w="100"/>
            </w:tcMar>
          </w:tcPr>
          <w:p>
            <w:pPr>
              <w:spacing w:after="80" w:line="264"/>
              <w:jc w:val="both"/>
            </w:pPr>
            <w:r>
              <w:rPr>
                <w:rFonts w:ascii="Times New Roman" w:cs="Times New Roman" w:eastAsia="Times New Roman" w:hAnsi="Times New Roman"/>
                <w:sz w:val="21"/>
                <w:szCs w:val="21"/>
              </w:rPr>
              <w:t xml:space="preserve">5.2. Товар курьерга топширилган пайтдан бошлаб Kitobchi уни етказиб беришда йўқолиши ёки шикастланиши хавфини ўз зиммасига олади ва бу ҳолда Сотувчига Товар қийматини ҳақни чегирган ҳолда қоплайди.</w:t>
            </w:r>
          </w:p>
        </w:tc>
      </w:tr>
      <w:tr>
        <w:trPr>
          <w:cantSplit w:val="false"/>
        </w:trPr>
        <w:tc>
          <w:tcPr>
            <w:tcW w:type="dxa" w:w="4680"/>
            <w:tcMar>
              <w:top w:type="dxa" w:w="40"/>
              <w:left w:type="dxa" w:w="100"/>
              <w:bottom w:type="dxa" w:w="40"/>
              <w:right w:type="dxa" w:w="100"/>
            </w:tcMar>
          </w:tcPr>
          <w:p>
            <w:pPr>
              <w:spacing w:after="80" w:line="264"/>
              <w:jc w:val="both"/>
            </w:pPr>
            <w:r>
              <w:rPr>
                <w:rFonts w:ascii="Times New Roman" w:cs="Times New Roman" w:eastAsia="Times New Roman" w:hAnsi="Times New Roman"/>
                <w:sz w:val="21"/>
                <w:szCs w:val="21"/>
              </w:rPr>
              <w:t xml:space="preserve">5.3. Kitobchi вправе: проводить модерацию товарных предложений и отказывать в размещении либо снимать с продажи Товары, не соответствующие Договору, Правилам или законодательству; временно приостанавливать доступ Продавца к Платформе при выявлении нарушений; проводить акции за свой счёт; использовать наименование, товарные знаки и изображения Товаров Продавца для их продвижения на Платформе и в рекламе Платформы.</w:t>
            </w:r>
          </w:p>
        </w:tc>
        <w:tc>
          <w:tcPr>
            <w:tcW w:type="dxa" w:w="4680"/>
            <w:tcMar>
              <w:top w:type="dxa" w:w="40"/>
              <w:left w:type="dxa" w:w="100"/>
              <w:bottom w:type="dxa" w:w="40"/>
              <w:right w:type="dxa" w:w="100"/>
            </w:tcMar>
          </w:tcPr>
          <w:p>
            <w:pPr>
              <w:spacing w:after="80" w:line="264"/>
              <w:jc w:val="both"/>
            </w:pPr>
            <w:r>
              <w:rPr>
                <w:rFonts w:ascii="Times New Roman" w:cs="Times New Roman" w:eastAsia="Times New Roman" w:hAnsi="Times New Roman"/>
                <w:sz w:val="21"/>
                <w:szCs w:val="21"/>
              </w:rPr>
              <w:t xml:space="preserve">5.3. Kitobchi қуйидагиларга ҳақли: товар таклифларини модерация қилиш ва Шартнома, Қоидалар ёки қонунчиликка мос келмайдиган Товарларни жойлаштиришни рад этиш ёхуд сотувдан олиб ташлаш; қоидабузарликлар аниқланганда Сотувчининг Платформадан фойдаланишини вақтинча тўхтатиб туриш; ўз ҳисобидан акциялар ўтказиш; Сотувчининг номи, товар белгилари ва Товарлар тасвирларидан уларни Платформада ва Платформа рекламасида тарғиб қилиш учун фойдаланиш.</w:t>
            </w:r>
          </w:p>
        </w:tc>
      </w:tr>
      <w:tr>
        <w:trPr>
          <w:cantSplit/>
        </w:trPr>
        <w:tc>
          <w:tcPr>
            <w:tcW w:type="dxa" w:w="4680"/>
            <w:tcMar>
              <w:top w:type="dxa" w:w="40"/>
              <w:left w:type="dxa" w:w="100"/>
              <w:bottom w:type="dxa" w:w="40"/>
              <w:right w:type="dxa" w:w="100"/>
            </w:tcMar>
          </w:tcPr>
          <w:p>
            <w:pPr>
              <w:keepNext/>
              <w:spacing w:after="60" w:line="264"/>
              <w:jc w:val="center"/>
            </w:pPr>
            <w:r>
              <w:rPr>
                <w:rFonts w:ascii="Times New Roman" w:cs="Times New Roman" w:eastAsia="Times New Roman" w:hAnsi="Times New Roman"/>
                <w:b/>
                <w:bCs/>
                <w:sz w:val="21"/>
                <w:szCs w:val="21"/>
              </w:rPr>
              <w:t xml:space="preserve">6. ВОЗВРАТ ТОВАРОВ</w:t>
            </w:r>
          </w:p>
        </w:tc>
        <w:tc>
          <w:tcPr>
            <w:tcW w:type="dxa" w:w="4680"/>
            <w:tcMar>
              <w:top w:type="dxa" w:w="40"/>
              <w:left w:type="dxa" w:w="100"/>
              <w:bottom w:type="dxa" w:w="40"/>
              <w:right w:type="dxa" w:w="100"/>
            </w:tcMar>
          </w:tcPr>
          <w:p>
            <w:pPr>
              <w:keepNext/>
              <w:spacing w:after="60" w:line="264"/>
              <w:jc w:val="center"/>
            </w:pPr>
            <w:r>
              <w:rPr>
                <w:rFonts w:ascii="Times New Roman" w:cs="Times New Roman" w:eastAsia="Times New Roman" w:hAnsi="Times New Roman"/>
                <w:b/>
                <w:bCs/>
                <w:sz w:val="21"/>
                <w:szCs w:val="21"/>
              </w:rPr>
              <w:t xml:space="preserve">6. ТОВАРЛАРНИ ҚАЙТАРИШ</w:t>
            </w:r>
          </w:p>
        </w:tc>
      </w:tr>
      <w:tr>
        <w:trPr>
          <w:cantSplit w:val="false"/>
        </w:trPr>
        <w:tc>
          <w:tcPr>
            <w:tcW w:type="dxa" w:w="4680"/>
            <w:tcMar>
              <w:top w:type="dxa" w:w="40"/>
              <w:left w:type="dxa" w:w="100"/>
              <w:bottom w:type="dxa" w:w="40"/>
              <w:right w:type="dxa" w:w="100"/>
            </w:tcMar>
          </w:tcPr>
          <w:p>
            <w:pPr>
              <w:spacing w:after="80" w:line="264"/>
              <w:jc w:val="both"/>
            </w:pPr>
            <w:r>
              <w:rPr>
                <w:rFonts w:ascii="Times New Roman" w:cs="Times New Roman" w:eastAsia="Times New Roman" w:hAnsi="Times New Roman"/>
                <w:sz w:val="21"/>
                <w:szCs w:val="21"/>
              </w:rPr>
              <w:t xml:space="preserve">6.1. Возврат и обмен Товаров Покупателями осуществляются в порядке, установленном законодательством о защите прав потребителей и опубликованными на Платформе правилами доставки и возврата. Возвращённый Покупателем Товар надлежащего качества передаётся Продавцу, а уплаченное за него вознаграждение Kitobchi не удерживается.</w:t>
            </w:r>
          </w:p>
        </w:tc>
        <w:tc>
          <w:tcPr>
            <w:tcW w:type="dxa" w:w="4680"/>
            <w:tcMar>
              <w:top w:type="dxa" w:w="40"/>
              <w:left w:type="dxa" w:w="100"/>
              <w:bottom w:type="dxa" w:w="40"/>
              <w:right w:type="dxa" w:w="100"/>
            </w:tcMar>
          </w:tcPr>
          <w:p>
            <w:pPr>
              <w:spacing w:after="80" w:line="264"/>
              <w:jc w:val="both"/>
            </w:pPr>
            <w:r>
              <w:rPr>
                <w:rFonts w:ascii="Times New Roman" w:cs="Times New Roman" w:eastAsia="Times New Roman" w:hAnsi="Times New Roman"/>
                <w:sz w:val="21"/>
                <w:szCs w:val="21"/>
              </w:rPr>
              <w:t xml:space="preserve">6.1. Харидорлар томонидан Товарларни қайтариш ва алмаштириш истеъмолчилар ҳуқуқларини ҳимоя қилиш тўғрисидаги қонунчиликда ва Платформада эълон қилинган етказиб бериш ва қайтариш қоидаларида белгиланган тартибда амалга оширилади. Харидор қайтарган лозим даражадаги сифатли Товар Сотувчига топширилади, у учун Kitobchi ҳақи ушлаб қолинмайди.</w:t>
            </w:r>
          </w:p>
        </w:tc>
      </w:tr>
      <w:tr>
        <w:trPr>
          <w:cantSplit w:val="false"/>
        </w:trPr>
        <w:tc>
          <w:tcPr>
            <w:tcW w:type="dxa" w:w="4680"/>
            <w:tcMar>
              <w:top w:type="dxa" w:w="40"/>
              <w:left w:type="dxa" w:w="100"/>
              <w:bottom w:type="dxa" w:w="40"/>
              <w:right w:type="dxa" w:w="100"/>
            </w:tcMar>
          </w:tcPr>
          <w:p>
            <w:pPr>
              <w:spacing w:after="80" w:line="264"/>
              <w:jc w:val="both"/>
            </w:pPr>
            <w:r>
              <w:rPr>
                <w:rFonts w:ascii="Times New Roman" w:cs="Times New Roman" w:eastAsia="Times New Roman" w:hAnsi="Times New Roman"/>
                <w:sz w:val="21"/>
                <w:szCs w:val="21"/>
              </w:rPr>
              <w:t xml:space="preserve">6.2. При возврате Товара ненадлежащего качества, некомплектного или не соответствующего описанию расходы на его возврат и сумма, возвращённая Покупателю, относятся на Продавца.</w:t>
            </w:r>
          </w:p>
        </w:tc>
        <w:tc>
          <w:tcPr>
            <w:tcW w:type="dxa" w:w="4680"/>
            <w:tcMar>
              <w:top w:type="dxa" w:w="40"/>
              <w:left w:type="dxa" w:w="100"/>
              <w:bottom w:type="dxa" w:w="40"/>
              <w:right w:type="dxa" w:w="100"/>
            </w:tcMar>
          </w:tcPr>
          <w:p>
            <w:pPr>
              <w:spacing w:after="80" w:line="264"/>
              <w:jc w:val="both"/>
            </w:pPr>
            <w:r>
              <w:rPr>
                <w:rFonts w:ascii="Times New Roman" w:cs="Times New Roman" w:eastAsia="Times New Roman" w:hAnsi="Times New Roman"/>
                <w:sz w:val="21"/>
                <w:szCs w:val="21"/>
              </w:rPr>
              <w:t xml:space="preserve">6.2. Сифатсиз, бутланмаган ёки тавсифга мос келмайдиган Товар қайтарилганда уни қайтариш харажатлари ва Харидорга қайтарилган сумма Сотувчи зиммасида бўлади.</w:t>
            </w:r>
          </w:p>
        </w:tc>
      </w:tr>
      <w:tr>
        <w:trPr>
          <w:cantSplit/>
        </w:trPr>
        <w:tc>
          <w:tcPr>
            <w:tcW w:type="dxa" w:w="4680"/>
            <w:tcMar>
              <w:top w:type="dxa" w:w="40"/>
              <w:left w:type="dxa" w:w="100"/>
              <w:bottom w:type="dxa" w:w="40"/>
              <w:right w:type="dxa" w:w="100"/>
            </w:tcMar>
          </w:tcPr>
          <w:p>
            <w:pPr>
              <w:keepNext/>
              <w:spacing w:after="60" w:line="264"/>
              <w:jc w:val="center"/>
            </w:pPr>
            <w:r>
              <w:rPr>
                <w:rFonts w:ascii="Times New Roman" w:cs="Times New Roman" w:eastAsia="Times New Roman" w:hAnsi="Times New Roman"/>
                <w:b/>
                <w:bCs/>
                <w:sz w:val="21"/>
                <w:szCs w:val="21"/>
              </w:rPr>
              <w:t xml:space="preserve">7. ОТВЕТСТВЕННОСТЬ СТОРОН</w:t>
            </w:r>
          </w:p>
        </w:tc>
        <w:tc>
          <w:tcPr>
            <w:tcW w:type="dxa" w:w="4680"/>
            <w:tcMar>
              <w:top w:type="dxa" w:w="40"/>
              <w:left w:type="dxa" w:w="100"/>
              <w:bottom w:type="dxa" w:w="40"/>
              <w:right w:type="dxa" w:w="100"/>
            </w:tcMar>
          </w:tcPr>
          <w:p>
            <w:pPr>
              <w:keepNext/>
              <w:spacing w:after="60" w:line="264"/>
              <w:jc w:val="center"/>
            </w:pPr>
            <w:r>
              <w:rPr>
                <w:rFonts w:ascii="Times New Roman" w:cs="Times New Roman" w:eastAsia="Times New Roman" w:hAnsi="Times New Roman"/>
                <w:b/>
                <w:bCs/>
                <w:sz w:val="21"/>
                <w:szCs w:val="21"/>
              </w:rPr>
              <w:t xml:space="preserve">7. ТОМОНЛАРНИНГ ЖАВОБГАРЛИГИ</w:t>
            </w:r>
          </w:p>
        </w:tc>
      </w:tr>
      <w:tr>
        <w:trPr>
          <w:cantSplit w:val="false"/>
        </w:trPr>
        <w:tc>
          <w:tcPr>
            <w:tcW w:type="dxa" w:w="4680"/>
            <w:tcMar>
              <w:top w:type="dxa" w:w="40"/>
              <w:left w:type="dxa" w:w="100"/>
              <w:bottom w:type="dxa" w:w="40"/>
              <w:right w:type="dxa" w:w="100"/>
            </w:tcMar>
          </w:tcPr>
          <w:p>
            <w:pPr>
              <w:spacing w:after="80" w:line="264"/>
              <w:jc w:val="both"/>
            </w:pPr>
            <w:r>
              <w:rPr>
                <w:rFonts w:ascii="Times New Roman" w:cs="Times New Roman" w:eastAsia="Times New Roman" w:hAnsi="Times New Roman"/>
                <w:sz w:val="21"/>
                <w:szCs w:val="21"/>
              </w:rPr>
              <w:t xml:space="preserve">7.1. За неисполнение либо ненадлежащее исполнение обязательств Стороны несут ответственность в соответствии с законодательством Республики Узбекистан.</w:t>
            </w:r>
          </w:p>
        </w:tc>
        <w:tc>
          <w:tcPr>
            <w:tcW w:type="dxa" w:w="4680"/>
            <w:tcMar>
              <w:top w:type="dxa" w:w="40"/>
              <w:left w:type="dxa" w:w="100"/>
              <w:bottom w:type="dxa" w:w="40"/>
              <w:right w:type="dxa" w:w="100"/>
            </w:tcMar>
          </w:tcPr>
          <w:p>
            <w:pPr>
              <w:spacing w:after="80" w:line="264"/>
              <w:jc w:val="both"/>
            </w:pPr>
            <w:r>
              <w:rPr>
                <w:rFonts w:ascii="Times New Roman" w:cs="Times New Roman" w:eastAsia="Times New Roman" w:hAnsi="Times New Roman"/>
                <w:sz w:val="21"/>
                <w:szCs w:val="21"/>
              </w:rPr>
              <w:t xml:space="preserve">7.1. Мажбуриятларни бажармаганлик ёхуд лозим даражада бажармаганлик учун Томонлар Ўзбекистон Республикаси қонунчилигига мувофиқ жавобгар бўладилар.</w:t>
            </w:r>
          </w:p>
        </w:tc>
      </w:tr>
      <w:tr>
        <w:trPr>
          <w:cantSplit w:val="false"/>
        </w:trPr>
        <w:tc>
          <w:tcPr>
            <w:tcW w:type="dxa" w:w="4680"/>
            <w:tcMar>
              <w:top w:type="dxa" w:w="40"/>
              <w:left w:type="dxa" w:w="100"/>
              <w:bottom w:type="dxa" w:w="40"/>
              <w:right w:type="dxa" w:w="100"/>
            </w:tcMar>
          </w:tcPr>
          <w:p>
            <w:pPr>
              <w:spacing w:after="80" w:line="264"/>
              <w:jc w:val="both"/>
            </w:pPr>
            <w:r>
              <w:rPr>
                <w:rFonts w:ascii="Times New Roman" w:cs="Times New Roman" w:eastAsia="Times New Roman" w:hAnsi="Times New Roman"/>
                <w:sz w:val="21"/>
                <w:szCs w:val="21"/>
              </w:rPr>
              <w:t xml:space="preserve">7.2. При размещении Товаров, указанных в п. 4.2, Kitobchi вправе немедленно снять их с продажи, приостановить выплаты по ним и расторгнуть Договор в одностороннем порядке; Продавец возмещает Kitobchi все возникшие в связи с этим убытки, штрафы и расходы.</w:t>
            </w:r>
          </w:p>
        </w:tc>
        <w:tc>
          <w:tcPr>
            <w:tcW w:type="dxa" w:w="4680"/>
            <w:tcMar>
              <w:top w:type="dxa" w:w="40"/>
              <w:left w:type="dxa" w:w="100"/>
              <w:bottom w:type="dxa" w:w="40"/>
              <w:right w:type="dxa" w:w="100"/>
            </w:tcMar>
          </w:tcPr>
          <w:p>
            <w:pPr>
              <w:spacing w:after="80" w:line="264"/>
              <w:jc w:val="both"/>
            </w:pPr>
            <w:r>
              <w:rPr>
                <w:rFonts w:ascii="Times New Roman" w:cs="Times New Roman" w:eastAsia="Times New Roman" w:hAnsi="Times New Roman"/>
                <w:sz w:val="21"/>
                <w:szCs w:val="21"/>
              </w:rPr>
              <w:t xml:space="preserve">7.2. 4.2-бандда кўрсатилган Товарлар жойлаштирилганда Kitobchi уларни дарҳол сотувдан олиб ташлашга, улар бўйича тўловларни тўхтатишга ва Шартномани бир томонлама бекор қилишга ҳақли; Сотувчи бу билан боғлиқ барча зарарлар, жарималар ва харажатларни Kitobchi га қоплайди.</w:t>
            </w:r>
          </w:p>
        </w:tc>
      </w:tr>
      <w:tr>
        <w:trPr>
          <w:cantSplit w:val="false"/>
        </w:trPr>
        <w:tc>
          <w:tcPr>
            <w:tcW w:type="dxa" w:w="4680"/>
            <w:tcMar>
              <w:top w:type="dxa" w:w="40"/>
              <w:left w:type="dxa" w:w="100"/>
              <w:bottom w:type="dxa" w:w="40"/>
              <w:right w:type="dxa" w:w="100"/>
            </w:tcMar>
          </w:tcPr>
          <w:p>
            <w:pPr>
              <w:spacing w:after="80" w:line="264"/>
              <w:jc w:val="both"/>
            </w:pPr>
            <w:r>
              <w:rPr>
                <w:rFonts w:ascii="Times New Roman" w:cs="Times New Roman" w:eastAsia="Times New Roman" w:hAnsi="Times New Roman"/>
                <w:sz w:val="21"/>
                <w:szCs w:val="21"/>
              </w:rPr>
              <w:t xml:space="preserve">7.3. Kitobchi не несёт ответственности за неисполнение обязательств, вызванное действиями Продавца или Покупателя, а также за упущенную выгоду Продавца. Совокупная ответственность Kitobchi по каждому Заказу (кроме случаев п. 5.2) ограничена суммой вознаграждения, полученного по такому Заказу.</w:t>
            </w:r>
          </w:p>
        </w:tc>
        <w:tc>
          <w:tcPr>
            <w:tcW w:type="dxa" w:w="4680"/>
            <w:tcMar>
              <w:top w:type="dxa" w:w="40"/>
              <w:left w:type="dxa" w:w="100"/>
              <w:bottom w:type="dxa" w:w="40"/>
              <w:right w:type="dxa" w:w="100"/>
            </w:tcMar>
          </w:tcPr>
          <w:p>
            <w:pPr>
              <w:spacing w:after="80" w:line="264"/>
              <w:jc w:val="both"/>
            </w:pPr>
            <w:r>
              <w:rPr>
                <w:rFonts w:ascii="Times New Roman" w:cs="Times New Roman" w:eastAsia="Times New Roman" w:hAnsi="Times New Roman"/>
                <w:sz w:val="21"/>
                <w:szCs w:val="21"/>
              </w:rPr>
              <w:t xml:space="preserve">7.3. Kitobchi Сотувчи ёки Харидорнинг ҳаракатлари туфайли мажбуриятлар бажарилмаганлиги, шунингдек Сотувчининг бой берилган фойдаси учун жавобгар бўлмайди. Ҳар бир Буюртма бўйича Kitobchi нинг умумий жавобгарлиги (5.2-банддаги ҳолатлардан ташқари) шу Буюртма бўйича олинган ҳақ суммаси билан чекланади.</w:t>
            </w:r>
          </w:p>
        </w:tc>
      </w:tr>
      <w:tr>
        <w:trPr>
          <w:cantSplit/>
        </w:trPr>
        <w:tc>
          <w:tcPr>
            <w:tcW w:type="dxa" w:w="4680"/>
            <w:tcMar>
              <w:top w:type="dxa" w:w="40"/>
              <w:left w:type="dxa" w:w="100"/>
              <w:bottom w:type="dxa" w:w="40"/>
              <w:right w:type="dxa" w:w="100"/>
            </w:tcMar>
          </w:tcPr>
          <w:p>
            <w:pPr>
              <w:keepNext/>
              <w:spacing w:after="60" w:line="264"/>
              <w:jc w:val="center"/>
            </w:pPr>
            <w:r>
              <w:rPr>
                <w:rFonts w:ascii="Times New Roman" w:cs="Times New Roman" w:eastAsia="Times New Roman" w:hAnsi="Times New Roman"/>
                <w:b/>
                <w:bCs/>
                <w:sz w:val="21"/>
                <w:szCs w:val="21"/>
              </w:rPr>
              <w:t xml:space="preserve">8. КОНФИДЕНЦИАЛЬНОСТЬ И ПЕРСОНАЛЬНЫЕ ДАННЫЕ</w:t>
            </w:r>
          </w:p>
        </w:tc>
        <w:tc>
          <w:tcPr>
            <w:tcW w:type="dxa" w:w="4680"/>
            <w:tcMar>
              <w:top w:type="dxa" w:w="40"/>
              <w:left w:type="dxa" w:w="100"/>
              <w:bottom w:type="dxa" w:w="40"/>
              <w:right w:type="dxa" w:w="100"/>
            </w:tcMar>
          </w:tcPr>
          <w:p>
            <w:pPr>
              <w:keepNext/>
              <w:spacing w:after="60" w:line="264"/>
              <w:jc w:val="center"/>
            </w:pPr>
            <w:r>
              <w:rPr>
                <w:rFonts w:ascii="Times New Roman" w:cs="Times New Roman" w:eastAsia="Times New Roman" w:hAnsi="Times New Roman"/>
                <w:b/>
                <w:bCs/>
                <w:sz w:val="21"/>
                <w:szCs w:val="21"/>
              </w:rPr>
              <w:t xml:space="preserve">8. МАХФИЙЛИК ВА ШАХСГА ДОИР МАЪЛУМОТЛАР</w:t>
            </w:r>
          </w:p>
        </w:tc>
      </w:tr>
      <w:tr>
        <w:trPr>
          <w:cantSplit w:val="false"/>
        </w:trPr>
        <w:tc>
          <w:tcPr>
            <w:tcW w:type="dxa" w:w="4680"/>
            <w:tcMar>
              <w:top w:type="dxa" w:w="40"/>
              <w:left w:type="dxa" w:w="100"/>
              <w:bottom w:type="dxa" w:w="40"/>
              <w:right w:type="dxa" w:w="100"/>
            </w:tcMar>
          </w:tcPr>
          <w:p>
            <w:pPr>
              <w:spacing w:after="80" w:line="264"/>
              <w:jc w:val="both"/>
            </w:pPr>
            <w:r>
              <w:rPr>
                <w:rFonts w:ascii="Times New Roman" w:cs="Times New Roman" w:eastAsia="Times New Roman" w:hAnsi="Times New Roman"/>
                <w:sz w:val="21"/>
                <w:szCs w:val="21"/>
              </w:rPr>
              <w:t xml:space="preserve">8.1. Стороны обязуются не разглашать условия Договора, сведения о продажах, Покупателях и иную информацию, ставшую известной в связи с его исполнением, кроме случаев, предусмотренных законодательством. Обязательство действует в течение 3 (трёх) лет после прекращения Договора.</w:t>
            </w:r>
          </w:p>
        </w:tc>
        <w:tc>
          <w:tcPr>
            <w:tcW w:type="dxa" w:w="4680"/>
            <w:tcMar>
              <w:top w:type="dxa" w:w="40"/>
              <w:left w:type="dxa" w:w="100"/>
              <w:bottom w:type="dxa" w:w="40"/>
              <w:right w:type="dxa" w:w="100"/>
            </w:tcMar>
          </w:tcPr>
          <w:p>
            <w:pPr>
              <w:spacing w:after="80" w:line="264"/>
              <w:jc w:val="both"/>
            </w:pPr>
            <w:r>
              <w:rPr>
                <w:rFonts w:ascii="Times New Roman" w:cs="Times New Roman" w:eastAsia="Times New Roman" w:hAnsi="Times New Roman"/>
                <w:sz w:val="21"/>
                <w:szCs w:val="21"/>
              </w:rPr>
              <w:t xml:space="preserve">8.1. Томонлар Шартнома шартларини, сотувлар, Харидорлар ҳақидаги маълумотларни ва уни бажариш муносабати билан маълум бўлган бошқа ахборотни қонунчиликда назарда тутилган ҳоллардан ташқари ошкор қилмаслик мажбуриятини оладилар. Мажбурият Шартнома тугагандан кейин 3 (уч) йил давомида амал қилади.</w:t>
            </w:r>
          </w:p>
        </w:tc>
      </w:tr>
      <w:tr>
        <w:trPr>
          <w:cantSplit w:val="false"/>
        </w:trPr>
        <w:tc>
          <w:tcPr>
            <w:tcW w:type="dxa" w:w="4680"/>
            <w:tcMar>
              <w:top w:type="dxa" w:w="40"/>
              <w:left w:type="dxa" w:w="100"/>
              <w:bottom w:type="dxa" w:w="40"/>
              <w:right w:type="dxa" w:w="100"/>
            </w:tcMar>
          </w:tcPr>
          <w:p>
            <w:pPr>
              <w:spacing w:after="80" w:line="264"/>
              <w:jc w:val="both"/>
            </w:pPr>
            <w:r>
              <w:rPr>
                <w:rFonts w:ascii="Times New Roman" w:cs="Times New Roman" w:eastAsia="Times New Roman" w:hAnsi="Times New Roman"/>
                <w:sz w:val="21"/>
                <w:szCs w:val="21"/>
              </w:rPr>
              <w:t xml:space="preserve">8.2. Персональные данные Покупателей передаются Продавцу только в объёме, необходимом для исполнения Заказа. Продавец обрабатывает их в соответствии с Законом Республики Узбекистан «О персональных данных», не передаёт третьим лицам и уничтожает после исполнения Заказа и истечения сроков, установленных законом.</w:t>
            </w:r>
          </w:p>
        </w:tc>
        <w:tc>
          <w:tcPr>
            <w:tcW w:type="dxa" w:w="4680"/>
            <w:tcMar>
              <w:top w:type="dxa" w:w="40"/>
              <w:left w:type="dxa" w:w="100"/>
              <w:bottom w:type="dxa" w:w="40"/>
              <w:right w:type="dxa" w:w="100"/>
            </w:tcMar>
          </w:tcPr>
          <w:p>
            <w:pPr>
              <w:spacing w:after="80" w:line="264"/>
              <w:jc w:val="both"/>
            </w:pPr>
            <w:r>
              <w:rPr>
                <w:rFonts w:ascii="Times New Roman" w:cs="Times New Roman" w:eastAsia="Times New Roman" w:hAnsi="Times New Roman"/>
                <w:sz w:val="21"/>
                <w:szCs w:val="21"/>
              </w:rPr>
              <w:t xml:space="preserve">8.2. Харидорларнинг шахсга доир маълумотлари Сотувчига фақат Буюртмани бажариш учун зарур ҳажмда берилади. Сотувчи уларни Ўзбекистон Республикасининг «Шахсга доир маълумотлар тўғрисида»ги Қонунига мувофиқ қайта ишлайди, учинчи шахсларга бермайди ва Буюртма бажарилгандан ҳамда қонунда белгиланган муддатлар ўтгандан кейин йўқ қилади.</w:t>
            </w:r>
          </w:p>
        </w:tc>
      </w:tr>
      <w:tr>
        <w:trPr>
          <w:cantSplit w:val="false"/>
        </w:trPr>
        <w:tc>
          <w:tcPr>
            <w:tcW w:type="dxa" w:w="4680"/>
            <w:tcMar>
              <w:top w:type="dxa" w:w="40"/>
              <w:left w:type="dxa" w:w="100"/>
              <w:bottom w:type="dxa" w:w="40"/>
              <w:right w:type="dxa" w:w="100"/>
            </w:tcMar>
          </w:tcPr>
          <w:p>
            <w:pPr>
              <w:spacing w:after="80" w:line="264"/>
              <w:jc w:val="both"/>
            </w:pPr>
            <w:r>
              <w:rPr>
                <w:rFonts w:ascii="Times New Roman" w:cs="Times New Roman" w:eastAsia="Times New Roman" w:hAnsi="Times New Roman"/>
                <w:sz w:val="21"/>
                <w:szCs w:val="21"/>
              </w:rPr>
              <w:t xml:space="preserve">8.3. Продавец предоставляет Kitobchi безвозмездную неисключительную лицензию на использование описаний и изображений Товаров на Платформе на срок действия Договора и гарантирует наличие у него прав на такой контент.</w:t>
            </w:r>
          </w:p>
        </w:tc>
        <w:tc>
          <w:tcPr>
            <w:tcW w:type="dxa" w:w="4680"/>
            <w:tcMar>
              <w:top w:type="dxa" w:w="40"/>
              <w:left w:type="dxa" w:w="100"/>
              <w:bottom w:type="dxa" w:w="40"/>
              <w:right w:type="dxa" w:w="100"/>
            </w:tcMar>
          </w:tcPr>
          <w:p>
            <w:pPr>
              <w:spacing w:after="80" w:line="264"/>
              <w:jc w:val="both"/>
            </w:pPr>
            <w:r>
              <w:rPr>
                <w:rFonts w:ascii="Times New Roman" w:cs="Times New Roman" w:eastAsia="Times New Roman" w:hAnsi="Times New Roman"/>
                <w:sz w:val="21"/>
                <w:szCs w:val="21"/>
              </w:rPr>
              <w:t xml:space="preserve">8.3. Сотувчи Kitobchi га Шартнома амал қиладиган муддатга Товарлар тавсифлари ва тасвирларидан Платформада фойдаланиш учун бепул ноэксклюзив лицензия беради ва бундай контентга ҳуқуқлари мавжудлигини кафолатлайди.</w:t>
            </w:r>
          </w:p>
        </w:tc>
      </w:tr>
      <w:tr>
        <w:trPr>
          <w:cantSplit/>
        </w:trPr>
        <w:tc>
          <w:tcPr>
            <w:tcW w:type="dxa" w:w="4680"/>
            <w:tcMar>
              <w:top w:type="dxa" w:w="40"/>
              <w:left w:type="dxa" w:w="100"/>
              <w:bottom w:type="dxa" w:w="40"/>
              <w:right w:type="dxa" w:w="100"/>
            </w:tcMar>
          </w:tcPr>
          <w:p>
            <w:pPr>
              <w:keepNext/>
              <w:spacing w:after="60" w:line="264"/>
              <w:jc w:val="center"/>
            </w:pPr>
            <w:r>
              <w:rPr>
                <w:rFonts w:ascii="Times New Roman" w:cs="Times New Roman" w:eastAsia="Times New Roman" w:hAnsi="Times New Roman"/>
                <w:b/>
                <w:bCs/>
                <w:sz w:val="21"/>
                <w:szCs w:val="21"/>
              </w:rPr>
              <w:t xml:space="preserve">9. ФОРС-МАЖОР</w:t>
            </w:r>
          </w:p>
        </w:tc>
        <w:tc>
          <w:tcPr>
            <w:tcW w:type="dxa" w:w="4680"/>
            <w:tcMar>
              <w:top w:type="dxa" w:w="40"/>
              <w:left w:type="dxa" w:w="100"/>
              <w:bottom w:type="dxa" w:w="40"/>
              <w:right w:type="dxa" w:w="100"/>
            </w:tcMar>
          </w:tcPr>
          <w:p>
            <w:pPr>
              <w:keepNext/>
              <w:spacing w:after="60" w:line="264"/>
              <w:jc w:val="center"/>
            </w:pPr>
            <w:r>
              <w:rPr>
                <w:rFonts w:ascii="Times New Roman" w:cs="Times New Roman" w:eastAsia="Times New Roman" w:hAnsi="Times New Roman"/>
                <w:b/>
                <w:bCs/>
                <w:sz w:val="21"/>
                <w:szCs w:val="21"/>
              </w:rPr>
              <w:t xml:space="preserve">9. ФОРС-МАЖОР</w:t>
            </w:r>
          </w:p>
        </w:tc>
      </w:tr>
      <w:tr>
        <w:trPr>
          <w:cantSplit w:val="false"/>
        </w:trPr>
        <w:tc>
          <w:tcPr>
            <w:tcW w:type="dxa" w:w="4680"/>
            <w:tcMar>
              <w:top w:type="dxa" w:w="40"/>
              <w:left w:type="dxa" w:w="100"/>
              <w:bottom w:type="dxa" w:w="40"/>
              <w:right w:type="dxa" w:w="100"/>
            </w:tcMar>
          </w:tcPr>
          <w:p>
            <w:pPr>
              <w:spacing w:after="80" w:line="264"/>
              <w:jc w:val="both"/>
            </w:pPr>
            <w:r>
              <w:rPr>
                <w:rFonts w:ascii="Times New Roman" w:cs="Times New Roman" w:eastAsia="Times New Roman" w:hAnsi="Times New Roman"/>
                <w:sz w:val="21"/>
                <w:szCs w:val="21"/>
              </w:rPr>
              <w:t xml:space="preserve">9.1. Стороны освобождаются от ответственности за частичное или полное неисполнение обязательств, если оно явилось следствием обстоятельств непреодолимой силы (наводнение, пожар, землетрясение, эпидемия, война, действия государственных органов и т.п.), возникших после заключения Договора. Сторона обязана известить другую Сторону о таких обстоятельствах в течение 5 (пяти) календарных дней; неизвещение лишает её права ссылаться на них.</w:t>
            </w:r>
          </w:p>
        </w:tc>
        <w:tc>
          <w:tcPr>
            <w:tcW w:type="dxa" w:w="4680"/>
            <w:tcMar>
              <w:top w:type="dxa" w:w="40"/>
              <w:left w:type="dxa" w:w="100"/>
              <w:bottom w:type="dxa" w:w="40"/>
              <w:right w:type="dxa" w:w="100"/>
            </w:tcMar>
          </w:tcPr>
          <w:p>
            <w:pPr>
              <w:spacing w:after="80" w:line="264"/>
              <w:jc w:val="both"/>
            </w:pPr>
            <w:r>
              <w:rPr>
                <w:rFonts w:ascii="Times New Roman" w:cs="Times New Roman" w:eastAsia="Times New Roman" w:hAnsi="Times New Roman"/>
                <w:sz w:val="21"/>
                <w:szCs w:val="21"/>
              </w:rPr>
              <w:t xml:space="preserve">9.1. Агар мажбуриятларнинг қисман ёки тўлиқ бажарилмаслиги Шартнома тузилгандан кейин юзага келган енгиб бўлмайдиган куч ҳолатлари (тошқин, ёнғин, зилзила, эпидемия, уруш, давлат органларининг ҳаракатлари ва ҳ.к.) оқибати бўлса, Томонлар жавобгарликдан озод этиладилар. Томон бундай ҳолатлар ҳақида 5 (беш) календарь кун ичида бошқа Томонни хабардор қилиши шарт; хабардор қилмаслик уни уларга ҳавола қилиш ҳуқуқидан маҳрум этади.</w:t>
            </w:r>
          </w:p>
        </w:tc>
      </w:tr>
      <w:tr>
        <w:trPr>
          <w:cantSplit/>
        </w:trPr>
        <w:tc>
          <w:tcPr>
            <w:tcW w:type="dxa" w:w="4680"/>
            <w:tcMar>
              <w:top w:type="dxa" w:w="40"/>
              <w:left w:type="dxa" w:w="100"/>
              <w:bottom w:type="dxa" w:w="40"/>
              <w:right w:type="dxa" w:w="100"/>
            </w:tcMar>
          </w:tcPr>
          <w:p>
            <w:pPr>
              <w:keepNext/>
              <w:spacing w:after="60" w:line="264"/>
              <w:jc w:val="center"/>
            </w:pPr>
            <w:r>
              <w:rPr>
                <w:rFonts w:ascii="Times New Roman" w:cs="Times New Roman" w:eastAsia="Times New Roman" w:hAnsi="Times New Roman"/>
                <w:b/>
                <w:bCs/>
                <w:sz w:val="21"/>
                <w:szCs w:val="21"/>
              </w:rPr>
              <w:t xml:space="preserve">10. ПОРЯДОК РАЗРЕШЕНИЯ СПОРОВ</w:t>
            </w:r>
          </w:p>
        </w:tc>
        <w:tc>
          <w:tcPr>
            <w:tcW w:type="dxa" w:w="4680"/>
            <w:tcMar>
              <w:top w:type="dxa" w:w="40"/>
              <w:left w:type="dxa" w:w="100"/>
              <w:bottom w:type="dxa" w:w="40"/>
              <w:right w:type="dxa" w:w="100"/>
            </w:tcMar>
          </w:tcPr>
          <w:p>
            <w:pPr>
              <w:keepNext/>
              <w:spacing w:after="60" w:line="264"/>
              <w:jc w:val="center"/>
            </w:pPr>
            <w:r>
              <w:rPr>
                <w:rFonts w:ascii="Times New Roman" w:cs="Times New Roman" w:eastAsia="Times New Roman" w:hAnsi="Times New Roman"/>
                <w:b/>
                <w:bCs/>
                <w:sz w:val="21"/>
                <w:szCs w:val="21"/>
              </w:rPr>
              <w:t xml:space="preserve">10. НИЗОЛАРНИ ҲАЛ ҚИЛИШ ТАРТИБИ</w:t>
            </w:r>
          </w:p>
        </w:tc>
      </w:tr>
      <w:tr>
        <w:trPr>
          <w:cantSplit w:val="false"/>
        </w:trPr>
        <w:tc>
          <w:tcPr>
            <w:tcW w:type="dxa" w:w="4680"/>
            <w:tcMar>
              <w:top w:type="dxa" w:w="40"/>
              <w:left w:type="dxa" w:w="100"/>
              <w:bottom w:type="dxa" w:w="40"/>
              <w:right w:type="dxa" w:w="100"/>
            </w:tcMar>
          </w:tcPr>
          <w:p>
            <w:pPr>
              <w:spacing w:after="80" w:line="264"/>
              <w:jc w:val="both"/>
            </w:pPr>
            <w:r>
              <w:rPr>
                <w:rFonts w:ascii="Times New Roman" w:cs="Times New Roman" w:eastAsia="Times New Roman" w:hAnsi="Times New Roman"/>
                <w:sz w:val="21"/>
                <w:szCs w:val="21"/>
              </w:rPr>
              <w:t xml:space="preserve">10.1. Споры разрешаются путём переговоров. Соблюдение претензионного порядка обязательно; срок ответа на претензию — 15 (пятнадцать) календарных дней. При недостижении согласия спор передаётся на рассмотрение в экономический суд по месту нахождения Kitobchi, а в случаях, когда стороной является физическое лицо, — в суд в порядке, установленном законодательством Республики Узбекистан.</w:t>
            </w:r>
          </w:p>
        </w:tc>
        <w:tc>
          <w:tcPr>
            <w:tcW w:type="dxa" w:w="4680"/>
            <w:tcMar>
              <w:top w:type="dxa" w:w="40"/>
              <w:left w:type="dxa" w:w="100"/>
              <w:bottom w:type="dxa" w:w="40"/>
              <w:right w:type="dxa" w:w="100"/>
            </w:tcMar>
          </w:tcPr>
          <w:p>
            <w:pPr>
              <w:spacing w:after="80" w:line="264"/>
              <w:jc w:val="both"/>
            </w:pPr>
            <w:r>
              <w:rPr>
                <w:rFonts w:ascii="Times New Roman" w:cs="Times New Roman" w:eastAsia="Times New Roman" w:hAnsi="Times New Roman"/>
                <w:sz w:val="21"/>
                <w:szCs w:val="21"/>
              </w:rPr>
              <w:t xml:space="preserve">10.1. Низолар музокаралар йўли билан ҳал қилинади. Талабнома тартибига риоя қилиш мажбурий; талабномага жавоб бериш муддати — 15 (ўн беш) календарь кун. Келишувга эришилмаганда низо Kitobchi жойлашган ердаги иқтисодий судга, тараф жисмоний шахс бўлган ҳолларда эса — Ўзбекистон Республикаси қонунчилигида белгиланган тартибда судга кўриб чиқиш учун топширилади.</w:t>
            </w:r>
          </w:p>
        </w:tc>
      </w:tr>
      <w:tr>
        <w:trPr>
          <w:cantSplit/>
        </w:trPr>
        <w:tc>
          <w:tcPr>
            <w:tcW w:type="dxa" w:w="4680"/>
            <w:tcMar>
              <w:top w:type="dxa" w:w="40"/>
              <w:left w:type="dxa" w:w="100"/>
              <w:bottom w:type="dxa" w:w="40"/>
              <w:right w:type="dxa" w:w="100"/>
            </w:tcMar>
          </w:tcPr>
          <w:p>
            <w:pPr>
              <w:keepNext/>
              <w:spacing w:after="60" w:line="264"/>
              <w:jc w:val="center"/>
            </w:pPr>
            <w:r>
              <w:rPr>
                <w:rFonts w:ascii="Times New Roman" w:cs="Times New Roman" w:eastAsia="Times New Roman" w:hAnsi="Times New Roman"/>
                <w:b/>
                <w:bCs/>
                <w:sz w:val="21"/>
                <w:szCs w:val="21"/>
              </w:rPr>
              <w:t xml:space="preserve">11. СРОК ДЕЙСТВИЯ И РАСТОРЖЕНИЕ ДОГОВОРА</w:t>
            </w:r>
          </w:p>
        </w:tc>
        <w:tc>
          <w:tcPr>
            <w:tcW w:type="dxa" w:w="4680"/>
            <w:tcMar>
              <w:top w:type="dxa" w:w="40"/>
              <w:left w:type="dxa" w:w="100"/>
              <w:bottom w:type="dxa" w:w="40"/>
              <w:right w:type="dxa" w:w="100"/>
            </w:tcMar>
          </w:tcPr>
          <w:p>
            <w:pPr>
              <w:keepNext/>
              <w:spacing w:after="60" w:line="264"/>
              <w:jc w:val="center"/>
            </w:pPr>
            <w:r>
              <w:rPr>
                <w:rFonts w:ascii="Times New Roman" w:cs="Times New Roman" w:eastAsia="Times New Roman" w:hAnsi="Times New Roman"/>
                <w:b/>
                <w:bCs/>
                <w:sz w:val="21"/>
                <w:szCs w:val="21"/>
              </w:rPr>
              <w:t xml:space="preserve">11. ШАРТНОМАНИНГ АМАЛ ҚИЛИШ МУДДАТИ ВА УНИ БЕКОР ҚИЛИШ</w:t>
            </w:r>
          </w:p>
        </w:tc>
      </w:tr>
      <w:tr>
        <w:trPr>
          <w:cantSplit w:val="false"/>
        </w:trPr>
        <w:tc>
          <w:tcPr>
            <w:tcW w:type="dxa" w:w="4680"/>
            <w:tcMar>
              <w:top w:type="dxa" w:w="40"/>
              <w:left w:type="dxa" w:w="100"/>
              <w:bottom w:type="dxa" w:w="40"/>
              <w:right w:type="dxa" w:w="100"/>
            </w:tcMar>
          </w:tcPr>
          <w:p>
            <w:pPr>
              <w:spacing w:after="80" w:line="264"/>
              <w:jc w:val="both"/>
            </w:pPr>
            <w:r>
              <w:rPr>
                <w:rFonts w:ascii="Times New Roman" w:cs="Times New Roman" w:eastAsia="Times New Roman" w:hAnsi="Times New Roman"/>
                <w:sz w:val="21"/>
                <w:szCs w:val="21"/>
              </w:rPr>
              <w:t xml:space="preserve">11.1. Договор вступает в силу с момента подписания и действует бессрочно.</w:t>
            </w:r>
          </w:p>
        </w:tc>
        <w:tc>
          <w:tcPr>
            <w:tcW w:type="dxa" w:w="4680"/>
            <w:tcMar>
              <w:top w:type="dxa" w:w="40"/>
              <w:left w:type="dxa" w:w="100"/>
              <w:bottom w:type="dxa" w:w="40"/>
              <w:right w:type="dxa" w:w="100"/>
            </w:tcMar>
          </w:tcPr>
          <w:p>
            <w:pPr>
              <w:spacing w:after="80" w:line="264"/>
              <w:jc w:val="both"/>
            </w:pPr>
            <w:r>
              <w:rPr>
                <w:rFonts w:ascii="Times New Roman" w:cs="Times New Roman" w:eastAsia="Times New Roman" w:hAnsi="Times New Roman"/>
                <w:sz w:val="21"/>
                <w:szCs w:val="21"/>
              </w:rPr>
              <w:t xml:space="preserve">11.1. Шартнома имзоланган пайтдан бошлаб кучга киради ва муддатсиз амал қилади.</w:t>
            </w:r>
          </w:p>
        </w:tc>
      </w:tr>
      <w:tr>
        <w:trPr>
          <w:cantSplit w:val="false"/>
        </w:trPr>
        <w:tc>
          <w:tcPr>
            <w:tcW w:type="dxa" w:w="4680"/>
            <w:tcMar>
              <w:top w:type="dxa" w:w="40"/>
              <w:left w:type="dxa" w:w="100"/>
              <w:bottom w:type="dxa" w:w="40"/>
              <w:right w:type="dxa" w:w="100"/>
            </w:tcMar>
          </w:tcPr>
          <w:p>
            <w:pPr>
              <w:spacing w:after="80" w:line="264"/>
              <w:jc w:val="both"/>
            </w:pPr>
            <w:r>
              <w:rPr>
                <w:rFonts w:ascii="Times New Roman" w:cs="Times New Roman" w:eastAsia="Times New Roman" w:hAnsi="Times New Roman"/>
                <w:sz w:val="21"/>
                <w:szCs w:val="21"/>
              </w:rPr>
              <w:t xml:space="preserve">11.2. Каждая Сторона вправе расторгнуть Договор, уведомив другую Сторону не менее чем за {{bekor_kun}} календарных дней. Kitobchi вправе расторгнуть Договор немедленно при нарушении Продавцом п. 4.1, 4.2 или 4.5.</w:t>
            </w:r>
          </w:p>
        </w:tc>
        <w:tc>
          <w:tcPr>
            <w:tcW w:type="dxa" w:w="4680"/>
            <w:tcMar>
              <w:top w:type="dxa" w:w="40"/>
              <w:left w:type="dxa" w:w="100"/>
              <w:bottom w:type="dxa" w:w="40"/>
              <w:right w:type="dxa" w:w="100"/>
            </w:tcMar>
          </w:tcPr>
          <w:p>
            <w:pPr>
              <w:spacing w:after="80" w:line="264"/>
              <w:jc w:val="both"/>
            </w:pPr>
            <w:r>
              <w:rPr>
                <w:rFonts w:ascii="Times New Roman" w:cs="Times New Roman" w:eastAsia="Times New Roman" w:hAnsi="Times New Roman"/>
                <w:sz w:val="21"/>
                <w:szCs w:val="21"/>
              </w:rPr>
              <w:t xml:space="preserve">11.2. Ҳар бир Томон бошқа Томонни камида {{bekor_kun}} календарь кун олдин хабардор қилиб, Шартномани бекор қилишга ҳақли. Сотувчи 4.1, 4.2 ёки 4.5-бандларни бузганда Kitobchi Шартномани дарҳол бекор қилишга ҳақли.</w:t>
            </w:r>
          </w:p>
        </w:tc>
      </w:tr>
      <w:tr>
        <w:trPr>
          <w:cantSplit w:val="false"/>
        </w:trPr>
        <w:tc>
          <w:tcPr>
            <w:tcW w:type="dxa" w:w="4680"/>
            <w:tcMar>
              <w:top w:type="dxa" w:w="40"/>
              <w:left w:type="dxa" w:w="100"/>
              <w:bottom w:type="dxa" w:w="40"/>
              <w:right w:type="dxa" w:w="100"/>
            </w:tcMar>
          </w:tcPr>
          <w:p>
            <w:pPr>
              <w:spacing w:after="80" w:line="264"/>
              <w:jc w:val="both"/>
            </w:pPr>
            <w:r>
              <w:rPr>
                <w:rFonts w:ascii="Times New Roman" w:cs="Times New Roman" w:eastAsia="Times New Roman" w:hAnsi="Times New Roman"/>
                <w:sz w:val="21"/>
                <w:szCs w:val="21"/>
              </w:rPr>
              <w:t xml:space="preserve">11.3. Расторжение Договора не освобождает Стороны от исполнения Заказов, оформленных до даты расторжения, и от завершения взаиморасчётов, которые производятся в течение 30 (тридцати) календарных дней.</w:t>
            </w:r>
          </w:p>
        </w:tc>
        <w:tc>
          <w:tcPr>
            <w:tcW w:type="dxa" w:w="4680"/>
            <w:tcMar>
              <w:top w:type="dxa" w:w="40"/>
              <w:left w:type="dxa" w:w="100"/>
              <w:bottom w:type="dxa" w:w="40"/>
              <w:right w:type="dxa" w:w="100"/>
            </w:tcMar>
          </w:tcPr>
          <w:p>
            <w:pPr>
              <w:spacing w:after="80" w:line="264"/>
              <w:jc w:val="both"/>
            </w:pPr>
            <w:r>
              <w:rPr>
                <w:rFonts w:ascii="Times New Roman" w:cs="Times New Roman" w:eastAsia="Times New Roman" w:hAnsi="Times New Roman"/>
                <w:sz w:val="21"/>
                <w:szCs w:val="21"/>
              </w:rPr>
              <w:t xml:space="preserve">11.3. Шартноманинг бекор қилиниши Томонларни бекор қилиш санасигача расмийлаштирилган Буюртмаларни бажаришдан ва 30 (ўттиз) календарь кун ичида амалга ошириладиган ўзаро ҳисоб-китобларни якунлашдан озод этмайди.</w:t>
            </w:r>
          </w:p>
        </w:tc>
      </w:tr>
      <w:tr>
        <w:trPr>
          <w:cantSplit/>
        </w:trPr>
        <w:tc>
          <w:tcPr>
            <w:tcW w:type="dxa" w:w="4680"/>
            <w:tcMar>
              <w:top w:type="dxa" w:w="40"/>
              <w:left w:type="dxa" w:w="100"/>
              <w:bottom w:type="dxa" w:w="40"/>
              <w:right w:type="dxa" w:w="100"/>
            </w:tcMar>
          </w:tcPr>
          <w:p>
            <w:pPr>
              <w:keepNext/>
              <w:spacing w:after="60" w:line="264"/>
              <w:jc w:val="center"/>
            </w:pPr>
            <w:r>
              <w:rPr>
                <w:rFonts w:ascii="Times New Roman" w:cs="Times New Roman" w:eastAsia="Times New Roman" w:hAnsi="Times New Roman"/>
                <w:b/>
                <w:bCs/>
                <w:sz w:val="21"/>
                <w:szCs w:val="21"/>
              </w:rPr>
              <w:t xml:space="preserve">12. ЗАКЛЮЧИТЕЛЬНЫЕ ПОЛОЖЕНИЯ</w:t>
            </w:r>
          </w:p>
        </w:tc>
        <w:tc>
          <w:tcPr>
            <w:tcW w:type="dxa" w:w="4680"/>
            <w:tcMar>
              <w:top w:type="dxa" w:w="40"/>
              <w:left w:type="dxa" w:w="100"/>
              <w:bottom w:type="dxa" w:w="40"/>
              <w:right w:type="dxa" w:w="100"/>
            </w:tcMar>
          </w:tcPr>
          <w:p>
            <w:pPr>
              <w:keepNext/>
              <w:spacing w:after="60" w:line="264"/>
              <w:jc w:val="center"/>
            </w:pPr>
            <w:r>
              <w:rPr>
                <w:rFonts w:ascii="Times New Roman" w:cs="Times New Roman" w:eastAsia="Times New Roman" w:hAnsi="Times New Roman"/>
                <w:b/>
                <w:bCs/>
                <w:sz w:val="21"/>
                <w:szCs w:val="21"/>
              </w:rPr>
              <w:t xml:space="preserve">12. ЯКУНЛОВЧИ ҚОИДАЛАР</w:t>
            </w:r>
          </w:p>
        </w:tc>
      </w:tr>
      <w:tr>
        <w:trPr>
          <w:cantSplit w:val="false"/>
        </w:trPr>
        <w:tc>
          <w:tcPr>
            <w:tcW w:type="dxa" w:w="4680"/>
            <w:tcMar>
              <w:top w:type="dxa" w:w="40"/>
              <w:left w:type="dxa" w:w="100"/>
              <w:bottom w:type="dxa" w:w="40"/>
              <w:right w:type="dxa" w:w="100"/>
            </w:tcMar>
          </w:tcPr>
          <w:p>
            <w:pPr>
              <w:spacing w:after="80" w:line="264"/>
              <w:jc w:val="both"/>
            </w:pPr>
            <w:r>
              <w:rPr>
                <w:rFonts w:ascii="Times New Roman" w:cs="Times New Roman" w:eastAsia="Times New Roman" w:hAnsi="Times New Roman"/>
                <w:sz w:val="21"/>
                <w:szCs w:val="21"/>
              </w:rPr>
              <w:t xml:space="preserve">12.1. Неотъемлемой частью Договора являются Правила для Продавцов и иные документы, опубликованные на сайте {{kompaniya_sayt}} в разделе «Правовые документы». Изменения и дополнения к Договору оформляются дополнительными соглашениями.</w:t>
            </w:r>
          </w:p>
        </w:tc>
        <w:tc>
          <w:tcPr>
            <w:tcW w:type="dxa" w:w="4680"/>
            <w:tcMar>
              <w:top w:type="dxa" w:w="40"/>
              <w:left w:type="dxa" w:w="100"/>
              <w:bottom w:type="dxa" w:w="40"/>
              <w:right w:type="dxa" w:w="100"/>
            </w:tcMar>
          </w:tcPr>
          <w:p>
            <w:pPr>
              <w:spacing w:after="80" w:line="264"/>
              <w:jc w:val="both"/>
            </w:pPr>
            <w:r>
              <w:rPr>
                <w:rFonts w:ascii="Times New Roman" w:cs="Times New Roman" w:eastAsia="Times New Roman" w:hAnsi="Times New Roman"/>
                <w:sz w:val="21"/>
                <w:szCs w:val="21"/>
              </w:rPr>
              <w:t xml:space="preserve">12.1. Сотувчилар учун қоидалар ва {{kompaniya_sayt}} сайтининг «Ҳуқуқий ҳужжатлар» бўлимида эълон қилинган бошқа ҳужжатлар Шартноманинг ажралмас қисми ҳисобланади. Шартномага ўзгартириш ва қўшимчалар қўшимча келишувлар билан расмийлаштирилади.</w:t>
            </w:r>
          </w:p>
        </w:tc>
      </w:tr>
      <w:tr>
        <w:trPr>
          <w:cantSplit w:val="false"/>
        </w:trPr>
        <w:tc>
          <w:tcPr>
            <w:tcW w:type="dxa" w:w="4680"/>
            <w:tcMar>
              <w:top w:type="dxa" w:w="40"/>
              <w:left w:type="dxa" w:w="100"/>
              <w:bottom w:type="dxa" w:w="40"/>
              <w:right w:type="dxa" w:w="100"/>
            </w:tcMar>
          </w:tcPr>
          <w:p>
            <w:pPr>
              <w:spacing w:after="80" w:line="264"/>
              <w:jc w:val="both"/>
            </w:pPr>
            <w:r>
              <w:rPr>
                <w:rFonts w:ascii="Times New Roman" w:cs="Times New Roman" w:eastAsia="Times New Roman" w:hAnsi="Times New Roman"/>
                <w:sz w:val="21"/>
                <w:szCs w:val="21"/>
              </w:rPr>
              <w:t xml:space="preserve">12.2. Уведомления направляются через Личный кабинет, по электронной почте и номерам телефонов, указанным в разделе 13, либо через систему электронного документооборота. Документы, подписанные электронной цифровой подписью, имеют юридическую силу документов на бумажном носителе.</w:t>
            </w:r>
          </w:p>
        </w:tc>
        <w:tc>
          <w:tcPr>
            <w:tcW w:type="dxa" w:w="4680"/>
            <w:tcMar>
              <w:top w:type="dxa" w:w="40"/>
              <w:left w:type="dxa" w:w="100"/>
              <w:bottom w:type="dxa" w:w="40"/>
              <w:right w:type="dxa" w:w="100"/>
            </w:tcMar>
          </w:tcPr>
          <w:p>
            <w:pPr>
              <w:spacing w:after="80" w:line="264"/>
              <w:jc w:val="both"/>
            </w:pPr>
            <w:r>
              <w:rPr>
                <w:rFonts w:ascii="Times New Roman" w:cs="Times New Roman" w:eastAsia="Times New Roman" w:hAnsi="Times New Roman"/>
                <w:sz w:val="21"/>
                <w:szCs w:val="21"/>
              </w:rPr>
              <w:t xml:space="preserve">12.2. Хабарномалар Шахсий кабинет, 13-бўлимда кўрсатилган электрон почта ва телефон рақамлари орқали ёки электрон ҳужжат айланиш тизими орқали юборилади. Электрон рақамли имзо билан имзоланган ҳужжатлар қоғоз шаклидаги ҳужжатлар каби юридик кучга эга.</w:t>
            </w:r>
          </w:p>
        </w:tc>
      </w:tr>
      <w:tr>
        <w:trPr>
          <w:cantSplit w:val="false"/>
        </w:trPr>
        <w:tc>
          <w:tcPr>
            <w:tcW w:type="dxa" w:w="4680"/>
            <w:tcMar>
              <w:top w:type="dxa" w:w="40"/>
              <w:left w:type="dxa" w:w="100"/>
              <w:bottom w:type="dxa" w:w="40"/>
              <w:right w:type="dxa" w:w="100"/>
            </w:tcMar>
          </w:tcPr>
          <w:p>
            <w:pPr>
              <w:spacing w:after="80" w:line="264"/>
              <w:jc w:val="both"/>
            </w:pPr>
            <w:r>
              <w:rPr>
                <w:rFonts w:ascii="Times New Roman" w:cs="Times New Roman" w:eastAsia="Times New Roman" w:hAnsi="Times New Roman"/>
                <w:sz w:val="21"/>
                <w:szCs w:val="21"/>
              </w:rPr>
              <w:t xml:space="preserve">12.3. Договор составлен в двух экземплярах на русском и узбекском языках, имеющих равную юридическую силу. При расхождении текстов приоритет имеет текст на узбекском языке.</w:t>
            </w:r>
          </w:p>
        </w:tc>
        <w:tc>
          <w:tcPr>
            <w:tcW w:type="dxa" w:w="4680"/>
            <w:tcMar>
              <w:top w:type="dxa" w:w="40"/>
              <w:left w:type="dxa" w:w="100"/>
              <w:bottom w:type="dxa" w:w="40"/>
              <w:right w:type="dxa" w:w="100"/>
            </w:tcMar>
          </w:tcPr>
          <w:p>
            <w:pPr>
              <w:spacing w:after="80" w:line="264"/>
              <w:jc w:val="both"/>
            </w:pPr>
            <w:r>
              <w:rPr>
                <w:rFonts w:ascii="Times New Roman" w:cs="Times New Roman" w:eastAsia="Times New Roman" w:hAnsi="Times New Roman"/>
                <w:sz w:val="21"/>
                <w:szCs w:val="21"/>
              </w:rPr>
              <w:t xml:space="preserve">12.3. Шартнома рус ва ўзбек тилларида тенг юридик кучга эга бўлган икки нусхада тузилди. Матнлар ўртасида тафовут бўлганда ўзбек тилидаги матн устун ҳисобланади.</w:t>
            </w:r>
          </w:p>
        </w:tc>
      </w:tr>
    </w:tbl>
    <w:p>
      <w:pPr>
        <w:spacing w:after="120" w:line="264"/>
        <w:jc w:val="both"/>
      </w:pPr>
      <w:r>
        <w:rPr>
          <w:rFonts w:ascii="Times New Roman" w:cs="Times New Roman" w:eastAsia="Times New Roman" w:hAnsi="Times New Roman"/>
          <w:sz w:val="21"/>
          <w:szCs w:val="21"/>
        </w:rPr>
        <w:t xml:space="preserve"/>
      </w:r>
    </w:p>
    <w:p>
      <w:pPr>
        <w:keepNext/>
        <w:spacing w:after="120" w:line="264"/>
        <w:jc w:val="center"/>
      </w:pPr>
      <w:r>
        <w:rPr>
          <w:rFonts w:ascii="Times New Roman" w:cs="Times New Roman" w:eastAsia="Times New Roman" w:hAnsi="Times New Roman"/>
          <w:b/>
          <w:bCs/>
          <w:sz w:val="21"/>
          <w:szCs w:val="21"/>
        </w:rPr>
        <w:t xml:space="preserve">13. РЕКВИЗИТЫ И ПОДПИСИ СТОРОН / ТОМОНЛАРНИНГ РЕКВИЗИТЛАРИ ВА ИМЗОЛАРИ</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rPr>
          <w:cantSplit/>
        </w:trPr>
        <w:tc>
          <w:tcPr>
            <w:tcW w:type="dxa" w:w="4680"/>
            <w:tcMar>
              <w:top w:type="dxa" w:w="40"/>
              <w:left w:type="dxa" w:w="100"/>
              <w:bottom w:type="dxa" w:w="40"/>
              <w:right w:type="dxa" w:w="100"/>
            </w:tcMar>
          </w:tcPr>
          <w:p>
            <w:pPr>
              <w:spacing w:after="60" w:line="264"/>
              <w:jc w:val="left"/>
            </w:pPr>
            <w:r>
              <w:rPr>
                <w:rFonts w:ascii="Times New Roman" w:cs="Times New Roman" w:eastAsia="Times New Roman" w:hAnsi="Times New Roman"/>
                <w:b/>
                <w:bCs/>
                <w:sz w:val="21"/>
                <w:szCs w:val="21"/>
              </w:rPr>
              <w:t xml:space="preserve">KITOBCHI</w:t>
            </w:r>
          </w:p>
          <w:p>
            <w:pPr>
              <w:spacing w:after="30" w:line="264"/>
              <w:jc w:val="left"/>
            </w:pPr>
            <w:r>
              <w:rPr>
                <w:rFonts w:ascii="Times New Roman" w:cs="Times New Roman" w:eastAsia="Times New Roman" w:hAnsi="Times New Roman"/>
                <w:sz w:val="21"/>
                <w:szCs w:val="21"/>
              </w:rPr>
              <w:t xml:space="preserve"/>
            </w:r>
            <w:r>
              <w:rPr>
                <w:rFonts w:ascii="Times New Roman" w:cs="Times New Roman" w:eastAsia="Times New Roman" w:hAnsi="Times New Roman"/>
                <w:b/>
                <w:bCs/>
                <w:sz w:val="21"/>
                <w:szCs w:val="21"/>
              </w:rPr>
              <w:t xml:space="preserve">{{kompaniya_nomi}}</w:t>
            </w:r>
          </w:p>
          <w:p>
            <w:pPr>
              <w:spacing w:after="30" w:line="264"/>
              <w:jc w:val="left"/>
            </w:pPr>
            <w:r>
              <w:rPr>
                <w:rFonts w:ascii="Times New Roman" w:cs="Times New Roman" w:eastAsia="Times New Roman" w:hAnsi="Times New Roman"/>
                <w:sz w:val="21"/>
                <w:szCs w:val="21"/>
              </w:rPr>
              <w:t xml:space="preserve">Адрес / Манзил: </w:t>
            </w:r>
            <w:r>
              <w:rPr>
                <w:rFonts w:ascii="Times New Roman" w:cs="Times New Roman" w:eastAsia="Times New Roman" w:hAnsi="Times New Roman"/>
                <w:sz w:val="21"/>
                <w:szCs w:val="21"/>
              </w:rPr>
              <w:t xml:space="preserve">{{kompaniya_manzil}}</w:t>
            </w:r>
          </w:p>
          <w:p>
            <w:pPr>
              <w:spacing w:after="30" w:line="264"/>
              <w:jc w:val="left"/>
            </w:pPr>
            <w:r>
              <w:rPr>
                <w:rFonts w:ascii="Times New Roman" w:cs="Times New Roman" w:eastAsia="Times New Roman" w:hAnsi="Times New Roman"/>
                <w:sz w:val="21"/>
                <w:szCs w:val="21"/>
              </w:rPr>
              <w:t xml:space="preserve">Р/с / Ҳ/р: </w:t>
            </w:r>
            <w:r>
              <w:rPr>
                <w:rFonts w:ascii="Times New Roman" w:cs="Times New Roman" w:eastAsia="Times New Roman" w:hAnsi="Times New Roman"/>
                <w:sz w:val="21"/>
                <w:szCs w:val="21"/>
              </w:rPr>
              <w:t xml:space="preserve">{{kompaniya_hisob}}</w:t>
            </w:r>
          </w:p>
          <w:p>
            <w:pPr>
              <w:spacing w:after="30" w:line="264"/>
              <w:jc w:val="left"/>
            </w:pPr>
            <w:r>
              <w:rPr>
                <w:rFonts w:ascii="Times New Roman" w:cs="Times New Roman" w:eastAsia="Times New Roman" w:hAnsi="Times New Roman"/>
                <w:sz w:val="21"/>
                <w:szCs w:val="21"/>
              </w:rPr>
              <w:t xml:space="preserve">Банк: </w:t>
            </w:r>
            <w:r>
              <w:rPr>
                <w:rFonts w:ascii="Times New Roman" w:cs="Times New Roman" w:eastAsia="Times New Roman" w:hAnsi="Times New Roman"/>
                <w:sz w:val="21"/>
                <w:szCs w:val="21"/>
              </w:rPr>
              <w:t xml:space="preserve">{{kompaniya_bank}}</w:t>
            </w:r>
          </w:p>
          <w:p>
            <w:pPr>
              <w:spacing w:after="30" w:line="264"/>
              <w:jc w:val="left"/>
            </w:pPr>
            <w:r>
              <w:rPr>
                <w:rFonts w:ascii="Times New Roman" w:cs="Times New Roman" w:eastAsia="Times New Roman" w:hAnsi="Times New Roman"/>
                <w:sz w:val="21"/>
                <w:szCs w:val="21"/>
              </w:rPr>
              <w:t xml:space="preserve">МФО: </w:t>
            </w:r>
            <w:r>
              <w:rPr>
                <w:rFonts w:ascii="Times New Roman" w:cs="Times New Roman" w:eastAsia="Times New Roman" w:hAnsi="Times New Roman"/>
                <w:sz w:val="21"/>
                <w:szCs w:val="21"/>
              </w:rPr>
              <w:t xml:space="preserve">{{kompaniya_mfo}}</w:t>
            </w:r>
          </w:p>
          <w:p>
            <w:pPr>
              <w:spacing w:after="30" w:line="264"/>
              <w:jc w:val="left"/>
            </w:pPr>
            <w:r>
              <w:rPr>
                <w:rFonts w:ascii="Times New Roman" w:cs="Times New Roman" w:eastAsia="Times New Roman" w:hAnsi="Times New Roman"/>
                <w:sz w:val="21"/>
                <w:szCs w:val="21"/>
              </w:rPr>
              <w:t xml:space="preserve">ИНН / СТИР: </w:t>
            </w:r>
            <w:r>
              <w:rPr>
                <w:rFonts w:ascii="Times New Roman" w:cs="Times New Roman" w:eastAsia="Times New Roman" w:hAnsi="Times New Roman"/>
                <w:sz w:val="21"/>
                <w:szCs w:val="21"/>
              </w:rPr>
              <w:t xml:space="preserve">{{kompaniya_stir}}</w:t>
            </w:r>
          </w:p>
          <w:p>
            <w:pPr>
              <w:spacing w:after="30" w:line="264"/>
              <w:jc w:val="left"/>
            </w:pPr>
            <w:r>
              <w:rPr>
                <w:rFonts w:ascii="Times New Roman" w:cs="Times New Roman" w:eastAsia="Times New Roman" w:hAnsi="Times New Roman"/>
                <w:sz w:val="21"/>
                <w:szCs w:val="21"/>
              </w:rPr>
              <w:t xml:space="preserve">Тел.: </w:t>
            </w:r>
            <w:r>
              <w:rPr>
                <w:rFonts w:ascii="Times New Roman" w:cs="Times New Roman" w:eastAsia="Times New Roman" w:hAnsi="Times New Roman"/>
                <w:sz w:val="21"/>
                <w:szCs w:val="21"/>
              </w:rPr>
              <w:t xml:space="preserve">{{kompaniya_telefon}}</w:t>
            </w:r>
          </w:p>
          <w:p>
            <w:pPr>
              <w:spacing w:after="30" w:line="264"/>
              <w:jc w:val="left"/>
            </w:pPr>
            <w:r>
              <w:rPr>
                <w:rFonts w:ascii="Times New Roman" w:cs="Times New Roman" w:eastAsia="Times New Roman" w:hAnsi="Times New Roman"/>
                <w:sz w:val="21"/>
                <w:szCs w:val="21"/>
              </w:rPr>
              <w:t xml:space="preserve">E-mail: </w:t>
            </w:r>
            <w:r>
              <w:rPr>
                <w:rFonts w:ascii="Times New Roman" w:cs="Times New Roman" w:eastAsia="Times New Roman" w:hAnsi="Times New Roman"/>
                <w:sz w:val="21"/>
                <w:szCs w:val="21"/>
              </w:rPr>
              <w:t xml:space="preserve">{{kompaniya_email}}</w:t>
            </w:r>
          </w:p>
          <w:p>
            <w:pPr>
              <w:spacing w:after="120" w:line="264"/>
              <w:jc w:val="both"/>
            </w:pPr>
            <w:r>
              <w:rPr>
                <w:rFonts w:ascii="Times New Roman" w:cs="Times New Roman" w:eastAsia="Times New Roman" w:hAnsi="Times New Roman"/>
                <w:sz w:val="21"/>
                <w:szCs w:val="21"/>
              </w:rPr>
              <w:t xml:space="preserve"/>
            </w:r>
          </w:p>
          <w:p>
            <w:pPr>
              <w:spacing w:after="30" w:line="264"/>
              <w:jc w:val="left"/>
            </w:pPr>
            <w:r>
              <w:rPr>
                <w:rFonts w:ascii="Times New Roman" w:cs="Times New Roman" w:eastAsia="Times New Roman" w:hAnsi="Times New Roman"/>
                <w:sz w:val="21"/>
                <w:szCs w:val="21"/>
              </w:rPr>
              <w:t xml:space="preserve">ИП / ЯТТ: </w:t>
            </w:r>
            <w:r>
              <w:rPr>
                <w:rFonts w:ascii="Times New Roman" w:cs="Times New Roman" w:eastAsia="Times New Roman" w:hAnsi="Times New Roman"/>
                <w:sz w:val="21"/>
                <w:szCs w:val="21"/>
              </w:rPr>
              <w:t xml:space="preserve">{{kompaniya_rahbari_qisqa_ru}}  ____________</w:t>
            </w:r>
          </w:p>
          <w:p>
            <w:pPr>
              <w:spacing w:after="30" w:line="264"/>
              <w:jc w:val="left"/>
            </w:pPr>
            <w:r>
              <w:rPr>
                <w:rFonts w:ascii="Times New Roman" w:cs="Times New Roman" w:eastAsia="Times New Roman" w:hAnsi="Times New Roman"/>
                <w:sz w:val="21"/>
                <w:szCs w:val="21"/>
              </w:rPr>
              <w:t xml:space="preserve"/>
            </w:r>
            <w:r>
              <w:rPr>
                <w:rFonts w:ascii="Times New Roman" w:cs="Times New Roman" w:eastAsia="Times New Roman" w:hAnsi="Times New Roman"/>
                <w:sz w:val="21"/>
                <w:szCs w:val="21"/>
              </w:rPr>
              <w:t xml:space="preserve">М.П. (при наличии) / М.Ў. (мавжуд бўлса)</w:t>
            </w:r>
          </w:p>
        </w:tc>
        <w:tc>
          <w:tcPr>
            <w:tcW w:type="dxa" w:w="4680"/>
            <w:tcMar>
              <w:top w:type="dxa" w:w="40"/>
              <w:left w:type="dxa" w:w="100"/>
              <w:bottom w:type="dxa" w:w="40"/>
              <w:right w:type="dxa" w:w="100"/>
            </w:tcMar>
          </w:tcPr>
          <w:p>
            <w:pPr>
              <w:spacing w:after="60" w:line="264"/>
              <w:jc w:val="left"/>
            </w:pPr>
            <w:r>
              <w:rPr>
                <w:rFonts w:ascii="Times New Roman" w:cs="Times New Roman" w:eastAsia="Times New Roman" w:hAnsi="Times New Roman"/>
                <w:b/>
                <w:bCs/>
                <w:sz w:val="21"/>
                <w:szCs w:val="21"/>
              </w:rPr>
              <w:t xml:space="preserve">ПРОДАВЕЦ / СОТУВЧИ</w:t>
            </w:r>
          </w:p>
          <w:p>
            <w:pPr>
              <w:spacing w:after="30" w:line="264"/>
              <w:jc w:val="left"/>
            </w:pPr>
            <w:r>
              <w:rPr>
                <w:rFonts w:ascii="Times New Roman" w:cs="Times New Roman" w:eastAsia="Times New Roman" w:hAnsi="Times New Roman"/>
                <w:i/>
                <w:iCs/>
                <w:sz w:val="19"/>
                <w:szCs w:val="19"/>
              </w:rPr>
              <w:t xml:space="preserve">Юридическое лицо / ИП — Юридик шахс / ЯТТ:</w:t>
            </w:r>
          </w:p>
          <w:p>
            <w:pPr>
              <w:spacing w:after="30" w:line="264"/>
              <w:jc w:val="left"/>
            </w:pPr>
            <w:r>
              <w:rPr>
                <w:rFonts w:ascii="Times New Roman" w:cs="Times New Roman" w:eastAsia="Times New Roman" w:hAnsi="Times New Roman"/>
                <w:sz w:val="21"/>
                <w:szCs w:val="21"/>
              </w:rPr>
              <w:t xml:space="preserve"/>
            </w:r>
            <w:r>
              <w:rPr>
                <w:rFonts w:ascii="Times New Roman" w:cs="Times New Roman" w:eastAsia="Times New Roman" w:hAnsi="Times New Roman"/>
                <w:b/>
                <w:bCs/>
                <w:sz w:val="21"/>
                <w:szCs w:val="21"/>
              </w:rPr>
              <w:t xml:space="preserve">{{sotuvchi_nomi}}</w:t>
            </w:r>
          </w:p>
          <w:p>
            <w:pPr>
              <w:spacing w:after="30" w:line="264"/>
              <w:jc w:val="left"/>
            </w:pPr>
            <w:r>
              <w:rPr>
                <w:rFonts w:ascii="Times New Roman" w:cs="Times New Roman" w:eastAsia="Times New Roman" w:hAnsi="Times New Roman"/>
                <w:sz w:val="21"/>
                <w:szCs w:val="21"/>
              </w:rPr>
              <w:t xml:space="preserve">Адрес / Манзил: </w:t>
            </w:r>
            <w:r>
              <w:rPr>
                <w:rFonts w:ascii="Times New Roman" w:cs="Times New Roman" w:eastAsia="Times New Roman" w:hAnsi="Times New Roman"/>
                <w:sz w:val="21"/>
                <w:szCs w:val="21"/>
              </w:rPr>
              <w:t xml:space="preserve">{{sotuvchi_manzil}}</w:t>
            </w:r>
          </w:p>
          <w:p>
            <w:pPr>
              <w:spacing w:after="30" w:line="264"/>
              <w:jc w:val="left"/>
            </w:pPr>
            <w:r>
              <w:rPr>
                <w:rFonts w:ascii="Times New Roman" w:cs="Times New Roman" w:eastAsia="Times New Roman" w:hAnsi="Times New Roman"/>
                <w:sz w:val="21"/>
                <w:szCs w:val="21"/>
              </w:rPr>
              <w:t xml:space="preserve">Р/с / Ҳ/р: </w:t>
            </w:r>
            <w:r>
              <w:rPr>
                <w:rFonts w:ascii="Times New Roman" w:cs="Times New Roman" w:eastAsia="Times New Roman" w:hAnsi="Times New Roman"/>
                <w:sz w:val="21"/>
                <w:szCs w:val="21"/>
              </w:rPr>
              <w:t xml:space="preserve">{{sotuvchi_hisob}}</w:t>
            </w:r>
          </w:p>
          <w:p>
            <w:pPr>
              <w:spacing w:after="30" w:line="264"/>
              <w:jc w:val="left"/>
            </w:pPr>
            <w:r>
              <w:rPr>
                <w:rFonts w:ascii="Times New Roman" w:cs="Times New Roman" w:eastAsia="Times New Roman" w:hAnsi="Times New Roman"/>
                <w:sz w:val="21"/>
                <w:szCs w:val="21"/>
              </w:rPr>
              <w:t xml:space="preserve">Банк: </w:t>
            </w:r>
            <w:r>
              <w:rPr>
                <w:rFonts w:ascii="Times New Roman" w:cs="Times New Roman" w:eastAsia="Times New Roman" w:hAnsi="Times New Roman"/>
                <w:sz w:val="21"/>
                <w:szCs w:val="21"/>
              </w:rPr>
              <w:t xml:space="preserve">{{sotuvchi_bank}}</w:t>
            </w:r>
          </w:p>
          <w:p>
            <w:pPr>
              <w:spacing w:after="30" w:line="264"/>
              <w:jc w:val="left"/>
            </w:pPr>
            <w:r>
              <w:rPr>
                <w:rFonts w:ascii="Times New Roman" w:cs="Times New Roman" w:eastAsia="Times New Roman" w:hAnsi="Times New Roman"/>
                <w:sz w:val="21"/>
                <w:szCs w:val="21"/>
              </w:rPr>
              <w:t xml:space="preserve">МФО: </w:t>
            </w:r>
            <w:r>
              <w:rPr>
                <w:rFonts w:ascii="Times New Roman" w:cs="Times New Roman" w:eastAsia="Times New Roman" w:hAnsi="Times New Roman"/>
                <w:sz w:val="21"/>
                <w:szCs w:val="21"/>
              </w:rPr>
              <w:t xml:space="preserve">{{sotuvchi_mfo}}</w:t>
            </w:r>
          </w:p>
          <w:p>
            <w:pPr>
              <w:spacing w:after="30" w:line="264"/>
              <w:jc w:val="left"/>
            </w:pPr>
            <w:r>
              <w:rPr>
                <w:rFonts w:ascii="Times New Roman" w:cs="Times New Roman" w:eastAsia="Times New Roman" w:hAnsi="Times New Roman"/>
                <w:sz w:val="21"/>
                <w:szCs w:val="21"/>
              </w:rPr>
              <w:t xml:space="preserve">ИНН / СТИР: </w:t>
            </w:r>
            <w:r>
              <w:rPr>
                <w:rFonts w:ascii="Times New Roman" w:cs="Times New Roman" w:eastAsia="Times New Roman" w:hAnsi="Times New Roman"/>
                <w:sz w:val="21"/>
                <w:szCs w:val="21"/>
              </w:rPr>
              <w:t xml:space="preserve">{{sotuvchi_stir}}</w:t>
            </w:r>
          </w:p>
          <w:p>
            <w:pPr>
              <w:spacing w:after="30" w:line="264"/>
              <w:jc w:val="left"/>
            </w:pPr>
            <w:r>
              <w:rPr>
                <w:rFonts w:ascii="Times New Roman" w:cs="Times New Roman" w:eastAsia="Times New Roman" w:hAnsi="Times New Roman"/>
                <w:sz w:val="21"/>
                <w:szCs w:val="21"/>
              </w:rPr>
              <w:t xml:space="preserve">Тел.: </w:t>
            </w:r>
            <w:r>
              <w:rPr>
                <w:rFonts w:ascii="Times New Roman" w:cs="Times New Roman" w:eastAsia="Times New Roman" w:hAnsi="Times New Roman"/>
                <w:sz w:val="21"/>
                <w:szCs w:val="21"/>
              </w:rPr>
              <w:t xml:space="preserve">{{sotuvchi_telefon}}</w:t>
            </w:r>
          </w:p>
          <w:p>
            <w:pPr>
              <w:spacing w:after="30" w:line="264"/>
              <w:jc w:val="left"/>
            </w:pPr>
            <w:r>
              <w:rPr>
                <w:rFonts w:ascii="Times New Roman" w:cs="Times New Roman" w:eastAsia="Times New Roman" w:hAnsi="Times New Roman"/>
                <w:sz w:val="21"/>
                <w:szCs w:val="21"/>
              </w:rPr>
              <w:t xml:space="preserve">E-mail: </w:t>
            </w:r>
            <w:r>
              <w:rPr>
                <w:rFonts w:ascii="Times New Roman" w:cs="Times New Roman" w:eastAsia="Times New Roman" w:hAnsi="Times New Roman"/>
                <w:sz w:val="21"/>
                <w:szCs w:val="21"/>
              </w:rPr>
              <w:t xml:space="preserve">{{sotuvchi_email}}</w:t>
            </w:r>
          </w:p>
          <w:p>
            <w:pPr>
              <w:spacing w:after="30" w:line="264"/>
              <w:jc w:val="left"/>
            </w:pPr>
            <w:r>
              <w:rPr>
                <w:rFonts w:ascii="Times New Roman" w:cs="Times New Roman" w:eastAsia="Times New Roman" w:hAnsi="Times New Roman"/>
                <w:i/>
                <w:iCs/>
                <w:sz w:val="19"/>
                <w:szCs w:val="19"/>
              </w:rPr>
              <w:t xml:space="preserve">Самозанятый / Ўзини ўзи банд қилган шахс:</w:t>
            </w:r>
          </w:p>
          <w:p>
            <w:pPr>
              <w:spacing w:after="30" w:line="264"/>
              <w:jc w:val="left"/>
            </w:pPr>
            <w:r>
              <w:rPr>
                <w:rFonts w:ascii="Times New Roman" w:cs="Times New Roman" w:eastAsia="Times New Roman" w:hAnsi="Times New Roman"/>
                <w:sz w:val="21"/>
                <w:szCs w:val="21"/>
              </w:rPr>
              <w:t xml:space="preserve">Ф.И.О. / Ф.И.Ш.: </w:t>
            </w:r>
            <w:r>
              <w:rPr>
                <w:rFonts w:ascii="Times New Roman" w:cs="Times New Roman" w:eastAsia="Times New Roman" w:hAnsi="Times New Roman"/>
                <w:sz w:val="21"/>
                <w:szCs w:val="21"/>
              </w:rPr>
              <w:t xml:space="preserve">{{sotuvchi_fish}}</w:t>
            </w:r>
          </w:p>
          <w:p>
            <w:pPr>
              <w:spacing w:after="30" w:line="264"/>
              <w:jc w:val="left"/>
            </w:pPr>
            <w:r>
              <w:rPr>
                <w:rFonts w:ascii="Times New Roman" w:cs="Times New Roman" w:eastAsia="Times New Roman" w:hAnsi="Times New Roman"/>
                <w:sz w:val="21"/>
                <w:szCs w:val="21"/>
              </w:rPr>
              <w:t xml:space="preserve">Паспорт: </w:t>
            </w:r>
            <w:r>
              <w:rPr>
                <w:rFonts w:ascii="Times New Roman" w:cs="Times New Roman" w:eastAsia="Times New Roman" w:hAnsi="Times New Roman"/>
                <w:sz w:val="21"/>
                <w:szCs w:val="21"/>
              </w:rPr>
              <w:t xml:space="preserve">{{sotuvchi_pasport}}</w:t>
            </w:r>
          </w:p>
          <w:p>
            <w:pPr>
              <w:spacing w:after="30" w:line="264"/>
              <w:jc w:val="left"/>
            </w:pPr>
            <w:r>
              <w:rPr>
                <w:rFonts w:ascii="Times New Roman" w:cs="Times New Roman" w:eastAsia="Times New Roman" w:hAnsi="Times New Roman"/>
                <w:sz w:val="21"/>
                <w:szCs w:val="21"/>
              </w:rPr>
              <w:t xml:space="preserve">Кем выдан / Ким томонидан берилган: </w:t>
            </w:r>
            <w:r>
              <w:rPr>
                <w:rFonts w:ascii="Times New Roman" w:cs="Times New Roman" w:eastAsia="Times New Roman" w:hAnsi="Times New Roman"/>
                <w:sz w:val="21"/>
                <w:szCs w:val="21"/>
              </w:rPr>
              <w:t xml:space="preserve">{{sotuvchi_pasport_kim}}</w:t>
            </w:r>
          </w:p>
          <w:p>
            <w:pPr>
              <w:spacing w:after="30" w:line="264"/>
              <w:jc w:val="left"/>
            </w:pPr>
            <w:r>
              <w:rPr>
                <w:rFonts w:ascii="Times New Roman" w:cs="Times New Roman" w:eastAsia="Times New Roman" w:hAnsi="Times New Roman"/>
                <w:sz w:val="21"/>
                <w:szCs w:val="21"/>
              </w:rPr>
              <w:t xml:space="preserve">ПИНФЛ / ЖШШИР: </w:t>
            </w:r>
            <w:r>
              <w:rPr>
                <w:rFonts w:ascii="Times New Roman" w:cs="Times New Roman" w:eastAsia="Times New Roman" w:hAnsi="Times New Roman"/>
                <w:sz w:val="21"/>
                <w:szCs w:val="21"/>
              </w:rPr>
              <w:t xml:space="preserve">{{sotuvchi_jshshir}}</w:t>
            </w:r>
          </w:p>
          <w:p>
            <w:pPr>
              <w:spacing w:after="120" w:line="264"/>
              <w:jc w:val="both"/>
            </w:pPr>
            <w:r>
              <w:rPr>
                <w:rFonts w:ascii="Times New Roman" w:cs="Times New Roman" w:eastAsia="Times New Roman" w:hAnsi="Times New Roman"/>
                <w:sz w:val="21"/>
                <w:szCs w:val="21"/>
              </w:rPr>
              <w:t xml:space="preserve"/>
            </w:r>
          </w:p>
          <w:p>
            <w:pPr>
              <w:spacing w:after="30" w:line="264"/>
              <w:jc w:val="left"/>
            </w:pPr>
            <w:r>
              <w:rPr>
                <w:rFonts w:ascii="Times New Roman" w:cs="Times New Roman" w:eastAsia="Times New Roman" w:hAnsi="Times New Roman"/>
                <w:sz w:val="21"/>
                <w:szCs w:val="21"/>
              </w:rPr>
              <w:t xml:space="preserve">Подпись / Имзо: </w:t>
            </w:r>
            <w:r>
              <w:rPr>
                <w:rFonts w:ascii="Times New Roman" w:cs="Times New Roman" w:eastAsia="Times New Roman" w:hAnsi="Times New Roman"/>
                <w:sz w:val="21"/>
                <w:szCs w:val="21"/>
              </w:rPr>
              <w:t xml:space="preserve">____________ / {{sotuvchi_rahbari}}</w:t>
            </w:r>
          </w:p>
        </w:tc>
      </w:tr>
    </w:tbl>
    <w:sectPr>
      <w:headerReference w:type="default" r:id="rId7"/>
      <w:footerReference w:type="default" r:id="rId8"/>
      <w:pgSz w:w="11906" w:h="16838" w:orient="portrait"/>
      <w:pgMar w:top="1134" w:right="1270" w:bottom="1000" w:left="127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6"/>
        <w:szCs w:val="16"/>
      </w:rPr>
      <w:t xml:space="preserve">Стр. / Бет </w:t>
    </w:r>
    <w:r>
      <w:rPr>
        <w:rFonts w:ascii="Times New Roman" w:cs="Times New Roman" w:eastAsia="Times New Roman" w:hAnsi="Times New Roman"/>
        <w:color w:val="666666"/>
        <w:sz w:val="16"/>
        <w:szCs w:val="16"/>
      </w:rPr>
      <w:fldChar w:fldCharType="begin"/>
      <w:instrText xml:space="preserve">PAGE</w:instrText>
      <w:fldChar w:fldCharType="separate"/>
      <w:fldChar w:fldCharType="end"/>
    </w:r>
    <w:r>
      <w:rPr>
        <w:rFonts w:ascii="Times New Roman" w:cs="Times New Roman" w:eastAsia="Times New Roman" w:hAnsi="Times New Roman"/>
        <w:color w:val="666666"/>
        <w:sz w:val="16"/>
        <w:szCs w:val="16"/>
      </w:rPr>
      <w:t xml:space="preserve"> / </w:t>
    </w:r>
    <w:r>
      <w:rPr>
        <w:rFonts w:ascii="Times New Roman" w:cs="Times New Roman" w:eastAsia="Times New Roman" w:hAnsi="Times New Roman"/>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space="6"/>
      </w:pBdr>
      <w:jc w:val="right"/>
    </w:pPr>
    <w:r>
      <w:drawing>
        <wp:inline distT="0" distB="0" distL="0" distR="0">
          <wp:extent cx="304800" cy="304800"/>
          <wp:effectExtent t="0" r="0" b="0" l="0"/>
          <wp:docPr id="1" name="Kitobchi" descr="Kitobchi" title="Kitobc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04800" cy="3048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3c66f38c3cbaba3fc930749ee4b15ddaa1cb2e4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Договор комиссии / Комиссия шартномаси — Kitobchi</dc:title>
  <dc:creator>Kitobchi</dc:creator>
  <cp:lastModifiedBy>Un-named</cp:lastModifiedBy>
  <cp:revision>1</cp:revision>
  <dcterms:created xsi:type="dcterms:W3CDTF">2026-10-21T20:12:14.791Z</dcterms:created>
  <dcterms:modified xsi:type="dcterms:W3CDTF">2026-10-21T20:12:14.799Z</dcterms:modified>
</cp:coreProperties>
</file>

<file path=docProps/custom.xml><?xml version="1.0" encoding="utf-8"?>
<Properties xmlns="http://schemas.openxmlformats.org/officeDocument/2006/custom-properties" xmlns:vt="http://schemas.openxmlformats.org/officeDocument/2006/docPropsVTypes"/>
</file>