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505" w:rsidRPr="00A33CC2" w:rsidRDefault="002B38C8" w:rsidP="00245E97">
      <w:pPr>
        <w:spacing w:line="480" w:lineRule="auto"/>
        <w:jc w:val="center"/>
        <w:rPr>
          <w:rFonts w:ascii="Times New Roman" w:hAnsi="Times New Roman" w:cs="Times New Roman"/>
          <w:b/>
          <w:sz w:val="24"/>
        </w:rPr>
      </w:pPr>
      <w:r w:rsidRPr="00A33CC2">
        <w:rPr>
          <w:rFonts w:ascii="Times New Roman" w:hAnsi="Times New Roman" w:cs="Times New Roman"/>
          <w:b/>
          <w:sz w:val="24"/>
        </w:rPr>
        <w:t>CHAPTER FOUR</w:t>
      </w:r>
    </w:p>
    <w:p w:rsidR="00003505" w:rsidRPr="00A33CC2" w:rsidRDefault="00003505" w:rsidP="00245E97">
      <w:pPr>
        <w:spacing w:line="480" w:lineRule="auto"/>
        <w:jc w:val="center"/>
        <w:rPr>
          <w:b/>
          <w:sz w:val="28"/>
        </w:rPr>
      </w:pPr>
      <w:r w:rsidRPr="00A33CC2">
        <w:rPr>
          <w:b/>
          <w:sz w:val="28"/>
        </w:rPr>
        <w:t>RESULT</w:t>
      </w:r>
    </w:p>
    <w:p w:rsidR="00003505" w:rsidRPr="00A33CC2" w:rsidRDefault="00AD0BF2" w:rsidP="00245E97">
      <w:pPr>
        <w:spacing w:line="480" w:lineRule="auto"/>
        <w:jc w:val="both"/>
        <w:rPr>
          <w:b/>
          <w:sz w:val="28"/>
        </w:rPr>
      </w:pPr>
      <w:r w:rsidRPr="00A33CC2">
        <w:rPr>
          <w:b/>
          <w:sz w:val="28"/>
        </w:rPr>
        <w:t>Systematic review</w:t>
      </w:r>
    </w:p>
    <w:p w:rsidR="00003505" w:rsidRPr="00A33CC2" w:rsidRDefault="00AD0BF2" w:rsidP="00245E97">
      <w:pPr>
        <w:spacing w:line="480" w:lineRule="auto"/>
        <w:jc w:val="both"/>
        <w:rPr>
          <w:rFonts w:ascii="Times New Roman" w:hAnsi="Times New Roman" w:cs="Times New Roman"/>
          <w:b/>
          <w:sz w:val="28"/>
        </w:rPr>
      </w:pPr>
      <w:r w:rsidRPr="00A33CC2">
        <w:rPr>
          <w:rFonts w:ascii="Times New Roman" w:hAnsi="Times New Roman" w:cs="Times New Roman"/>
          <w:b/>
          <w:sz w:val="28"/>
        </w:rPr>
        <w:t>4.1 Literature search</w:t>
      </w:r>
    </w:p>
    <w:p w:rsidR="00AD0BF2" w:rsidRPr="00A33CC2" w:rsidRDefault="00AD0BF2" w:rsidP="00245E97">
      <w:pPr>
        <w:spacing w:line="480" w:lineRule="auto"/>
        <w:jc w:val="both"/>
        <w:rPr>
          <w:rFonts w:ascii="Times New Roman" w:hAnsi="Times New Roman" w:cs="Times New Roman"/>
          <w:sz w:val="28"/>
        </w:rPr>
      </w:pPr>
      <w:r w:rsidRPr="00A33CC2">
        <w:rPr>
          <w:rFonts w:ascii="Times New Roman" w:hAnsi="Times New Roman" w:cs="Times New Roman"/>
          <w:sz w:val="28"/>
        </w:rPr>
        <w:t xml:space="preserve">PubMed, Google scholar, ScienceDirect, Medicine library were search from 1 </w:t>
      </w:r>
      <w:r w:rsidR="002B38C8" w:rsidRPr="00A33CC2">
        <w:rPr>
          <w:rFonts w:ascii="Times New Roman" w:hAnsi="Times New Roman" w:cs="Times New Roman"/>
          <w:sz w:val="28"/>
        </w:rPr>
        <w:t>January</w:t>
      </w:r>
      <w:r w:rsidRPr="00A33CC2">
        <w:rPr>
          <w:rFonts w:ascii="Times New Roman" w:hAnsi="Times New Roman" w:cs="Times New Roman"/>
          <w:sz w:val="28"/>
        </w:rPr>
        <w:t xml:space="preserve"> 2022 to November 2022, for available publications </w:t>
      </w:r>
      <w:r w:rsidR="002B38C8" w:rsidRPr="00A33CC2">
        <w:rPr>
          <w:rFonts w:ascii="Times New Roman" w:hAnsi="Times New Roman" w:cs="Times New Roman"/>
          <w:sz w:val="28"/>
        </w:rPr>
        <w:t>in line</w:t>
      </w:r>
      <w:r w:rsidRPr="00A33CC2">
        <w:rPr>
          <w:rFonts w:ascii="Times New Roman" w:hAnsi="Times New Roman" w:cs="Times New Roman"/>
          <w:sz w:val="28"/>
        </w:rPr>
        <w:t xml:space="preserve"> with the search MESH search terms. A total of 317 studies were imported for the screening. The numbers was reduced to 292 after the removal of </w:t>
      </w:r>
      <w:r w:rsidR="002B38C8" w:rsidRPr="00A33CC2">
        <w:rPr>
          <w:rFonts w:ascii="Times New Roman" w:hAnsi="Times New Roman" w:cs="Times New Roman"/>
          <w:sz w:val="28"/>
        </w:rPr>
        <w:t>duplicate</w:t>
      </w:r>
      <w:r w:rsidRPr="00A33CC2">
        <w:rPr>
          <w:rFonts w:ascii="Times New Roman" w:hAnsi="Times New Roman" w:cs="Times New Roman"/>
          <w:sz w:val="28"/>
        </w:rPr>
        <w:t xml:space="preserve"> of about 25. 292 studies was moved to title and abstract screening, 276 studies are irrelevant base on the title and abstract screening with regard to the inclusion and exclusion criteria. 14</w:t>
      </w:r>
      <w:r w:rsidR="00A33CC2" w:rsidRPr="00A33CC2">
        <w:rPr>
          <w:rFonts w:ascii="Times New Roman" w:hAnsi="Times New Roman" w:cs="Times New Roman"/>
          <w:sz w:val="28"/>
        </w:rPr>
        <w:t xml:space="preserve"> </w:t>
      </w:r>
      <w:r w:rsidRPr="00A33CC2">
        <w:rPr>
          <w:rFonts w:ascii="Times New Roman" w:hAnsi="Times New Roman" w:cs="Times New Roman"/>
          <w:sz w:val="28"/>
        </w:rPr>
        <w:t>studies were included for the full-text assessed for the eligibility, 14 studies was included for the qualitative study.</w:t>
      </w:r>
    </w:p>
    <w:p w:rsidR="00A33CC2" w:rsidRDefault="00A37EAD" w:rsidP="00245E97">
      <w:pPr>
        <w:spacing w:line="480" w:lineRule="auto"/>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424805" cy="7673340"/>
            <wp:effectExtent l="19050" t="0" r="4445" b="0"/>
            <wp:docPr id="3" name="Picture 2" descr="PRISMA_2020_flow_diagram_new_SRs_v1-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MA_2020_flow_diagram_new_SRs_v1-page0001.jpg"/>
                    <pic:cNvPicPr/>
                  </pic:nvPicPr>
                  <pic:blipFill>
                    <a:blip r:embed="rId7"/>
                    <a:stretch>
                      <a:fillRect/>
                    </a:stretch>
                  </pic:blipFill>
                  <pic:spPr>
                    <a:xfrm>
                      <a:off x="0" y="0"/>
                      <a:ext cx="5424805" cy="7673340"/>
                    </a:xfrm>
                    <a:prstGeom prst="rect">
                      <a:avLst/>
                    </a:prstGeom>
                  </pic:spPr>
                </pic:pic>
              </a:graphicData>
            </a:graphic>
          </wp:inline>
        </w:drawing>
      </w:r>
    </w:p>
    <w:p w:rsidR="00A33CC2" w:rsidRPr="00AD0BF2" w:rsidRDefault="00A33CC2" w:rsidP="00245E97">
      <w:pPr>
        <w:spacing w:line="480" w:lineRule="auto"/>
        <w:jc w:val="both"/>
        <w:rPr>
          <w:rFonts w:ascii="Times New Roman" w:hAnsi="Times New Roman" w:cs="Times New Roman"/>
          <w:sz w:val="32"/>
        </w:rPr>
      </w:pPr>
    </w:p>
    <w:p w:rsidR="00003505" w:rsidRPr="006561D5" w:rsidRDefault="00A33CC2" w:rsidP="00245E97">
      <w:pPr>
        <w:spacing w:line="480" w:lineRule="auto"/>
        <w:jc w:val="both"/>
        <w:rPr>
          <w:rFonts w:ascii="Times New Roman" w:hAnsi="Times New Roman" w:cs="Times New Roman"/>
          <w:b/>
          <w:sz w:val="28"/>
        </w:rPr>
      </w:pPr>
      <w:r w:rsidRPr="006561D5">
        <w:rPr>
          <w:rFonts w:ascii="Times New Roman" w:hAnsi="Times New Roman" w:cs="Times New Roman"/>
          <w:sz w:val="28"/>
        </w:rPr>
        <w:lastRenderedPageBreak/>
        <w:t xml:space="preserve"> </w:t>
      </w:r>
    </w:p>
    <w:p w:rsidR="00AD0BF2" w:rsidRPr="006561D5" w:rsidRDefault="00AD0BF2" w:rsidP="00245E97">
      <w:pPr>
        <w:spacing w:line="480" w:lineRule="auto"/>
        <w:jc w:val="both"/>
        <w:rPr>
          <w:sz w:val="24"/>
        </w:rPr>
      </w:pPr>
    </w:p>
    <w:p w:rsidR="00653B80" w:rsidRPr="00653B80" w:rsidRDefault="00653B80" w:rsidP="00245E97">
      <w:pPr>
        <w:spacing w:line="480" w:lineRule="auto"/>
        <w:jc w:val="both"/>
        <w:rPr>
          <w:rFonts w:ascii="Times New Roman" w:hAnsi="Times New Roman" w:cs="Times New Roman"/>
          <w:sz w:val="24"/>
        </w:rPr>
      </w:pPr>
      <w:r>
        <w:rPr>
          <w:b/>
          <w:sz w:val="28"/>
        </w:rPr>
        <w:t xml:space="preserve"> </w:t>
      </w:r>
      <w:r>
        <w:rPr>
          <w:rFonts w:ascii="Times New Roman" w:hAnsi="Times New Roman" w:cs="Times New Roman"/>
          <w:b/>
          <w:sz w:val="28"/>
        </w:rPr>
        <w:t>Figure 4.</w:t>
      </w:r>
      <w:r w:rsidRPr="00653B80">
        <w:rPr>
          <w:rFonts w:ascii="Times New Roman" w:hAnsi="Times New Roman" w:cs="Times New Roman"/>
          <w:b/>
          <w:sz w:val="24"/>
        </w:rPr>
        <w:t xml:space="preserve">1 </w:t>
      </w:r>
      <w:r w:rsidRPr="00653B80">
        <w:rPr>
          <w:rFonts w:ascii="Times New Roman" w:hAnsi="Times New Roman" w:cs="Times New Roman"/>
          <w:sz w:val="24"/>
        </w:rPr>
        <w:t>Showing the</w:t>
      </w:r>
      <w:r w:rsidRPr="00653B80">
        <w:rPr>
          <w:rFonts w:ascii="Times New Roman" w:hAnsi="Times New Roman" w:cs="Times New Roman"/>
          <w:b/>
          <w:sz w:val="24"/>
        </w:rPr>
        <w:t xml:space="preserve"> </w:t>
      </w:r>
      <w:r w:rsidRPr="00653B80">
        <w:rPr>
          <w:rFonts w:ascii="Times New Roman" w:hAnsi="Times New Roman" w:cs="Times New Roman"/>
          <w:sz w:val="24"/>
        </w:rPr>
        <w:t>flow of research from the literature using PRISMA standards. Only 14 of the 317 articles found through database searching met the criteria for inclusion after first and full</w:t>
      </w:r>
      <w:r>
        <w:rPr>
          <w:rFonts w:ascii="Times New Roman" w:hAnsi="Times New Roman" w:cs="Times New Roman"/>
          <w:sz w:val="24"/>
        </w:rPr>
        <w:t>-</w:t>
      </w:r>
      <w:r w:rsidRPr="00653B80">
        <w:rPr>
          <w:rFonts w:ascii="Times New Roman" w:hAnsi="Times New Roman" w:cs="Times New Roman"/>
          <w:sz w:val="24"/>
        </w:rPr>
        <w:t>text screening and were used in the qualitative analysis and synthesis.</w:t>
      </w:r>
    </w:p>
    <w:p w:rsidR="00653B80" w:rsidRDefault="00653B80" w:rsidP="00245E97">
      <w:pPr>
        <w:spacing w:line="480" w:lineRule="auto"/>
        <w:jc w:val="both"/>
        <w:rPr>
          <w:b/>
          <w:sz w:val="28"/>
        </w:rPr>
      </w:pPr>
    </w:p>
    <w:p w:rsidR="00AD0BF2" w:rsidRPr="006561D5" w:rsidRDefault="00A33CC2" w:rsidP="00245E97">
      <w:pPr>
        <w:spacing w:line="480" w:lineRule="auto"/>
        <w:jc w:val="both"/>
        <w:rPr>
          <w:b/>
          <w:sz w:val="28"/>
        </w:rPr>
      </w:pPr>
      <w:r w:rsidRPr="006561D5">
        <w:rPr>
          <w:b/>
          <w:sz w:val="28"/>
        </w:rPr>
        <w:t>4.2 Data extraction</w:t>
      </w:r>
    </w:p>
    <w:p w:rsidR="00A33CC2" w:rsidRPr="006561D5" w:rsidRDefault="00A33CC2" w:rsidP="00245E97">
      <w:pPr>
        <w:spacing w:line="480" w:lineRule="auto"/>
        <w:jc w:val="both"/>
        <w:rPr>
          <w:rFonts w:ascii="Times New Roman" w:hAnsi="Times New Roman" w:cs="Times New Roman"/>
          <w:sz w:val="28"/>
        </w:rPr>
      </w:pPr>
      <w:r w:rsidRPr="006561D5">
        <w:rPr>
          <w:rFonts w:ascii="Times New Roman" w:hAnsi="Times New Roman" w:cs="Times New Roman"/>
          <w:sz w:val="28"/>
        </w:rPr>
        <w:t xml:space="preserve">Table 1 lists the findings of the research selection as well as the details of the fourteen papers that were taken into consideration from Google Scholar, PubMed, and ScienceDirect. In 2022, all papers were published. All fourteen </w:t>
      </w:r>
      <w:r w:rsidR="006D6AB0" w:rsidRPr="006561D5">
        <w:rPr>
          <w:rFonts w:ascii="Times New Roman" w:hAnsi="Times New Roman" w:cs="Times New Roman"/>
          <w:sz w:val="28"/>
        </w:rPr>
        <w:t>researches</w:t>
      </w:r>
      <w:r w:rsidRPr="006561D5">
        <w:rPr>
          <w:rFonts w:ascii="Times New Roman" w:hAnsi="Times New Roman" w:cs="Times New Roman"/>
          <w:sz w:val="28"/>
        </w:rPr>
        <w:t xml:space="preserve"> were carried out in various nations, which includes: </w:t>
      </w:r>
      <w:r w:rsidR="0008645C" w:rsidRPr="006561D5">
        <w:rPr>
          <w:rFonts w:ascii="Times New Roman" w:hAnsi="Times New Roman" w:cs="Times New Roman"/>
          <w:sz w:val="28"/>
        </w:rPr>
        <w:t>China (n=12), Iran (n=1) and Spain (</w:t>
      </w:r>
      <w:r w:rsidR="00D93447" w:rsidRPr="006561D5">
        <w:rPr>
          <w:rFonts w:ascii="Times New Roman" w:hAnsi="Times New Roman" w:cs="Times New Roman"/>
          <w:sz w:val="28"/>
        </w:rPr>
        <w:t>n=</w:t>
      </w:r>
      <w:r w:rsidR="0008645C" w:rsidRPr="006561D5">
        <w:rPr>
          <w:rFonts w:ascii="Times New Roman" w:hAnsi="Times New Roman" w:cs="Times New Roman"/>
          <w:sz w:val="28"/>
        </w:rPr>
        <w:t>1). All the studies incl</w:t>
      </w:r>
      <w:r w:rsidR="00AE6BC4">
        <w:rPr>
          <w:rFonts w:ascii="Times New Roman" w:hAnsi="Times New Roman" w:cs="Times New Roman"/>
          <w:sz w:val="28"/>
        </w:rPr>
        <w:t>ude either the prognostic or dia</w:t>
      </w:r>
      <w:r w:rsidR="0008645C" w:rsidRPr="006561D5">
        <w:rPr>
          <w:rFonts w:ascii="Times New Roman" w:hAnsi="Times New Roman" w:cs="Times New Roman"/>
          <w:sz w:val="28"/>
        </w:rPr>
        <w:t xml:space="preserve">gnostic biomarkers for bladder cancer. The main finding of all included studies illustrates the presence of potential biomarker that will assist for the </w:t>
      </w:r>
      <w:r w:rsidR="00573025" w:rsidRPr="006561D5">
        <w:rPr>
          <w:rFonts w:ascii="Times New Roman" w:hAnsi="Times New Roman" w:cs="Times New Roman"/>
          <w:sz w:val="28"/>
        </w:rPr>
        <w:t>surveillances</w:t>
      </w:r>
      <w:r w:rsidR="0008645C" w:rsidRPr="006561D5">
        <w:rPr>
          <w:rFonts w:ascii="Times New Roman" w:hAnsi="Times New Roman" w:cs="Times New Roman"/>
          <w:sz w:val="28"/>
        </w:rPr>
        <w:t xml:space="preserve"> of bladder cancer treatment</w:t>
      </w:r>
      <w:r w:rsidR="0005668F" w:rsidRPr="006561D5">
        <w:rPr>
          <w:rFonts w:ascii="Times New Roman" w:hAnsi="Times New Roman" w:cs="Times New Roman"/>
          <w:sz w:val="28"/>
        </w:rPr>
        <w:t xml:space="preserve">. About nine research focused on the prognostic biomarkers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{"citationItems":[{"id":"ITEM-1","itemData":{"DOI":"10.1186/s13046-022-02377-3","ISSN":"1756-9966","abstract":"The distant metastasis is the primary cause of cancer morbidity and mortality for bladder cancer (BLCA) paitents. All the recommended therapy for it largely depends on how far the cancer has invaded. It has been confirmed that epithelial to mesenchymal transition (EMT) is the leading reason for the BLCA metastasis which makes BLCA difficult to cure. The aim of the present study is to identify the BLCA-related genes that can be used as the new prognostic biomarker and treatment target, and to investigate the functional mechanisms of TEAD4 in EMT dysregulation.","author":[{"dropping-particle":"","family":"Chi","given":"Ming","non-dropping-particle":"","parse-names":false,"suffix":""},{"dropping-particle":"","family":"Liu","given":"Jiao","non-dropping-particle":"","parse-names":false,"suffix":""},{"dropping-particle":"","family":"Mei","given":"Chenxue","non-dropping-particle":"","parse-names":false,"suffix":""},{"dropping-particle":"","family":"Shi","given":"Yaxing","non-dropping-particle":"","parse-names":false,"suffix":""},{"dropping-particle":"","family":"Liu","given":"Nanqi","non-dropping-particle":"","parse-names":false,"suffix":""},{"dropping-particle":"","family":"Jiang","given":"Xuefeng","non-dropping-particle":"","parse-names":false,"suffix":""},{"dropping-particle":"","family":"Liu","given":"Chang","non-dropping-particle":"","parse-names":false,"suffix":""},{"dropping-particle":"","family":"Xue","given":"Nan","non-dropping-particle":"","parse-names":false,"suffix":""},{"dropping-particle":"","family":"Hong","given":"Hong","non-dropping-particle":"","parse-names":false,"suffix":""},{"dropping-particle":"","family":"Xie","given":"Jisheng","non-dropping-particle":"","parse-names":false,"suffix":""},{"dropping-particle":"","family":"Sun","given":"Xun","non-dropping-particle":"","parse-names":false,"suffix":""},{"dropping-particle":"","family":"Yin","given":"Bo","non-dropping-particle":"","parse-names":false,"suffix":""},{"dropping-particle":"","family":"Meng","given":"Xin","non-dropping-particle":"","parse-names":false,"suffix":""},{"dropping-particle":"","family":"Wang","given":"Biao","non-dropping-particle":"","parse-names":false,"suffix":""}],"container-title":"Journal of Experimental &amp; Clinical Cancer Research","id":"ITEM-1","issue":"1","issued":{"date-parts":[["2022"]]},"page":"175","title":"TEAD4 functions as a prognostic biomarker and triggers EMT via PI3K/AKT pathway in bladder cancer","type":"article-journal","volume":"41"},"uris":["http://www.mendeley.com/documents/?uuid=5a12980e-c9fb-4c12-a799-3997a7fe7a8b"]}],"mendeley":{"formattedCitation":"(Chi et al., 2022)","plainTextFormattedCitation":"(Chi et al., 2022)","previouslyFormattedCitation":"(Chi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(Chi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{"citationItems":[{"id":"ITEM-1","itemData":{"DOI":"10.1080/21655979.2022.2085284","ISSN":"21655987","PMID":"35758021","abstract":"Recent studies have shown that NXPH family member 4 (NXPH4) plays an important role in the progression of cancer. However, the potential role of NXPH4 in bladder cancer (BCa) remains to be explored. The purpose of the present study was to identify whether NXPH4 could be used as a biomarker to predict the prognosis of BCa. We first examined the expression of NXPH4 in pan-cancer, and then focused on BCa. Univariate and multivariate Cox regression analysis were used to investigate whether NXPH4 could be used as an independent prognostic indicator. Gene set enrichment analysis (GSEA) was used for functional analysis of NXPH4-related genes. CIBERSORT algorithm was used to calculate immune cell infiltration levels with different NXPH4 expression. Finally, the expression of NXPH4 was validated in clinical tissue specimens and bladder cancer cell lines by immunohistochemistry and qRT-PCR. The tumor-promoting effects of NXPH4 were further investigated using counting kit-8 (CCK-8), colony formation, EdU assays, and tumor xenograft model. Our results showed that NXPH4 was highly expressed in BCa tissues. Patients in the high NXPH4 expression group had shorter overall survival (OS) and progression-free survival (PFS). We found that immune-related pathways were enriched in NXPH4-related genes. Immune cell infiltrations in BCa were also associated with different NXPH4 expression. NXPH4 was further found to be highly expressed in our validation specimens. The proliferative effect of NXPH4 was confirmed in BCa in vivo and in vitro. Overall, NXPH4 is a biomarker for predicting BCa prognosis and associated with immune infiltration. Abbreviations: NXPH4: Neurexophilin 4; BCa: Bladder cancer; TCGA-BLCA: The Cancer Genome Atlas Urothelial Bladder Carcinoma; shRNA: short hairpin RNA; NC: Negative control; OS: Overall survival; PFS: Progression-free survival; TME: Tumor microenvironment; IPS: immunophenoscore; ICIs: Immune checkpoint inhibitors; DEGs: Differential expression genes.","author":[{"dropping-particle":"","family":"Sun","given":"Xianchao","non-dropping-particle":"","parse-names":false,"suffix":""},{"dropping-particle":"","family":"Xin","given":"Shiyong","non-dropping-particle":"","parse-names":false,"suffix":""},{"dropping-particle":"","family":"Jin","given":"Liang","non-dropping-particle":"","parse-names":false,"suffix":""},{"dropping-particle":"","family":"Zhang","given":"Ying","non-dropping-particle":"","parse-names":false,"suffix":""},{"dropping-particle":"","family":"Ye","given":"Lin","non-dropping-particle":"","parse-names":false,"suffix":""}],"container-title":"Bioengineered","id":"ITEM-1","issue":"5","issued":{"date-parts":[["2022"]]},"page":"13986-13999","publisher":"Taylor &amp; Francis","title":"Neurexophilin 4 is a prognostic biomarker correlated with immune infiltration in bladder cancer","type":"article-journal","volume":"13"},"uris":["http://www.mendeley.com/documents/?uuid=71c388fa-8092-42f6-8e24-55b689620be6"]}],"mendeley":{"formattedCitation":"(Sun et al., 2022)","plainTextFormattedCitation":"(Sun et al., 2022)","previouslyFormattedCitation":"(Sun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(Sun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{"citationItems":[{"id":"ITEM-1","itemData":{"DOI":"10.3389/pore.2022.1610282","ISSN":"15322807","PMID":"35388275","abstract":"Objective: We sought to identify tumor necrosis factor (TNF)-alpha-induced protein 8-like 2 (TIPE2/TNFAIP8L2) expression in bladder cancer and its relationship to clinicopathological findings and prognosis. Methods: Immunohistochemical (IHC) staining for TIPE2 was performed on 110 archived radical cystectomy specimens. Ten high-power fields were randomly selected from each specimen to observe and record the percentage of immunoreactive cells of TIPE2 in tumor cells (grade 0–4) and the corresponding immunostaining intensity (grade 0–3). The expression score of TIPE2 was obtained by multiplying the results of the above two scores, which ranged from 0 to 12 points. The cut-off point of the sum of the scores were defined as follows: 0–3 scores were defined as negative expression (-); &gt;3 scores were classified as positive expression, &lt; 7, low expression, ≥7, high expression. Results: In 110 cases, TIPE2 was stained in various degrees in bladder cancer tissues, and expressed in both nucleus and cytoplasm. 4.5% (5/110) showed negative expression, 40.9% (45/110) showed low expression, and 54.5% (60/110) showed high expression. TIPE2 expression was negatively correlated with lymph node metastasis (p = 0.004) and disease progression (p = 0.021). Survival curves were plotted to show that patients with high TIPE2 expression had a progression-free survival curve above those with negative/low TIPE2 expression (p = 0.027). In multivariate Cox proportional hazard regression analysis, TIPE2 was a protective factor for progression-free survival in bladder urothelial carcinoma (p = 0.031), pT stage (p = 0.016) was a risk factor for progression-free survival, and age was a risk factor for overall survival (p = 0.020). Conclusion: TIPE2 may be a new biomarker to predict the disease progression and prognosis of patients with urothelial carcinoma of the bladder.","author":[{"dropping-particle":"","family":"Jiang","given":"Yu","non-dropping-particle":"","parse-names":false,"suffix":""},{"dropping-particle":"","family":"Zhang","given":"Zhiqiang","non-dropping-particle":"","parse-names":false,"suffix":""},{"dropping-particle":"","family":"Wang","given":"Xian","non-dropping-particle":"","parse-names":false,"suffix":""},{"dropping-particle":"","family":"Feng","given":"Zhenzhong","non-dropping-particle":"","parse-names":false,"suffix":""},{"dropping-particle":"","family":"Hong","given":"Bo","non-dropping-particle":"","parse-names":false,"suffix":""},{"dropping-particle":"","family":"Yu","given":"Dexin","non-dropping-particle":"","parse-names":false,"suffix":""},{"dropping-particle":"","family":"Wang","given":"Yi","non-dropping-particle":"","parse-names":false,"suffix":""}],"container-title":"Pathology and Oncology Research","id":"ITEM-1","issue":"March","issued":{"date-parts":[["2022"]]},"page":"1-8","title":"A Novel Prognostic Factor TIPE2 in Bladder Cancer","type":"article-journal","volume":"28"},"uris":["http://www.mendeley.com/documents/?uuid=284d33bb-364d-4e18-b606-14f861493097"]}],"mendeley":{"formattedCitation":"(Jiang et al., 2022)","plainTextFormattedCitation":"(Jiang et al., 2022)","previouslyFormattedCitation":"(Jiang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(Jiang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{"citationItems":[{"id":"ITEM-1","itemData":{"DOI":"10.1186/s12894-022-01085-6","ISSN":"14712490","PMID":"36038861","abstract":"Background: The significance of total and specific subpopulations of tumor-infiltrating lymphocytes (TILs) in cancer is now well-documented. In the present study, we investigated the relevance of CD3+, CD8 +, CD45RO +, and FOXP3 + TILs to the prognosis and survival of patients with bladder cancer and the disease's clinical-pathological parameters. Methods: Infiltration of each subset was immunohistochemically evaluated in both stromal and intratumoral regions of tumor tissues from 85 patients with urothelial cell carcinoma of the bladder, with known survival. Results: Our results indicated that intratumoral CD45RO+ lymphocytes were significantly higher in high-grade tumors than in low-grade ones (P = 0.028). The frequencies of intratumoral CD3+ (P = 0.002), CD8 + (P = 0.008), intratumoral (P = 0.002), and stromal (P = 0.017) CD45RO+ lymphocytes were also higher in patients with muscular invasion than those without invasion. The frequencies of intratumoral CD3+ (P = 0.043), CD8+ (P = 0.003), CD45RO+ (P = 0.023), and total CD45RO+ (P = 0.015), showed variation in patients with different T-stage, as well; mostly increased in T2 versus Ta and T1. Comparing patients in different stages revealed an increase in the frequencies of total CD3+ (P = 0.011), intratumoral CD3+ (P = 0.006), total CD8+ (P = 0.012), intratumoral CD8+ (P = 0.009) and stromal CD8+ (P = 0.034), as well as total and stromal CD45RO+ lymphocytes (P = 0.01 and P = 0.034, respectively) in stage II comparing to stage I, while the frequencies of stromal CD3+ (P = 0.077) and CD8+ (P = 0.053) cells tended to be decreased in stage III compared to stage II. Conclusions: We collectively observed that the frequency of immune cells, especially CD45RO+, CD3+, and CD8+ lymphocytes, were significantly higher in early-progressed tumors. This observation could be explained by continuous and prolonged stimulation of immune cells with tumor antigens during tumor progression or an increase in the recruiting factors, especially in the early stages, to eliminate tumor cells. However, with tumor progression to the late stages, the inhibitory microenvironment provided by tumor cells suppresses or changes the functionality of the effector and memory immune cells to help tumor growth. However, more functional studies with larger sample sizes are needed to reveal the real status of the immune system in patients with bladder cancer.","author":[{"dropping-particle":"","family":"Ariafar","given":"Ali","non-dropping-particle":"","parse-names":false,"suffix":""},{"dropping-particle":"","family":"Sanati","given":"Alireza","non-dropping-particle":"","parse-names":false,"suffix":""},{"dropping-particle":"","family":"Ahmadvand","given":"Simin","non-dropping-particle":"","parse-names":false,"suffix":""},{"dropping-particle":"","family":"Shekarkhar","given":"Golsa","non-dropping-particle":"","parse-names":false,"suffix":""},{"dropping-particle":"","family":"Safaei","given":"Akbar","non-dropping-particle":"","parse-names":false,"suffix":""},{"dropping-particle":"","family":"Shayan","given":"Zahra","non-dropping-particle":"","parse-names":false,"suffix":""},{"dropping-particle":"","family":"Faghih","given":"Zahra","non-dropping-particle":"","parse-names":false,"suffix":""}],"container-title":"BMC Urology","id":"ITEM-1","issue":"1","issued":{"date-parts":[["2022"]]},"page":"1-9","publisher":"BioMed Central","title":"Prognostic significance of immunoscore related markers in bladder cancer","type":"article-journal","volume":"22"},"uris":["http://www.mendeley.com/documents/?uuid=26d45391-cae4-4039-893d-8e0f10ebb209"]}],"mendeley":{"formattedCitation":"(Ariafar et al., 2022)","plainTextFormattedCitation":"(Ariafar et al., 2022)","previouslyFormattedCitation":"(Ariafar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(Ariafar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{"citationItems":[{"id":"ITEM-1","itemData":{"DOI":"10.1186/s41065-022-00234-z","ISSN":"16015223","PMID":"35546682","abstract":"Background: Spindle and kinetochore‑associated complex subunit 3 (SKA3) has recently been considered a key regulator of carcinogenesis. However, the connection between SKA3 and immune cell infiltration remains unknown. Methods: The current study investigated the expression mode, prognostic effect, and functional role of SKA3 in different tumors, particularly bladder cancer using numerous databases, comprising TIMER, GEPIA, HPA, UALCAN, PrognoScan, and Kaplan–Meier Plotter. Differentially expressed gene and enrichment analyses were implemented on SKA3 using R packages \"edgR\" and \"clusterProfiler\". Immunohistochemistry was further used to validate the expression of SKA3 gene in bladder cancer. Following that, the relevance of SKA3 expression to immune infiltration level in bladder cancer was evaluated using TIMER. Results: Overall, the level of SKA3 expression in tumor tissue significantly increased than in normal tissue. In bladder cancer and other tumors, patients with high SKA3 expression levels had worse overall survival (OS) (p = 0.016), disease-specific survival (DSS) (p = 0.00004), and disease-free survival (DFS) (p = 0.032). Additionally, the major molecular functions for SKA3 included nuclear division, mitotic nuclear division, mitotic sister chromatid segregation, humoral immune response, and cell chemotaxis. Additionally, SKA3 expression was found to be positively associated with enhanced M2 macrophage and T helper (Th) 2 cell infiltration in bladder cancer. Conclusions: Our study implies that SKA3 contributes to M2 macrophage and Th2 cell polarization by acting as an oncogene in bladder cancer. SKA3 might be a novel biomarker for evaluating prognosis and immune infiltration in bladder cancer.","author":[{"dropping-particle":"","family":"Wang","given":"Chenyang","non-dropping-particle":"","parse-names":false,"suffix":""},{"dropping-particle":"","family":"Liu","given":"Shasha","non-dropping-particle":"","parse-names":false,"suffix":""},{"dropping-particle":"","family":"Zhang","given":"Xinhong","non-dropping-particle":"","parse-names":false,"suffix":""},{"dropping-particle":"","family":"Wang","given":"Yan","non-dropping-particle":"","parse-names":false,"suffix":""},{"dropping-particle":"","family":"Guan","given":"Peng","non-dropping-particle":"","parse-names":false,"suffix":""},{"dropping-particle":"","family":"Bu","given":"Fanyou","non-dropping-particle":"","parse-names":false,"suffix":""},{"dropping-particle":"","family":"Wang","given":"Hao","non-dropping-particle":"","parse-names":false,"suffix":""},{"dropping-particle":"","family":"Wang","given":"Dawen","non-dropping-particle":"","parse-names":false,"suffix":""},{"dropping-particle":"","family":"Fan","given":"Yi","non-dropping-particle":"","parse-names":false,"suffix":""},{"dropping-particle":"","family":"Hou","given":"Sichuan","non-dropping-particle":"","parse-names":false,"suffix":""},{"dropping-particle":"","family":"Qiu","given":"Zhilei","non-dropping-particle":"","parse-names":false,"suffix":""}],"container-title":"Hereditas","id":"ITEM-1","issue":"1","issued":{"date-parts":[["2022"]]},"page":"1-13","title":"SKA3 is a prognostic biomarker and associated with immune infiltration in bladder cancer","type":"article-journal","volume":"159"},"uris":["http://www.mendeley.com/documents/?uuid=d74e5368-3acf-4e54-87ea-793c64228732"]}],"mendeley":{"formattedCitation":"(Wang et al., 2022)","plainTextFormattedCitation":"(Wang et al., 2022)","previouslyFormattedCitation":"(Wang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(Wang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{"citationItems":[{"id":"ITEM-1","itemData":{"DOI":"10.1155/2022/3373851","ISSN":"18758630","PMID":"36193495","abstract":"Background. Kallikrein-related peptidase 6 (KLK6) has been substantiated as a diagnostic, prognostic, and therapeutic molecular in several cancer types. In our study, we attempt to explore the biological functions of KLK6 in bladder urothelial carcinoma (BLCA). Methods. KLK6 gene expression prognostic, gene ontology (GO), Kyoto Encyclopedia of Genes and Genomes (KEGG), gene set enrichment analysis (GSEA), and immune infiltration were analyzed using The Cancer Genome Atlas (TCGA) database. In vitro and in vivo experimental measurements, including CCK8, transwell migration, TUNEL, and nude mouse transplanted tumor model, were used to evaluate the antineoplastic activities of KLK6 loss-of-function. Results. The combination of bioinformatics analyses and experimental measurements demonstrate that KLK6 expression is aberrantly upregulated in human specimens and cell lines of BLCA. GO and GSEA enrichment analyses exhibited that KLK6 is implicated in the inflammatory response and immune infiltration, suggesting that upregulation of KLK6 may be associated with the progression of BLCA. Knockdown of KLK6 is able to inhibit the growth and migration and trigger apoptosis of RT4 and T24 cells. Moreover, the TCGA database indicates that KLK6 high expression in BLCA patients showed a poorer prognosis than those patients with KLK6 low expression. Univariate and multivariate regression analyses suggest KLK6 as an independent prognostic factor to predict unfavorable OS in patients with BLCA. Conclusion. KLK6 is an independent prognostic factor and an antitumor target of BLCA. KLK6 expression positively correlates with several immune cells infiltration, indicating that inhibition of KLK6 may contribute to immunotherapy of BLCA.","author":[{"dropping-particle":"","family":"Zhao","given":"Kaidong","non-dropping-particle":"","parse-names":false,"suffix":""},{"dropping-particle":"","family":"Gao","given":"Ming","non-dropping-particle":"","parse-names":false,"suffix":""},{"dropping-particle":"","family":"Lin","given":"Min","non-dropping-particle":"","parse-names":false,"suffix":""}],"container-title":"Disease Markers","id":"ITEM-1","issued":{"date-parts":[["2022"]]},"title":"KLK6 Functions as an Oncogene and Unfavorable Prognostic Factor in Bladder Urothelial Carcinoma","type":"article-journal","volume":"2022"},"uris":["http://www.mendeley.com/documents/?uuid=de061371-d919-4250-b392-61bcddc447a5"]}],"mendeley":{"formattedCitation":"(Zhao et al., 2022)","plainTextFormattedCitation":"(Zhao et al., 2022)","previouslyFormattedCitation":"(Zhao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(Zhao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{"citationItems":[{"id":"ITEM-1","itemData":{"DOI":"10.3390/genes13081462","ISBN":"2073-4425","abstract":"The abnormal expression of long non-coding RNAs(lncRNAs) is closely related to the prognosis of patients. This finding may indicate a new target for the treatment of malignant tumors. Non-muscle invasive bladder cancer (NMIBC) is the most common subtype of bladder cancer, and BCG intravesical therapy is the first-line treatment for NMIBC, but about half of NMIBC patients relapse within two years after BCG treatment. Therefore, it is necessary to screen out lncRNAs related to the prognosis and treatment of BGC-resistant patients. Here, we performed differential expression analysis of lncRNAs in the Cancer Genome Atlas (TCGA) and Gene Expression Omnibus (GEO) datasets, and screened MIR4435-2HG as the only BCG-response-related lncRNA. Then, the prognosis value of MIR4435-2HG was validated in several publicly available cohorts, and confirmed its prognostic value in bladder cancer of different stages. In addition, we also analyzed its genetic alterations, clinical relevance, function enrichment, and association with other biomarkers. Further validation of the expression of MIR4435-2HG might be helpful to instruct NMIBC prognosis and treatment.","author":[{"dropping-particle":"","family":"Hu","given":"Zhiquan","non-dropping-particle":"","parse-names":false,"suffix":""},{"dropping-particle":"","family":"Ma","given":"Siquan","non-dropping-particle":"","parse-names":false,"suffix":""},{"dropping-particle":"","family":"Sun","given":"Yi","non-dropping-particle":"","parse-names":false,"suffix":""},{"dropping-particle":"","family":"Long","given":"Gongwei","non-dropping-particle":"","parse-names":false,"suffix":""},{"dropping-particle":"","family":"Chen","given":"Ke","non-dropping-particle":"","parse-names":false,"suffix":""}],"container-title":"Genes","id":"ITEM-1","issue":"8","issued":{"date-parts":[["2022"]]},"title":"Identification of Long Non-Coding RNA MIR4435-2HG as a Prognostic Biomarker in Bladder Cancer","type":"article","volume":"13"},"uris":["http://www.mendeley.com/documents/?uuid=bbe60319-88a6-410e-9c02-b98cedfef7d9"]}],"mendeley":{"formattedCitation":"(Hu et al., 2022)","plainTextFormattedCitation":"(Hu et al., 2022)","previouslyFormattedCitation":"(Hu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(Hu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{"citationItems":[{"id":"ITEM-1","itemData":{"DOI":"10.1186/s12894-022-00955-3","ISSN":"14712490","PMID":"35090432","abstract":"The biomarkers have an important guiding role in prognosis and treatment of patients with bladder cancer (BC). The aim of the present study was to identify and evaluate a prognostic gene signature in BC patients. The gene expression profiles of BC samples and the corresponding clinicopathological data were downloaded from GEO and TCGA. The differentially expressed genes (DEGs) were identified by R software. Univariate Cox regression and the least absolute shrinkage and selection operator (LASSO) Cox regression were applied to construct the prognostic score model. A nomogram was established with the identified prognostic factors to predict the overall survival rates of BC patients. The discriminatory and predictive capacity of the nomogram was evaluated based on the concordance index (C‐index), calibration curves and decision curve analysis (DCA). A 7-gene signature (KLRB1, PLAC9, SETBP1, NR2F1, GRHL2, ANXA1 and APOL1) was identified from 285 DEGs by univariate and LASSO Cox regression analyses. Univariate and multivariate Cox regression analyses showed that age, lymphovascular invasion, lymphatic metastasis, metastasis and the 7-gene signature risk score was an independent predictor of BC patient prognosis. A nomogram that integrated these independent prognostic factors was constructed. The C-index (0.73, CI 95%, 0.693–0.767) and calibration curve demonstrated the good performance of the nomogram. DCA of the nomogram further showed that this model exhibited good net benefit. The combined 7-gene signature could serve as a biomarker for predicting BC prognosis. The nomogram built by risk score and other clinical factors could be an effective tool for predicting the prognosis of patients with BC.","author":[{"dropping-particle":"","family":"Tang","given":"Fucai","non-dropping-particle":"","parse-names":false,"suffix":""},{"dropping-particle":"","family":"Li","given":"Zhibiao","non-dropping-particle":"","parse-names":false,"suffix":""},{"dropping-particle":"","family":"Lai","given":"Yongchang","non-dropping-particle":"","parse-names":false,"suffix":""},{"dropping-particle":"","family":"Lu","given":"Zechao","non-dropping-particle":"","parse-names":false,"suffix":""},{"dropping-particle":"","family":"Lei","given":"Hanqi","non-dropping-particle":"","parse-names":false,"suffix":""},{"dropping-particle":"","family":"He","given":"Chengwu","non-dropping-particle":"","parse-names":false,"suffix":""},{"dropping-particle":"","family":"He","given":"Zhaohui","non-dropping-particle":"","parse-names":false,"suffix":""}],"container-title":"BMC Urology","id":"ITEM-1","issue":"1","issued":{"date-parts":[["2022"]]},"page":"1-12","publisher":"BioMed Central","title":"A 7-gene signature predicts the prognosis of patients with bladder cancer","type":"article-journal","volume":"22"},"uris":["http://www.mendeley.com/documents/?uuid=50989217-3c3e-4b50-a41c-abbea238ab7c"]}],"mendeley":{"formattedCitation":"(Tang et al., 2022)","plainTextFormattedCitation":"(Tang et al., 2022)","previouslyFormattedCitation":"(Tang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(Tang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and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{"citationItems":[{"id":"ITEM-1","itemData":{"DOI":"10.3934/mbe.2022009","ISSN":"15510018","PMID":"34902986","abstract":"Plasmacytoma variant translocation 1 (PVT1) is involved in multiple signaling pathways and plays an important regulatory role in a variety of malignant tumors. However, its role in the prognosis and immune invasion of bladder urothelial carcinoma (BLCA) remains unclear. This study investigated the expression of PVT1 in tumor tissue and its relationship with immune invasion, and determined its prognostic role in patients with BLCA. Patients were identified from the cancer genome atlas (TCGA). The enrichment pathway and function of PVT1 were explained by gene ontology (GO) term analysis, gene set enrichment analysis (GSEA) and single-sample gene set enrichment analysis (ssGSEA), and the degree of immune cell infiltration was quantified. Kaplan–Meier analysis and Cox regression were used to analyze the correlation between PVT1 and survival rate. PVT1-high BLCA patients had a lower 10-year disease-specific survival (DSS P &lt; 0.05) and overall survival (OS P &lt; 0.05). Multivariate Cox regression analysis showed that PVT1 (high vs. low) (P = 0.004) was an independent prognostic factor. A nomogram was used to predict the effect of PVT1 on the prognosis. PVT1 plays an important role in the progression and prognosis of BLCA and can be used as a medium biomarker to predict survival after cystectomy.","author":[{"dropping-particle":"","family":"Li","given":"Peiyuan","non-dropping-particle":"","parse-names":false,"suffix":""},{"dropping-particle":"","family":"Qiao","given":"Gangjie","non-dropping-particle":"","parse-names":false,"suffix":""},{"dropping-particle":"","family":"Lu","given":"Jian","non-dropping-particle":"","parse-names":false,"suffix":""},{"dropping-particle":"","family":"Ji","given":"Wenbin","non-dropping-particle":"","parse-names":false,"suffix":""},{"dropping-particle":"","family":"Gao","given":"Chao","non-dropping-particle":"","parse-names":false,"suffix":""},{"dropping-particle":"","family":"Qi","given":"Feng","non-dropping-particle":"","parse-names":false,"suffix":""}],"container-title":"Mathematical Biosciences and Engineering","id":"ITEM-1","issue":"1","issued":{"date-parts":[["2022"]]},"page":"169-190","title":"PVT1 is a prognostic marker associated with immune invasion of bladder urothelial carcinoma","type":"article-journal","volume":"19"},"uris":["http://www.mendeley.com/documents/?uuid=f168c8f7-95a0-497d-841f-31142d1834cb"]}],"mendeley":{"formattedCitation":"(Li et al., 2022)","plainTextFormattedCitation":"(Li et al., 2022)","previouslyFormattedCitation":"(Li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(Li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While </w:t>
      </w:r>
      <w:r w:rsidR="0005668F" w:rsidRPr="006561D5">
        <w:rPr>
          <w:rFonts w:ascii="Times New Roman" w:hAnsi="Times New Roman" w:cs="Times New Roman"/>
          <w:sz w:val="28"/>
        </w:rPr>
        <w:lastRenderedPageBreak/>
        <w:t xml:space="preserve">five studies </w:t>
      </w:r>
      <w:r w:rsidR="000C063F" w:rsidRPr="006561D5">
        <w:rPr>
          <w:rFonts w:ascii="Times New Roman" w:hAnsi="Times New Roman" w:cs="Times New Roman"/>
          <w:sz w:val="28"/>
        </w:rPr>
        <w:t>discussed</w:t>
      </w:r>
      <w:r w:rsidR="0005668F" w:rsidRPr="006561D5">
        <w:rPr>
          <w:rFonts w:ascii="Times New Roman" w:hAnsi="Times New Roman" w:cs="Times New Roman"/>
          <w:sz w:val="28"/>
        </w:rPr>
        <w:t xml:space="preserve"> on diagnostic biomarkers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{"citationItems":[{"id":"ITEM-1","itemData":{"DOI":"10.1155/2022/6936262","ISSN":"18758630","PMID":"35734544","abstract":"Objective. To investigate the correlation between tropomyosin (TM) and clinical characteristics of bladder cancer. In addition, the relationship between TM and immune cell infiltration in bladder cancer was further analyzed. Methods. Based on The Cancer Genome Atlas (TCGA) database, the relationship between TM expression and clinicopathological features in bladder cancer was analyzed. Receiver operating characteristic (ROC) curve was used to evaluate the value of TM as a diagnostic marker for bladder cancer. Univariate and multivariate Cox regression was used to analyze the independent factors affecting the prognosis of patients with bladder cancer. The relationship between TM and immune cell infiltration was analyzed. Results. ROC curve showed that TPM1, TPM2, and TPM3 had significant diagnostic ability (AUC was 0.845, 0.848, and 0.873, respectively). The high expression of TPM1 and TPM2 is associated with poor overall and disease-specific survival in patients with bladder cancer (P&lt;0.05). Multivariate Cox analysis showed that age and TPM1 were independent prognostic factors. The expression levels of TPM1, TPM2, TPM3, and TPM4 in low grade bladder cancer were lower than those in high grade bladder cancer (P&lt;0.05). TPM1 and TPM2 are positively correlated with the infiltration of macrophages and NK cells in bladder cancer. TPM3 is positively associated with Th2. TPM4 is positively correlated with Th1 cells, macrophages, and neutrophils (P&lt;0.05). Conclusions. TPM1 and TPM2 are effective markers for the diagnosis of bladder cancer. TPM1 is an independent prognostic factor for bladder cancer. TM is also associated with the infiltration of various immune cells in bladder cancer. TM may have influenced the development of bladder cancer through immune inhibition.","author":[{"dropping-particle":"","family":"Yan","given":"Yunkun","non-dropping-particle":"","parse-names":false,"suffix":""},{"dropping-particle":"","family":"Li","given":"Jianchang","non-dropping-particle":"","parse-names":false,"suffix":""},{"dropping-particle":"","family":"Ye","given":"Mushi","non-dropping-particle":"","parse-names":false,"suffix":""},{"dropping-particle":"","family":"Li","given":"Zhuo","non-dropping-particle":"","parse-names":false,"suffix":""},{"dropping-particle":"","family":"Li","given":"Sining","non-dropping-particle":"","parse-names":false,"suffix":""}],"container-title":"Disease Markers","id":"ITEM-1","issued":{"date-parts":[["2022"]]},"title":"Tropomyosin Is Potential Markers for the Diagnosis and Prognosis of Bladder Cancer","type":"article-journal","volume":"2022"},"uris":["http://www.mendeley.com/documents/?uuid=a6484050-8c7a-4b35-ab51-9828a9e31500"]}],"mendeley":{"formattedCitation":"(Yan et al., 2022)","plainTextFormattedCitation":"(Yan et al., 2022)","previouslyFormattedCitation":"(Yan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(Yan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{"citationItems":[{"id":"ITEM-1","itemData":{"DOI":"10.3390/ijms231911732","ISSN":"14220067","PMID":"36233035","abstract":"Cell-free DNA (cfDNA) has recently emerged as a real-time biomarker for diagnosis, monitoring and prediction of therapy response in tumoral disease. Here, we evaluated cfDNA as a prognostic biomarker for monitoring muscle-invasive bladder cancer (MIBC) patients at different follow-up time points. Blood samples from 37 MIBC patients who underwent radical cystectomy (RC) were collected at cystectomy and 1, 4, 12 and 24 months later. Plasma cfDNA amount and fragmentation patterns were determined. Four mutations were analyzed in cfDNA to detect circulating tumor DNA (ctDNA) during patient follow-up. During a median follow-up of 36 months, 46% of patients progressed; median time to progression was 10 months. cfDNA levels and ctDNA status four months after RC were identified as independent prognostic biomarkers of tumor progression (HR 5.290; p = 0.033) and cancer-specific survival (HR 4.199; p = 0.038), respectively. Furthermore, ctDNA clearance four months after RC was significantly associated with patients’ clinical outcomes. In conclusion, cfDNA levels and ctDNA status four months after RC have prognostic implications in MIBC patients. In addition, cfDNA monitoring is useful to predict patient outcomes after RC. cfDNA analysis in the clinical setting could greatly improve MIBC patient management.","author":[{"dropping-particle":"","family":"Carrasco","given":"Raquel","non-dropping-particle":"","parse-names":false,"suffix":""},{"dropping-particle":"","family":"Ingelmo-Torres","given":"Mercedes","non-dropping-particle":"","parse-names":false,"suffix":""},{"dropping-particle":"","family":"Gómez","given":"Ascensión","non-dropping-particle":"","parse-names":false,"suffix":""},{"dropping-particle":"","family":"Trullas","given":"Ramón","non-dropping-particle":"","parse-names":false,"suffix":""},{"dropping-particle":"","family":"Roldán","given":"Fiorella L.","non-dropping-particle":"","parse-names":false,"suffix":""},{"dropping-particle":"","family":"Ajami","given":"Tarek","non-dropping-particle":"","parse-names":false,"suffix":""},{"dropping-particle":"","family":"Moreno","given":"Davinia","non-dropping-particle":"","parse-names":false,"suffix":""},{"dropping-particle":"","family":"Rodríguez-Carunchio","given":"Leonardo","non-dropping-particle":"","parse-names":false,"suffix":""},{"dropping-particle":"","family":"Alcaraz","given":"Antonio","non-dropping-particle":"","parse-names":false,"suffix":""},{"dropping-particle":"","family":"Izquierdo","given":"Laura","non-dropping-particle":"","parse-names":false,"suffix":""},{"dropping-particle":"","family":"Mengual","given":"Lourdes","non-dropping-particle":"","parse-names":false,"suffix":""}],"container-title":"International Journal of Molecular Sciences","id":"ITEM-1","issue":"19","issued":{"date-parts":[["2022"]]},"title":"Cell-Free DNA as a Prognostic Biomarker for Monitoring Muscle-Invasive Bladder Cancer","type":"article-journal","volume":"23"},"uris":["http://www.mendeley.com/documents/?uuid=9a8e1e1f-0081-4b2d-9046-62b9299ff412"]}],"mendeley":{"formattedCitation":"(Carrasco et al., 2022)","plainTextFormattedCitation":"(Carrasco et al., 2022)","previouslyFormattedCitation":"(Carrasco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(Carrasco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{"citationItems":[{"id":"ITEM-1","itemData":{"DOI":"10.1186/s12967-022-03509-1","ISSN":"14795876","PMID":"35836227","abstract":"Background: Enolase is an essential enzyme in the process of glycolysis and has been implicated in cancer progression. Though dysregulation of ENOs has been reported in multiple cancers, their prognostic value and specific role in bladder cancer (BLCA) remain unclear. Methods: Multiple databases were employed to examine the expression of ENOs in BLCA. The expression of ENO1 was also validated in BLCA cell lines and tissue samples by western blotting and immunohistochemistry. Kaplan–Meier analysis, ROC curve, univariate and multivariate Cox regression were performed to evaluate the predictive capability of the ENO1. Gene ontology (GO) and Gene Set Enrichment Analyses (GSEA) analysis were employed to perform the biological processes enrichment. Function experiments were performed to explore the biological role of ENO1 in BLCA. The correlation of ENO1 with immune cell infiltration was explored by CIBERSORT. Results: By analyzing three ENO isoforms in multiple databases, we identified that ENO1 was the only significantly upregulated gene in BLCA. High expression level of ENO1 was further confirmed in BLCA tissue samples. Aberrant ENO1 overexpression was associated with clinicopathological characteristics and unfavorable prognosis. Functional studies demonstrated that ENO1 depletion inhibited cancer cell aggressiveness. Furthermore, the expression level of ENO1 was correlated with the infiltration levels of immune cells and immune-related functions. Conclusions: Taken together, our results indicated that ENO1 might serve as a promising prognostic biomarker for prognosticating prognosis associated with the tumor immune microenvironment, suggesting that ENO1 could be a potential immune-related target against BLCA.","author":[{"dropping-particle":"","family":"Huang","given":"Zhengnan","non-dropping-particle":"","parse-names":false,"suffix":""},{"dropping-particle":"","family":"Yan","given":"Yilin","non-dropping-particle":"","parse-names":false,"suffix":""},{"dropping-particle":"","family":"Wang","given":"Tengjiao","non-dropping-particle":"","parse-names":false,"suffix":""},{"dropping-particle":"","family":"Wang","given":"Zeyi","non-dropping-particle":"","parse-names":false,"suffix":""},{"dropping-particle":"","family":"Cai","given":"Jinming","non-dropping-particle":"","parse-names":false,"suffix":""},{"dropping-particle":"","family":"Cao","given":"Xiangqian","non-dropping-particle":"","parse-names":false,"suffix":""},{"dropping-particle":"","family":"Yang","given":"Chenkai","non-dropping-particle":"","parse-names":false,"suffix":""},{"dropping-particle":"","family":"Zhang","given":"Fang","non-dropping-particle":"","parse-names":false,"suffix":""},{"dropping-particle":"","family":"Wu","given":"Gang","non-dropping-particle":"","parse-names":false,"suffix":""},{"dropping-particle":"","family":"Shen","given":"Bing","non-dropping-particle":"","parse-names":false,"suffix":""}],"container-title":"Journal of Translational Medicine","id":"ITEM-1","issue":"1","issued":{"date-parts":[["2022"]]},"page":"1-15","publisher":"BioMed Central","title":"Identification of ENO1 as a prognostic biomarker and molecular target among ENOs in bladder cancer","type":"article-journal","volume":"20"},"uris":["http://www.mendeley.com/documents/?uuid=86041e10-1e01-48b9-8904-110212ef9e6a"]}],"mendeley":{"formattedCitation":"(Huang et al., 2022)","plainTextFormattedCitation":"(Huang et al., 2022)","previouslyFormattedCitation":"(Huang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(Huang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w:t>
      </w:r>
      <w:r w:rsidR="00315F9B" w:rsidRPr="006561D5">
        <w:rPr>
          <w:rFonts w:ascii="Times New Roman" w:hAnsi="Times New Roman" w:cs="Times New Roman"/>
          <w:sz w:val="28"/>
        </w:rPr>
        <w:fldChar w:fldCharType="begin" w:fldLock="1"/>
      </w:r>
      <w:r w:rsidR="0005668F" w:rsidRPr="006561D5">
        <w:rPr>
          <w:rFonts w:ascii="Times New Roman" w:hAnsi="Times New Roman" w:cs="Times New Roman"/>
          <w:sz w:val="28"/>
        </w:rPr>
        <w:instrText>ADDIN CSL_CITATION {"citationItems":[{"id":"ITEM-1","itemData":{"DOI":"10.3389/fgene.2022.804858","ISSN":"16648021","abstract":"Background: Heat shock protein B8 (HSPB8) is expressed in various cancers. However, the functional and clinicopathological significance of HSPB8 expression in bladder cancer (BC) remains unclear. The present study sought to elucidate the clinicopathological features and prognostic value of HSPB8 in BC. Methods: A BC RNA-seq data set was obtained from The Cancer Genome Atlas Urothelial Bladder Carcinoma (TCGA-BLCA) database, and the external validation dataset GSE130598 was downloaded from the GEO database. Samples in the TCGA-BLCA were categorized into two groups based on HSPB8 expression. Differentially expressed genes (DEGs) between the two groups were defined as HSPB8 co-expressed genes. Gene set enrichment analysis (GSEA), protein-protein interaction networks, and mRNA-microRNA (miRNA) interaction networks were generated to predict the function and interactions of genes that are co-expressed with HSPB8. Finally, we examined immune cell infiltration and constructed a survival prediction model for BC patients. Results: The expression level of HSBP8 has a significant difference between cancer samples and normal samples, and its diagnosis effect was validated by the ROC curve. 446 differential expressed genes between HSBP8 high-expression and HSBP8 low expression groups were identified. Gene enrichment analysis and GSEA analysis show that these differential gene functions are closely related to the occurrence and development of BC and the metabolic pathways of BC. The cancer-related pathways included Cytokine-cytokine receptor Interaction, Focal adhesion, and Proteoglycans in cancer. PPI and protein-coding gene-miRNA network visualized the landscape for these tightly bounded gene interactions. Immune cell infiltration shows that B cells, CD4+T cells, and CD8+T cells have strongly different infiltration levels between the HSBP8 high exp group and low exp group. The survival prediction model shows that HSBP8 has strong prognosis power in the BLCA cohort. Conclusion: Identifying DEGs may enhance understanding of BC development’s causes and molecular mechanisms. HSPB8 may play an essential role in BC progression and prognosis and serve as a potential biomarker for BC treatment.","author":[{"dropping-particle":"","family":"Tan","given":"Zhiyong","non-dropping-particle":"","parse-names":false,"suffix":""},{"dropping-particle":"","family":"Fu","given":"Shi","non-dropping-particle":"","parse-names":false,"suffix":""},{"dropping-particle":"","family":"Huang","given":"Yinglong","non-dropping-particle":"","parse-names":false,"suffix":""},{"dropping-particle":"","family":"Duan","given":"Xianzhong","non-dropping-particle":"","parse-names":false,"suffix":""},{"dropping-particle":"","family":"Zuo","given":"Yigang","non-dropping-particle":"","parse-names":false,"suffix":""},{"dropping-particle":"","family":"Zhu","given":"Xiaorui","non-dropping-particle":"","parse-names":false,"suffix":""},{"dropping-particle":"","family":"Wang","given":"Haifeng","non-dropping-particle":"","parse-names":false,"suffix":""},{"dropping-particle":"","family":"Wang","given":"Jiansong","non-dropping-particle":"","parse-names":false,"suffix":""}],"container-title":"Frontiers in Genetics","id":"ITEM-1","issue":"March","issued":{"date-parts":[["2022"]]},"page":"1-19","title":"HSPB8 is a Potential Prognostic Biomarker that Correlates With Immune Cell Infiltration in Bladder Cancer","type":"article-journal","volume":"13"},"uris":["http://www.mendeley.com/documents/?uuid=56bdd556-2408-4112-955b-887601d7b840"]}],"mendeley":{"formattedCitation":"(Tan et al., 2022)","plainTextFormattedCitation":"(Tan et al., 2022)","previouslyFormattedCitation":"(Tan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(Tan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and </w:t>
      </w:r>
      <w:r w:rsidR="00315F9B" w:rsidRPr="006561D5">
        <w:rPr>
          <w:rFonts w:ascii="Times New Roman" w:hAnsi="Times New Roman" w:cs="Times New Roman"/>
          <w:sz w:val="28"/>
        </w:rPr>
        <w:fldChar w:fldCharType="begin" w:fldLock="1"/>
      </w:r>
      <w:r w:rsidR="007472BE">
        <w:rPr>
          <w:rFonts w:ascii="Times New Roman" w:hAnsi="Times New Roman" w:cs="Times New Roman"/>
          <w:sz w:val="28"/>
        </w:rPr>
        <w:instrText>ADDIN CSL_CITATION {"citationItems":[{"id":"ITEM-1","itemData":{"DOI":"10.1186/s12863-022-01070-w","ISSN":"27306844","PMID":"35945500","abstract":"Background: It has been previously demonstrated that hyaluronan (HA) potentially regulates the initiation and propagation of bladder cancer (BLCA). HYAL3 encodes hyaluronidase and is a potential therapeutic target for BLCA. We aimed to explore the role that HYAL3 plays in BLCA pathogenesis. Methods: HYAL3 expression in BLCA specimens was analyzed using The Cancer Genome Atlas (TCGA) database and the Gene Expression Omnibus (GEO) cohort as well as confirmed in cell lines and The Human Protein Atlas. Then, associations between HYAL3 expression and clinicopathological data were analyzed using survival curves and receiver-operating characteristic (ROC) curves. The functions of HYAL3 were further dissected using Kyoto Encyclopedia of Genes and Genomes (KEGG) pathway analysis and the protein–protein interaction network. Finally, we harnessed the Tumor IMmune Estimation Resource and Gene Expression Profiling Interactive Analysis to obtain correlations between HYAL3 expression, infiltrating immunocytes, and the corresponding immune marker sets. Results: HYAL3 expression varied greatly between many types of cancers. In addition, a higher HYAL3 expression level predicted a poor overall survival (OS) in both TCGA-BLCA and GEO gene chips (P &lt; 0.05). HYAL3 also exhibited an acceptable diagnostic ability for the pathological stage of BLCA (area under the receiver-operating characteristic curve = 0.769). Furthermore, HYAL3 acted as an independent prognostic factor in BLCA patients and correlated with the infiltration of various types of immunocytes, including B cells, CD8+ T cells, cytotoxic cells, T follicular helper cells, and T helper (Th) 2 cells. Conclusion: HYAL3 might serve as a potential biomarker for predicting poor OS in BLCA patients and correlated with immunocyte infiltration in BLCA.","author":[{"dropping-particle":"","family":"Liu","given":"Jun peng","non-dropping-particle":"","parse-names":false,"suffix":""},{"dropping-particle":"","family":"Fang","given":"Yu tong","non-dropping-particle":"","parse-names":false,"suffix":""},{"dropping-particle":"","family":"Jiang","given":"Yi fan","non-dropping-particle":"","parse-names":false,"suffix":""},{"dropping-particle":"","family":"Lin","given":"Hao","non-dropping-particle":"","parse-names":false,"suffix":""}],"container-title":"BMC Genomic Data","id":"ITEM-1","issue":"1","issued":{"date-parts":[["2022"]]},"page":"1-17","publisher":"BioMed Central","title":"HYAL3 as a potential novel marker of BLCA patient prognosis","type":"article-journal","volume":"23"},"uris":["http://www.mendeley.com/documents/?uuid=1dfb47cb-491a-44e4-9b90-5a27b6e999f0"]}],"mendeley":{"formattedCitation":"(Liu et al., 2022)","plainTextFormattedCitation":"(Liu et al., 2022)","previouslyFormattedCitation":"(Liu et al., 2022)"},"properties":{"noteIndex":0},"schema":"https://github.com/citation-style-language/schema/raw/master/csl-citation.json"}</w:instrText>
      </w:r>
      <w:r w:rsidR="00315F9B" w:rsidRPr="006561D5">
        <w:rPr>
          <w:rFonts w:ascii="Times New Roman" w:hAnsi="Times New Roman" w:cs="Times New Roman"/>
          <w:sz w:val="28"/>
        </w:rPr>
        <w:fldChar w:fldCharType="separate"/>
      </w:r>
      <w:r w:rsidR="0005668F" w:rsidRPr="006561D5">
        <w:rPr>
          <w:rFonts w:ascii="Times New Roman" w:hAnsi="Times New Roman" w:cs="Times New Roman"/>
          <w:noProof/>
          <w:sz w:val="28"/>
        </w:rPr>
        <w:t>(Liu et al., 2022)</w:t>
      </w:r>
      <w:r w:rsidR="00315F9B" w:rsidRPr="006561D5">
        <w:rPr>
          <w:rFonts w:ascii="Times New Roman" w:hAnsi="Times New Roman" w:cs="Times New Roman"/>
          <w:sz w:val="28"/>
        </w:rPr>
        <w:fldChar w:fldCharType="end"/>
      </w:r>
      <w:r w:rsidR="0005668F" w:rsidRPr="006561D5">
        <w:rPr>
          <w:rFonts w:ascii="Times New Roman" w:hAnsi="Times New Roman" w:cs="Times New Roman"/>
          <w:sz w:val="28"/>
        </w:rPr>
        <w:t xml:space="preserve"> respectively. The purpose of each </w:t>
      </w:r>
      <w:r w:rsidR="000C063F" w:rsidRPr="006561D5">
        <w:rPr>
          <w:rFonts w:ascii="Times New Roman" w:hAnsi="Times New Roman" w:cs="Times New Roman"/>
          <w:sz w:val="28"/>
        </w:rPr>
        <w:t>biomarker</w:t>
      </w:r>
      <w:r w:rsidR="0005668F" w:rsidRPr="006561D5">
        <w:rPr>
          <w:rFonts w:ascii="Times New Roman" w:hAnsi="Times New Roman" w:cs="Times New Roman"/>
          <w:sz w:val="28"/>
        </w:rPr>
        <w:t xml:space="preserve"> for improvement of bladder cancer management was included in table 1, which the pathways between each study are different. All of the research listed in Table 1 were analyzed and synthesized to establish the consensus for this study.</w:t>
      </w:r>
    </w:p>
    <w:p w:rsidR="006561D5" w:rsidRPr="006561D5" w:rsidRDefault="006561D5" w:rsidP="00245E97">
      <w:pPr>
        <w:spacing w:line="480" w:lineRule="auto"/>
        <w:jc w:val="both"/>
        <w:rPr>
          <w:rFonts w:ascii="Times New Roman" w:hAnsi="Times New Roman" w:cs="Times New Roman"/>
          <w:sz w:val="28"/>
        </w:rPr>
      </w:pPr>
    </w:p>
    <w:p w:rsidR="003F43CC" w:rsidRPr="006561D5" w:rsidRDefault="003F43CC" w:rsidP="00245E97">
      <w:pPr>
        <w:spacing w:line="480" w:lineRule="auto"/>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5424805" cy="3806825"/>
            <wp:effectExtent l="19050" t="0" r="4445" b="0"/>
            <wp:docPr id="1" name="Picture 0" descr="CamScanner 11-23-2022 14.06_2_01-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11-23-2022 14.06_2_01-Copy.jpg"/>
                    <pic:cNvPicPr/>
                  </pic:nvPicPr>
                  <pic:blipFill>
                    <a:blip r:embed="rId8" cstate="print"/>
                    <a:stretch>
                      <a:fillRect/>
                    </a:stretch>
                  </pic:blipFill>
                  <pic:spPr>
                    <a:xfrm>
                      <a:off x="0" y="0"/>
                      <a:ext cx="5424805" cy="3806825"/>
                    </a:xfrm>
                    <a:prstGeom prst="rect">
                      <a:avLst/>
                    </a:prstGeom>
                  </pic:spPr>
                </pic:pic>
              </a:graphicData>
            </a:graphic>
          </wp:inline>
        </w:drawing>
      </w:r>
    </w:p>
    <w:p w:rsidR="003F43CC" w:rsidRDefault="003F43CC" w:rsidP="00245E97">
      <w:pPr>
        <w:spacing w:line="480" w:lineRule="auto"/>
        <w:jc w:val="both"/>
        <w:rPr>
          <w:rFonts w:ascii="Times New Roman" w:hAnsi="Times New Roman" w:cs="Times New Roman"/>
          <w:sz w:val="28"/>
        </w:rPr>
      </w:pPr>
      <w:r>
        <w:rPr>
          <w:rFonts w:ascii="Times New Roman" w:hAnsi="Times New Roman" w:cs="Times New Roman"/>
          <w:sz w:val="24"/>
        </w:rPr>
        <w:t xml:space="preserve"> </w:t>
      </w:r>
      <w:r w:rsidRPr="003F43CC">
        <w:rPr>
          <w:rFonts w:ascii="Times New Roman" w:hAnsi="Times New Roman" w:cs="Times New Roman"/>
          <w:b/>
          <w:sz w:val="28"/>
        </w:rPr>
        <w:t>Figure 4.2</w:t>
      </w:r>
      <w:r w:rsidRPr="0061703A">
        <w:rPr>
          <w:rFonts w:ascii="Times New Roman" w:hAnsi="Times New Roman" w:cs="Times New Roman"/>
          <w:b/>
          <w:sz w:val="28"/>
        </w:rPr>
        <w:t>:</w:t>
      </w:r>
      <w:r w:rsidRPr="0061703A">
        <w:rPr>
          <w:rFonts w:ascii="Times New Roman" w:hAnsi="Times New Roman" w:cs="Times New Roman"/>
          <w:sz w:val="28"/>
        </w:rPr>
        <w:t xml:space="preserve"> </w:t>
      </w:r>
      <w:r w:rsidR="0061703A" w:rsidRPr="0061703A">
        <w:rPr>
          <w:rFonts w:ascii="Times New Roman" w:hAnsi="Times New Roman" w:cs="Times New Roman"/>
        </w:rPr>
        <w:t>World</w:t>
      </w:r>
      <w:r w:rsidRPr="0061703A">
        <w:rPr>
          <w:rFonts w:ascii="Times New Roman" w:hAnsi="Times New Roman" w:cs="Times New Roman"/>
        </w:rPr>
        <w:t xml:space="preserve"> map showing the number of studies </w:t>
      </w:r>
      <w:r w:rsidR="0061703A" w:rsidRPr="0061703A">
        <w:rPr>
          <w:rFonts w:ascii="Times New Roman" w:hAnsi="Times New Roman" w:cs="Times New Roman"/>
        </w:rPr>
        <w:t>included</w:t>
      </w:r>
      <w:r w:rsidRPr="0061703A">
        <w:rPr>
          <w:rFonts w:ascii="Times New Roman" w:hAnsi="Times New Roman" w:cs="Times New Roman"/>
        </w:rPr>
        <w:t xml:space="preserve"> from each country: China = 12, Iran = 1, Spain = 1.</w:t>
      </w:r>
    </w:p>
    <w:p w:rsidR="00AD0BF2" w:rsidRDefault="00AD0BF2" w:rsidP="00245E97">
      <w:pPr>
        <w:spacing w:line="480" w:lineRule="auto"/>
        <w:jc w:val="both"/>
        <w:rPr>
          <w:rFonts w:ascii="Times New Roman" w:hAnsi="Times New Roman" w:cs="Times New Roman"/>
          <w:sz w:val="24"/>
        </w:rPr>
      </w:pPr>
    </w:p>
    <w:p w:rsidR="003F43CC" w:rsidRDefault="003F43CC" w:rsidP="00245E97">
      <w:pPr>
        <w:spacing w:line="480" w:lineRule="auto"/>
        <w:jc w:val="both"/>
        <w:rPr>
          <w:rFonts w:ascii="Times New Roman" w:hAnsi="Times New Roman" w:cs="Times New Roman"/>
          <w:sz w:val="24"/>
        </w:rPr>
      </w:pPr>
    </w:p>
    <w:p w:rsidR="003F43CC" w:rsidRPr="006561D5" w:rsidRDefault="003F43CC" w:rsidP="00245E97">
      <w:pPr>
        <w:spacing w:line="480" w:lineRule="auto"/>
        <w:jc w:val="both"/>
        <w:rPr>
          <w:rFonts w:ascii="Times New Roman" w:hAnsi="Times New Roman" w:cs="Times New Roman"/>
          <w:sz w:val="24"/>
        </w:rPr>
      </w:pPr>
    </w:p>
    <w:tbl>
      <w:tblPr>
        <w:tblStyle w:val="TableGrid"/>
        <w:tblW w:w="9918" w:type="dxa"/>
        <w:tblLook w:val="04A0"/>
      </w:tblPr>
      <w:tblGrid>
        <w:gridCol w:w="1151"/>
        <w:gridCol w:w="1280"/>
        <w:gridCol w:w="1336"/>
        <w:gridCol w:w="1151"/>
        <w:gridCol w:w="1134"/>
        <w:gridCol w:w="1576"/>
        <w:gridCol w:w="2290"/>
      </w:tblGrid>
      <w:tr w:rsidR="00CD092A" w:rsidRPr="006561D5" w:rsidTr="00023AB4">
        <w:trPr>
          <w:trHeight w:val="650"/>
        </w:trPr>
        <w:tc>
          <w:tcPr>
            <w:tcW w:w="1183" w:type="dxa"/>
            <w:tcBorders>
              <w:top w:val="single" w:sz="4" w:space="0" w:color="auto"/>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1</w:t>
            </w:r>
          </w:p>
        </w:tc>
        <w:tc>
          <w:tcPr>
            <w:tcW w:w="1323"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2</w:t>
            </w:r>
          </w:p>
        </w:tc>
        <w:tc>
          <w:tcPr>
            <w:tcW w:w="1172"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3</w:t>
            </w:r>
          </w:p>
        </w:tc>
        <w:tc>
          <w:tcPr>
            <w:tcW w:w="1183"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4</w:t>
            </w:r>
          </w:p>
        </w:tc>
        <w:tc>
          <w:tcPr>
            <w:tcW w:w="1180"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5</w:t>
            </w:r>
          </w:p>
        </w:tc>
        <w:tc>
          <w:tcPr>
            <w:tcW w:w="1537"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6</w:t>
            </w:r>
          </w:p>
        </w:tc>
        <w:tc>
          <w:tcPr>
            <w:tcW w:w="2340" w:type="dxa"/>
            <w:tcBorders>
              <w:bottom w:val="single" w:sz="4" w:space="0" w:color="auto"/>
            </w:tcBorders>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7</w:t>
            </w:r>
          </w:p>
        </w:tc>
      </w:tr>
      <w:tr w:rsidR="00CD092A" w:rsidRPr="006561D5" w:rsidTr="00023AB4">
        <w:trPr>
          <w:trHeight w:val="683"/>
        </w:trPr>
        <w:tc>
          <w:tcPr>
            <w:tcW w:w="1183" w:type="dxa"/>
            <w:tcBorders>
              <w:top w:val="single" w:sz="4" w:space="0" w:color="auto"/>
            </w:tcBorders>
          </w:tcPr>
          <w:p w:rsidR="00023AB4" w:rsidRPr="006561D5" w:rsidRDefault="00023AB4" w:rsidP="00245E97">
            <w:pPr>
              <w:spacing w:line="480" w:lineRule="auto"/>
              <w:jc w:val="center"/>
              <w:rPr>
                <w:rFonts w:ascii="Times New Roman" w:hAnsi="Times New Roman" w:cs="Times New Roman"/>
                <w:b/>
                <w:sz w:val="24"/>
              </w:rPr>
            </w:pPr>
            <w:r w:rsidRPr="006561D5">
              <w:rPr>
                <w:rFonts w:ascii="Times New Roman" w:hAnsi="Times New Roman" w:cs="Times New Roman"/>
                <w:b/>
                <w:sz w:val="24"/>
              </w:rPr>
              <w:t>Author &amp; Year</w:t>
            </w:r>
          </w:p>
        </w:tc>
        <w:tc>
          <w:tcPr>
            <w:tcW w:w="1323" w:type="dxa"/>
            <w:tcBorders>
              <w:top w:val="single" w:sz="4" w:space="0" w:color="auto"/>
            </w:tcBorders>
          </w:tcPr>
          <w:p w:rsidR="00023AB4" w:rsidRPr="006561D5" w:rsidRDefault="00023AB4" w:rsidP="00245E97">
            <w:pPr>
              <w:spacing w:line="480" w:lineRule="auto"/>
              <w:jc w:val="center"/>
              <w:rPr>
                <w:rFonts w:ascii="Times New Roman" w:hAnsi="Times New Roman" w:cs="Times New Roman"/>
                <w:b/>
                <w:sz w:val="24"/>
              </w:rPr>
            </w:pPr>
            <w:r w:rsidRPr="006561D5">
              <w:rPr>
                <w:rFonts w:ascii="Times New Roman" w:hAnsi="Times New Roman" w:cs="Times New Roman"/>
                <w:b/>
                <w:sz w:val="24"/>
              </w:rPr>
              <w:t>Country</w:t>
            </w:r>
          </w:p>
        </w:tc>
        <w:tc>
          <w:tcPr>
            <w:tcW w:w="1172" w:type="dxa"/>
            <w:tcBorders>
              <w:top w:val="single" w:sz="4" w:space="0" w:color="auto"/>
            </w:tcBorders>
          </w:tcPr>
          <w:p w:rsidR="00023AB4" w:rsidRPr="006561D5" w:rsidRDefault="00023AB4" w:rsidP="00245E97">
            <w:pPr>
              <w:spacing w:line="480" w:lineRule="auto"/>
              <w:rPr>
                <w:rFonts w:ascii="Times New Roman" w:hAnsi="Times New Roman" w:cs="Times New Roman"/>
                <w:b/>
                <w:sz w:val="24"/>
              </w:rPr>
            </w:pPr>
            <w:r w:rsidRPr="006561D5">
              <w:rPr>
                <w:rFonts w:ascii="Times New Roman" w:hAnsi="Times New Roman" w:cs="Times New Roman"/>
                <w:b/>
                <w:sz w:val="24"/>
              </w:rPr>
              <w:t>Biomarker</w:t>
            </w:r>
          </w:p>
        </w:tc>
        <w:tc>
          <w:tcPr>
            <w:tcW w:w="1183" w:type="dxa"/>
            <w:tcBorders>
              <w:top w:val="single" w:sz="4" w:space="0" w:color="auto"/>
            </w:tcBorders>
          </w:tcPr>
          <w:p w:rsidR="00023AB4" w:rsidRPr="006561D5" w:rsidRDefault="00023AB4" w:rsidP="00245E97">
            <w:pPr>
              <w:spacing w:line="480" w:lineRule="auto"/>
              <w:jc w:val="center"/>
              <w:rPr>
                <w:rFonts w:ascii="Times New Roman" w:hAnsi="Times New Roman" w:cs="Times New Roman"/>
                <w:b/>
                <w:sz w:val="24"/>
              </w:rPr>
            </w:pPr>
            <w:r w:rsidRPr="006561D5">
              <w:rPr>
                <w:rFonts w:ascii="Times New Roman" w:hAnsi="Times New Roman" w:cs="Times New Roman"/>
                <w:b/>
                <w:sz w:val="24"/>
              </w:rPr>
              <w:t>Sample</w:t>
            </w:r>
          </w:p>
        </w:tc>
        <w:tc>
          <w:tcPr>
            <w:tcW w:w="1180" w:type="dxa"/>
            <w:tcBorders>
              <w:top w:val="single" w:sz="4" w:space="0" w:color="auto"/>
            </w:tcBorders>
          </w:tcPr>
          <w:p w:rsidR="00023AB4" w:rsidRPr="006561D5" w:rsidRDefault="00023AB4" w:rsidP="00245E97">
            <w:pPr>
              <w:spacing w:line="480" w:lineRule="auto"/>
              <w:jc w:val="center"/>
              <w:rPr>
                <w:rFonts w:ascii="Times New Roman" w:hAnsi="Times New Roman" w:cs="Times New Roman"/>
                <w:b/>
                <w:sz w:val="24"/>
              </w:rPr>
            </w:pPr>
            <w:r w:rsidRPr="006561D5">
              <w:rPr>
                <w:rFonts w:ascii="Times New Roman" w:hAnsi="Times New Roman" w:cs="Times New Roman"/>
                <w:b/>
                <w:sz w:val="24"/>
              </w:rPr>
              <w:t>Source</w:t>
            </w:r>
          </w:p>
        </w:tc>
        <w:tc>
          <w:tcPr>
            <w:tcW w:w="1537" w:type="dxa"/>
            <w:tcBorders>
              <w:top w:val="single" w:sz="4" w:space="0" w:color="auto"/>
            </w:tcBorders>
          </w:tcPr>
          <w:p w:rsidR="00023AB4" w:rsidRPr="006561D5" w:rsidRDefault="00023AB4" w:rsidP="00245E97">
            <w:pPr>
              <w:spacing w:line="480" w:lineRule="auto"/>
              <w:jc w:val="center"/>
              <w:rPr>
                <w:rFonts w:ascii="Times New Roman" w:hAnsi="Times New Roman" w:cs="Times New Roman"/>
                <w:b/>
                <w:sz w:val="24"/>
              </w:rPr>
            </w:pPr>
            <w:r w:rsidRPr="006561D5">
              <w:rPr>
                <w:rFonts w:ascii="Times New Roman" w:hAnsi="Times New Roman" w:cs="Times New Roman"/>
                <w:b/>
                <w:sz w:val="24"/>
              </w:rPr>
              <w:t>Pathways</w:t>
            </w:r>
          </w:p>
        </w:tc>
        <w:tc>
          <w:tcPr>
            <w:tcW w:w="2340" w:type="dxa"/>
            <w:tcBorders>
              <w:top w:val="single" w:sz="4" w:space="0" w:color="auto"/>
            </w:tcBorders>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b/>
                <w:sz w:val="24"/>
              </w:rPr>
              <w:t>Purpose</w:t>
            </w:r>
          </w:p>
        </w:tc>
      </w:tr>
      <w:tr w:rsidR="00CD092A" w:rsidRPr="006561D5" w:rsidTr="00023AB4">
        <w:trPr>
          <w:trHeight w:val="2240"/>
        </w:trPr>
        <w:tc>
          <w:tcPr>
            <w:tcW w:w="1183" w:type="dxa"/>
          </w:tcPr>
          <w:p w:rsidR="00023AB4" w:rsidRPr="006561D5" w:rsidRDefault="00023AB4" w:rsidP="00245E97">
            <w:pPr>
              <w:spacing w:line="480" w:lineRule="auto"/>
              <w:jc w:val="both"/>
              <w:rPr>
                <w:rFonts w:ascii="Times New Roman" w:hAnsi="Times New Roman" w:cs="Times New Roman"/>
                <w:sz w:val="28"/>
              </w:rPr>
            </w:pPr>
            <w:r w:rsidRPr="006561D5">
              <w:rPr>
                <w:rFonts w:ascii="Times New Roman" w:hAnsi="Times New Roman" w:cs="Times New Roman"/>
                <w:sz w:val="24"/>
                <w:szCs w:val="16"/>
              </w:rPr>
              <w:t xml:space="preserve">Chi </w:t>
            </w:r>
            <w:r w:rsidRPr="006561D5">
              <w:rPr>
                <w:rFonts w:ascii="Times New Roman" w:hAnsi="Times New Roman" w:cs="Times New Roman"/>
                <w:i/>
                <w:iCs/>
                <w:sz w:val="24"/>
                <w:szCs w:val="16"/>
              </w:rPr>
              <w:t>et al. (</w:t>
            </w:r>
            <w:r w:rsidRPr="006561D5">
              <w:rPr>
                <w:rFonts w:ascii="Times New Roman" w:hAnsi="Times New Roman" w:cs="Times New Roman"/>
                <w:iCs/>
                <w:sz w:val="24"/>
                <w:szCs w:val="16"/>
              </w:rPr>
              <w:t>2022)</w:t>
            </w:r>
          </w:p>
        </w:tc>
        <w:tc>
          <w:tcPr>
            <w:tcW w:w="1323" w:type="dxa"/>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023AB4" w:rsidRPr="006561D5" w:rsidRDefault="00023AB4" w:rsidP="00245E97">
            <w:pPr>
              <w:spacing w:line="480" w:lineRule="auto"/>
              <w:jc w:val="both"/>
              <w:rPr>
                <w:rFonts w:ascii="Times New Roman" w:hAnsi="Times New Roman" w:cs="Times New Roman"/>
                <w:i/>
                <w:sz w:val="24"/>
              </w:rPr>
            </w:pPr>
            <w:r w:rsidRPr="006561D5">
              <w:rPr>
                <w:rFonts w:ascii="Times New Roman" w:hAnsi="Times New Roman" w:cs="Times New Roman"/>
                <w:i/>
                <w:sz w:val="24"/>
              </w:rPr>
              <w:t>TEAD4</w:t>
            </w:r>
          </w:p>
        </w:tc>
        <w:tc>
          <w:tcPr>
            <w:tcW w:w="1183"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P13K/AKT</w:t>
            </w:r>
          </w:p>
        </w:tc>
        <w:tc>
          <w:tcPr>
            <w:tcW w:w="234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TEAD4 promotes EMT of BLCA cells by activating the PI3K/AKT pathway, which enhances cell migration and invasion. TEAD4 is a potent predictor of poor prognosis. These results offer a potent target for the treatment of metastatic BLCA in addition to an efficient biomarker for prognosis </w:t>
            </w:r>
            <w:r w:rsidRPr="006561D5">
              <w:rPr>
                <w:rFonts w:ascii="Times New Roman" w:hAnsi="Times New Roman" w:cs="Times New Roman"/>
                <w:sz w:val="24"/>
              </w:rPr>
              <w:lastRenderedPageBreak/>
              <w:t>prediction.</w:t>
            </w:r>
          </w:p>
        </w:tc>
      </w:tr>
      <w:tr w:rsidR="00CD092A" w:rsidRPr="006561D5" w:rsidTr="00023AB4">
        <w:trPr>
          <w:trHeight w:val="4940"/>
        </w:trPr>
        <w:tc>
          <w:tcPr>
            <w:tcW w:w="1183" w:type="dxa"/>
          </w:tcPr>
          <w:p w:rsidR="00023AB4" w:rsidRPr="006561D5" w:rsidRDefault="00023AB4" w:rsidP="00245E97">
            <w:pPr>
              <w:spacing w:line="480" w:lineRule="auto"/>
              <w:jc w:val="both"/>
              <w:rPr>
                <w:rFonts w:ascii="Times New Roman" w:hAnsi="Times New Roman" w:cs="Times New Roman"/>
                <w:i/>
                <w:szCs w:val="21"/>
              </w:rPr>
            </w:pPr>
            <w:r w:rsidRPr="006561D5">
              <w:rPr>
                <w:rFonts w:ascii="Times New Roman" w:hAnsi="Times New Roman" w:cs="Times New Roman"/>
                <w:szCs w:val="21"/>
              </w:rPr>
              <w:lastRenderedPageBreak/>
              <w:t xml:space="preserve"> Suna </w:t>
            </w:r>
            <w:r w:rsidR="0005668F" w:rsidRPr="006561D5">
              <w:rPr>
                <w:rFonts w:ascii="Times New Roman" w:hAnsi="Times New Roman" w:cs="Times New Roman"/>
                <w:i/>
                <w:szCs w:val="21"/>
              </w:rPr>
              <w:t>et a</w:t>
            </w:r>
            <w:r w:rsidRPr="006561D5">
              <w:rPr>
                <w:rFonts w:ascii="Times New Roman" w:hAnsi="Times New Roman" w:cs="Times New Roman"/>
                <w:i/>
                <w:szCs w:val="21"/>
              </w:rPr>
              <w:t>l.</w:t>
            </w:r>
          </w:p>
          <w:p w:rsidR="00023AB4" w:rsidRPr="006561D5" w:rsidRDefault="00023AB4" w:rsidP="00245E97">
            <w:pPr>
              <w:spacing w:line="480" w:lineRule="auto"/>
              <w:jc w:val="both"/>
              <w:rPr>
                <w:rFonts w:ascii="Times New Roman" w:hAnsi="Times New Roman" w:cs="Times New Roman"/>
                <w:szCs w:val="21"/>
              </w:rPr>
            </w:pPr>
            <w:r w:rsidRPr="006561D5">
              <w:rPr>
                <w:rFonts w:ascii="Times New Roman" w:hAnsi="Times New Roman" w:cs="Times New Roman"/>
                <w:szCs w:val="21"/>
              </w:rPr>
              <w:t>(2022)</w:t>
            </w:r>
          </w:p>
        </w:tc>
        <w:tc>
          <w:tcPr>
            <w:tcW w:w="1323" w:type="dxa"/>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023AB4" w:rsidRPr="006561D5" w:rsidRDefault="00023AB4" w:rsidP="00245E97">
            <w:pPr>
              <w:spacing w:line="480" w:lineRule="auto"/>
              <w:jc w:val="both"/>
              <w:rPr>
                <w:rFonts w:ascii="Times New Roman" w:hAnsi="Times New Roman" w:cs="Times New Roman"/>
                <w:i/>
                <w:sz w:val="24"/>
              </w:rPr>
            </w:pPr>
            <w:r w:rsidRPr="006561D5">
              <w:rPr>
                <w:rFonts w:ascii="Times New Roman" w:hAnsi="Times New Roman" w:cs="Times New Roman"/>
                <w:i/>
                <w:sz w:val="20"/>
                <w:szCs w:val="18"/>
              </w:rPr>
              <w:t>NXPH4</w:t>
            </w:r>
          </w:p>
        </w:tc>
        <w:tc>
          <w:tcPr>
            <w:tcW w:w="1183"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Cs w:val="18"/>
              </w:rPr>
              <w:t>immune-related pathways</w:t>
            </w:r>
          </w:p>
        </w:tc>
        <w:tc>
          <w:tcPr>
            <w:tcW w:w="234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NXPH4 was discovered by the current investigation to be an unique prognostic molecular marker linked to immune cell infiltration in BCa. These results might open up fresh perspectives on how BCa's prognosis is determined as well as guide future research on BCa's tumor immunity.</w:t>
            </w:r>
          </w:p>
        </w:tc>
      </w:tr>
      <w:tr w:rsidR="00CD092A" w:rsidRPr="006561D5" w:rsidTr="00023AB4">
        <w:trPr>
          <w:trHeight w:val="4400"/>
        </w:trPr>
        <w:tc>
          <w:tcPr>
            <w:tcW w:w="1183" w:type="dxa"/>
          </w:tcPr>
          <w:p w:rsidR="00023AB4" w:rsidRPr="006561D5" w:rsidRDefault="00023AB4" w:rsidP="00245E97">
            <w:pPr>
              <w:spacing w:line="480" w:lineRule="auto"/>
              <w:jc w:val="both"/>
              <w:rPr>
                <w:rFonts w:ascii="Times New Roman" w:hAnsi="Times New Roman" w:cs="Times New Roman"/>
                <w:i/>
                <w:szCs w:val="18"/>
              </w:rPr>
            </w:pPr>
            <w:r w:rsidRPr="006561D5">
              <w:rPr>
                <w:rFonts w:ascii="Times New Roman" w:hAnsi="Times New Roman" w:cs="Times New Roman"/>
                <w:szCs w:val="18"/>
              </w:rPr>
              <w:lastRenderedPageBreak/>
              <w:t xml:space="preserve">Jiang </w:t>
            </w:r>
            <w:r w:rsidR="0005668F" w:rsidRPr="006561D5">
              <w:rPr>
                <w:rFonts w:ascii="Times New Roman" w:hAnsi="Times New Roman" w:cs="Times New Roman"/>
                <w:i/>
                <w:szCs w:val="18"/>
              </w:rPr>
              <w:t>et a</w:t>
            </w:r>
            <w:r w:rsidRPr="006561D5">
              <w:rPr>
                <w:rFonts w:ascii="Times New Roman" w:hAnsi="Times New Roman" w:cs="Times New Roman"/>
                <w:i/>
                <w:szCs w:val="18"/>
              </w:rPr>
              <w:t>l.</w:t>
            </w:r>
          </w:p>
          <w:p w:rsidR="00023AB4" w:rsidRPr="006561D5" w:rsidRDefault="00023AB4" w:rsidP="00245E97">
            <w:pPr>
              <w:spacing w:line="480" w:lineRule="auto"/>
              <w:jc w:val="both"/>
              <w:rPr>
                <w:rFonts w:ascii="Times New Roman" w:hAnsi="Times New Roman" w:cs="Times New Roman"/>
              </w:rPr>
            </w:pPr>
            <w:r w:rsidRPr="006561D5">
              <w:rPr>
                <w:rFonts w:ascii="Times New Roman" w:hAnsi="Times New Roman" w:cs="Times New Roman"/>
                <w:szCs w:val="18"/>
              </w:rPr>
              <w:t>(2022)</w:t>
            </w:r>
          </w:p>
        </w:tc>
        <w:tc>
          <w:tcPr>
            <w:tcW w:w="1323" w:type="dxa"/>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Cs w:val="20"/>
              </w:rPr>
              <w:t>TIPE2</w:t>
            </w:r>
          </w:p>
        </w:tc>
        <w:tc>
          <w:tcPr>
            <w:tcW w:w="1183"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Proteins</w:t>
            </w:r>
          </w:p>
        </w:tc>
        <w:tc>
          <w:tcPr>
            <w:tcW w:w="118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023AB4" w:rsidRPr="006561D5" w:rsidRDefault="00023AB4" w:rsidP="00245E97">
            <w:pPr>
              <w:autoSpaceDE w:val="0"/>
              <w:autoSpaceDN w:val="0"/>
              <w:adjustRightInd w:val="0"/>
              <w:spacing w:line="480" w:lineRule="auto"/>
              <w:rPr>
                <w:rFonts w:ascii="Times New Roman" w:hAnsi="Times New Roman" w:cs="Times New Roman"/>
                <w:sz w:val="20"/>
                <w:szCs w:val="19"/>
              </w:rPr>
            </w:pPr>
            <w:r w:rsidRPr="006561D5">
              <w:rPr>
                <w:rFonts w:ascii="Times New Roman" w:hAnsi="Times New Roman" w:cs="Times New Roman"/>
                <w:sz w:val="20"/>
                <w:szCs w:val="19"/>
              </w:rPr>
              <w:t>Tollike receptor (TLR) and T cell receptor (TCR) signaling pathways.</w:t>
            </w:r>
          </w:p>
          <w:p w:rsidR="00023AB4" w:rsidRPr="006561D5" w:rsidRDefault="00023AB4" w:rsidP="00245E97">
            <w:pPr>
              <w:autoSpaceDE w:val="0"/>
              <w:autoSpaceDN w:val="0"/>
              <w:adjustRightInd w:val="0"/>
              <w:spacing w:line="480" w:lineRule="auto"/>
              <w:rPr>
                <w:rFonts w:ascii="Times New Roman" w:hAnsi="Times New Roman" w:cs="Times New Roman"/>
                <w:sz w:val="20"/>
                <w:szCs w:val="19"/>
              </w:rPr>
            </w:pPr>
          </w:p>
          <w:p w:rsidR="00023AB4" w:rsidRPr="006561D5" w:rsidRDefault="00023AB4" w:rsidP="00245E97">
            <w:pPr>
              <w:autoSpaceDE w:val="0"/>
              <w:autoSpaceDN w:val="0"/>
              <w:adjustRightInd w:val="0"/>
              <w:spacing w:line="480" w:lineRule="auto"/>
              <w:rPr>
                <w:rFonts w:ascii="Times New Roman" w:hAnsi="Times New Roman" w:cs="Times New Roman"/>
                <w:sz w:val="20"/>
                <w:szCs w:val="19"/>
              </w:rPr>
            </w:pPr>
          </w:p>
          <w:p w:rsidR="00023AB4" w:rsidRPr="006561D5" w:rsidRDefault="00023AB4" w:rsidP="00245E97">
            <w:pPr>
              <w:spacing w:line="480" w:lineRule="auto"/>
              <w:jc w:val="both"/>
              <w:rPr>
                <w:rFonts w:ascii="Times New Roman" w:hAnsi="Times New Roman" w:cs="Times New Roman"/>
                <w:sz w:val="24"/>
              </w:rPr>
            </w:pPr>
          </w:p>
        </w:tc>
        <w:tc>
          <w:tcPr>
            <w:tcW w:w="234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The characteristics of TIPE2 expression, clinicopathological findings, and prognosis in bladder urothelial cancer were all thoroughly examined in this work. Overall, the findings suggest that TIPE2 may be employed as a biomarker for bladder urothelial cell carcinoma patients' illness prognosis and disease progression.</w:t>
            </w:r>
          </w:p>
        </w:tc>
      </w:tr>
      <w:tr w:rsidR="00CD092A" w:rsidRPr="006561D5" w:rsidTr="00023AB4">
        <w:trPr>
          <w:trHeight w:val="4850"/>
        </w:trPr>
        <w:tc>
          <w:tcPr>
            <w:tcW w:w="1183"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eastAsia="MyriadPro-Light" w:hAnsi="Times New Roman" w:cs="Times New Roman"/>
                <w:sz w:val="24"/>
              </w:rPr>
              <w:lastRenderedPageBreak/>
              <w:t xml:space="preserve">Ariafar </w:t>
            </w:r>
            <w:r w:rsidR="0005668F" w:rsidRPr="006561D5">
              <w:rPr>
                <w:rFonts w:ascii="Times New Roman" w:eastAsia="MyriadPro-Light" w:hAnsi="Times New Roman" w:cs="Times New Roman"/>
                <w:i/>
                <w:sz w:val="24"/>
              </w:rPr>
              <w:t>et a</w:t>
            </w:r>
            <w:r w:rsidRPr="006561D5">
              <w:rPr>
                <w:rFonts w:ascii="Times New Roman" w:eastAsia="MyriadPro-Light" w:hAnsi="Times New Roman" w:cs="Times New Roman"/>
                <w:i/>
                <w:sz w:val="24"/>
              </w:rPr>
              <w:t xml:space="preserve">l. </w:t>
            </w:r>
            <w:r w:rsidRPr="006561D5">
              <w:rPr>
                <w:rFonts w:ascii="Times New Roman" w:eastAsia="MyriadPro-Light" w:hAnsi="Times New Roman" w:cs="Times New Roman"/>
                <w:sz w:val="24"/>
              </w:rPr>
              <w:t>(2022)</w:t>
            </w:r>
          </w:p>
        </w:tc>
        <w:tc>
          <w:tcPr>
            <w:tcW w:w="1323" w:type="dxa"/>
          </w:tcPr>
          <w:p w:rsidR="00023AB4" w:rsidRPr="006561D5" w:rsidRDefault="00023AB4" w:rsidP="00245E97">
            <w:pPr>
              <w:spacing w:line="480" w:lineRule="auto"/>
              <w:jc w:val="center"/>
              <w:rPr>
                <w:rFonts w:ascii="Times New Roman" w:hAnsi="Times New Roman" w:cs="Times New Roman"/>
                <w:sz w:val="24"/>
              </w:rPr>
            </w:pPr>
            <w:r w:rsidRPr="006561D5">
              <w:rPr>
                <w:rFonts w:ascii="Times New Roman" w:hAnsi="Times New Roman" w:cs="Times New Roman"/>
                <w:sz w:val="24"/>
              </w:rPr>
              <w:t>Iran</w:t>
            </w:r>
          </w:p>
        </w:tc>
        <w:tc>
          <w:tcPr>
            <w:tcW w:w="1172" w:type="dxa"/>
          </w:tcPr>
          <w:p w:rsidR="00023AB4" w:rsidRPr="006561D5" w:rsidRDefault="00023AB4" w:rsidP="00245E97">
            <w:pPr>
              <w:autoSpaceDE w:val="0"/>
              <w:autoSpaceDN w:val="0"/>
              <w:adjustRightInd w:val="0"/>
              <w:spacing w:line="480" w:lineRule="auto"/>
              <w:rPr>
                <w:rFonts w:ascii="Times New Roman" w:hAnsi="Times New Roman" w:cs="Times New Roman"/>
                <w:szCs w:val="20"/>
              </w:rPr>
            </w:pPr>
            <w:r w:rsidRPr="006561D5">
              <w:rPr>
                <w:rFonts w:ascii="Times New Roman" w:hAnsi="Times New Roman" w:cs="Times New Roman"/>
                <w:szCs w:val="20"/>
              </w:rPr>
              <w:t>CD3, CD8,</w:t>
            </w:r>
          </w:p>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Cs w:val="20"/>
              </w:rPr>
              <w:t>CD45RO and FOXP3</w:t>
            </w:r>
          </w:p>
        </w:tc>
        <w:tc>
          <w:tcPr>
            <w:tcW w:w="1183"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Proteins</w:t>
            </w:r>
          </w:p>
        </w:tc>
        <w:tc>
          <w:tcPr>
            <w:tcW w:w="118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023AB4" w:rsidRPr="006561D5" w:rsidRDefault="00023AB4" w:rsidP="00245E97">
            <w:pPr>
              <w:spacing w:line="480" w:lineRule="auto"/>
              <w:jc w:val="both"/>
              <w:rPr>
                <w:rFonts w:ascii="Times New Roman" w:hAnsi="Times New Roman" w:cs="Times New Roman"/>
                <w:sz w:val="24"/>
              </w:rPr>
            </w:pPr>
          </w:p>
        </w:tc>
        <w:tc>
          <w:tcPr>
            <w:tcW w:w="2340" w:type="dxa"/>
          </w:tcPr>
          <w:p w:rsidR="00023AB4" w:rsidRPr="006561D5" w:rsidRDefault="00023AB4"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In early-progressed malignancies, immune cells, particularly CD45RO+, CD3+, and CD8+ lymphocytes, were much more abundant. Studies have also shown that the prognosis is significantly influenced by the heterogeneity in the tumor microenvironment, even in two patients with the same type of cancer, the tumor microstructure, immune cell distribution in the tumor's center and </w:t>
            </w:r>
            <w:r w:rsidRPr="006561D5">
              <w:rPr>
                <w:rFonts w:ascii="Times New Roman" w:hAnsi="Times New Roman" w:cs="Times New Roman"/>
                <w:sz w:val="24"/>
              </w:rPr>
              <w:lastRenderedPageBreak/>
              <w:t>margin, secondary lymphoid structures, as well as the type of inflammatory cells and their functional status.</w:t>
            </w:r>
          </w:p>
          <w:p w:rsidR="00023AB4" w:rsidRPr="006561D5" w:rsidRDefault="00023AB4" w:rsidP="00245E97">
            <w:pPr>
              <w:spacing w:line="480" w:lineRule="auto"/>
              <w:jc w:val="both"/>
              <w:rPr>
                <w:rFonts w:ascii="Times New Roman" w:hAnsi="Times New Roman" w:cs="Times New Roman"/>
                <w:sz w:val="24"/>
              </w:rPr>
            </w:pPr>
          </w:p>
        </w:tc>
      </w:tr>
      <w:tr w:rsidR="00CD092A" w:rsidRPr="006561D5" w:rsidTr="00120105">
        <w:trPr>
          <w:trHeight w:val="4157"/>
        </w:trPr>
        <w:tc>
          <w:tcPr>
            <w:tcW w:w="1183" w:type="dxa"/>
          </w:tcPr>
          <w:p w:rsidR="00023AB4" w:rsidRPr="006561D5" w:rsidRDefault="00A84A03" w:rsidP="00245E97">
            <w:pPr>
              <w:spacing w:line="480" w:lineRule="auto"/>
              <w:jc w:val="both"/>
              <w:rPr>
                <w:rFonts w:ascii="Times New Roman" w:hAnsi="Times New Roman" w:cs="Times New Roman"/>
                <w:sz w:val="24"/>
              </w:rPr>
            </w:pPr>
            <w:r w:rsidRPr="006561D5">
              <w:rPr>
                <w:rFonts w:ascii="Times New Roman" w:hAnsi="Times New Roman" w:cs="Times New Roman"/>
                <w:color w:val="131413"/>
                <w:sz w:val="24"/>
                <w:szCs w:val="24"/>
              </w:rPr>
              <w:lastRenderedPageBreak/>
              <w:t xml:space="preserve">Yan </w:t>
            </w:r>
            <w:r w:rsidRPr="006561D5">
              <w:rPr>
                <w:rFonts w:ascii="Times New Roman" w:hAnsi="Times New Roman" w:cs="Times New Roman"/>
                <w:i/>
                <w:color w:val="131413"/>
                <w:sz w:val="24"/>
                <w:szCs w:val="24"/>
              </w:rPr>
              <w:t>et Al .</w:t>
            </w:r>
            <w:r w:rsidRPr="006561D5">
              <w:rPr>
                <w:rFonts w:ascii="Times New Roman" w:hAnsi="Times New Roman" w:cs="Times New Roman"/>
                <w:color w:val="131413"/>
                <w:sz w:val="24"/>
                <w:szCs w:val="24"/>
              </w:rPr>
              <w:t>(2022)</w:t>
            </w:r>
          </w:p>
        </w:tc>
        <w:tc>
          <w:tcPr>
            <w:tcW w:w="1323" w:type="dxa"/>
          </w:tcPr>
          <w:p w:rsidR="00023AB4" w:rsidRPr="006561D5" w:rsidRDefault="00A84A03"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023AB4" w:rsidRPr="006561D5" w:rsidRDefault="00A84A03" w:rsidP="00245E97">
            <w:pPr>
              <w:spacing w:line="480" w:lineRule="auto"/>
              <w:jc w:val="both"/>
              <w:rPr>
                <w:rFonts w:ascii="Times New Roman" w:hAnsi="Times New Roman" w:cs="Times New Roman"/>
                <w:sz w:val="24"/>
              </w:rPr>
            </w:pPr>
            <w:r w:rsidRPr="006561D5">
              <w:rPr>
                <w:rFonts w:ascii="Times New Roman" w:hAnsi="Times New Roman" w:cs="Times New Roman"/>
                <w:color w:val="131413"/>
                <w:sz w:val="20"/>
                <w:szCs w:val="18"/>
              </w:rPr>
              <w:t>TPM1 and TPM2</w:t>
            </w:r>
          </w:p>
        </w:tc>
        <w:tc>
          <w:tcPr>
            <w:tcW w:w="1183" w:type="dxa"/>
          </w:tcPr>
          <w:p w:rsidR="00023AB4" w:rsidRPr="006561D5" w:rsidRDefault="00A84A03"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023AB4" w:rsidRPr="006561D5" w:rsidRDefault="00A84A03"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023AB4" w:rsidRPr="006561D5" w:rsidRDefault="00A84A03" w:rsidP="00245E97">
            <w:pPr>
              <w:spacing w:line="480" w:lineRule="auto"/>
              <w:jc w:val="both"/>
              <w:rPr>
                <w:rFonts w:ascii="Times New Roman" w:hAnsi="Times New Roman" w:cs="Times New Roman"/>
                <w:sz w:val="28"/>
              </w:rPr>
            </w:pPr>
            <w:r w:rsidRPr="006561D5">
              <w:rPr>
                <w:rFonts w:ascii="Times New Roman" w:hAnsi="Times New Roman" w:cs="Times New Roman"/>
                <w:color w:val="131413"/>
                <w:sz w:val="28"/>
                <w:szCs w:val="18"/>
              </w:rPr>
              <w:t>immune inhibition</w:t>
            </w:r>
          </w:p>
        </w:tc>
        <w:tc>
          <w:tcPr>
            <w:tcW w:w="2340" w:type="dxa"/>
          </w:tcPr>
          <w:p w:rsidR="00023AB4" w:rsidRPr="006561D5" w:rsidRDefault="00A84A03" w:rsidP="00245E97">
            <w:pPr>
              <w:autoSpaceDE w:val="0"/>
              <w:autoSpaceDN w:val="0"/>
              <w:adjustRightInd w:val="0"/>
              <w:spacing w:line="480" w:lineRule="auto"/>
              <w:rPr>
                <w:rFonts w:ascii="Times New Roman" w:hAnsi="Times New Roman" w:cs="Times New Roman"/>
                <w:color w:val="131413"/>
                <w:szCs w:val="20"/>
              </w:rPr>
            </w:pPr>
            <w:r w:rsidRPr="006561D5">
              <w:rPr>
                <w:rFonts w:ascii="Times New Roman" w:hAnsi="Times New Roman" w:cs="Times New Roman"/>
                <w:sz w:val="24"/>
              </w:rPr>
              <w:t xml:space="preserve">TPM1 and TPM2 are useful diagnostic indicators for bladder cancer. TPM1 is a stand-alone predictor of bladder cancer outcome. The invasion of different immune cells in bladder cancer is also linked to TM. </w:t>
            </w:r>
            <w:r w:rsidRPr="006561D5">
              <w:rPr>
                <w:rFonts w:ascii="Times New Roman" w:hAnsi="Times New Roman" w:cs="Times New Roman"/>
                <w:color w:val="131413"/>
                <w:szCs w:val="20"/>
              </w:rPr>
              <w:t>TM may have influenced the development of bladder cancer through immune inhibition.</w:t>
            </w:r>
          </w:p>
        </w:tc>
      </w:tr>
      <w:tr w:rsidR="00CD092A" w:rsidRPr="006561D5" w:rsidTr="00120105">
        <w:trPr>
          <w:trHeight w:val="2420"/>
        </w:trPr>
        <w:tc>
          <w:tcPr>
            <w:tcW w:w="1183" w:type="dxa"/>
          </w:tcPr>
          <w:p w:rsidR="006E49F6" w:rsidRPr="006561D5" w:rsidRDefault="006E49F6" w:rsidP="00245E97">
            <w:pPr>
              <w:spacing w:line="480" w:lineRule="auto"/>
              <w:jc w:val="both"/>
              <w:rPr>
                <w:rFonts w:ascii="Times New Roman" w:hAnsi="Times New Roman" w:cs="Times New Roman"/>
                <w:sz w:val="24"/>
              </w:rPr>
            </w:pPr>
            <w:r w:rsidRPr="006561D5">
              <w:rPr>
                <w:rFonts w:ascii="Times New Roman" w:hAnsi="Times New Roman" w:cs="Times New Roman"/>
                <w:sz w:val="18"/>
                <w:szCs w:val="16"/>
              </w:rPr>
              <w:lastRenderedPageBreak/>
              <w:t xml:space="preserve">Wang </w:t>
            </w:r>
            <w:r w:rsidRPr="006561D5">
              <w:rPr>
                <w:rFonts w:ascii="Times New Roman" w:hAnsi="Times New Roman" w:cs="Times New Roman"/>
                <w:i/>
                <w:iCs/>
                <w:sz w:val="18"/>
                <w:szCs w:val="16"/>
              </w:rPr>
              <w:t xml:space="preserve">et al. </w:t>
            </w:r>
            <w:r w:rsidRPr="006561D5">
              <w:rPr>
                <w:rFonts w:ascii="Times New Roman" w:hAnsi="Times New Roman" w:cs="Times New Roman"/>
                <w:iCs/>
                <w:sz w:val="18"/>
                <w:szCs w:val="16"/>
              </w:rPr>
              <w:t>(2022)</w:t>
            </w:r>
          </w:p>
        </w:tc>
        <w:tc>
          <w:tcPr>
            <w:tcW w:w="1323" w:type="dxa"/>
          </w:tcPr>
          <w:p w:rsidR="006E49F6" w:rsidRPr="006561D5" w:rsidRDefault="006E49F6"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6E49F6" w:rsidRPr="006561D5" w:rsidRDefault="006E49F6" w:rsidP="00245E97">
            <w:pPr>
              <w:spacing w:line="480" w:lineRule="auto"/>
              <w:jc w:val="both"/>
              <w:rPr>
                <w:rFonts w:ascii="Times New Roman" w:hAnsi="Times New Roman" w:cs="Times New Roman"/>
                <w:i/>
                <w:sz w:val="24"/>
              </w:rPr>
            </w:pPr>
            <w:r w:rsidRPr="006561D5">
              <w:rPr>
                <w:rFonts w:ascii="Times New Roman" w:hAnsi="Times New Roman" w:cs="Times New Roman"/>
                <w:i/>
                <w:iCs/>
                <w:szCs w:val="20"/>
              </w:rPr>
              <w:t>SKA3</w:t>
            </w:r>
          </w:p>
        </w:tc>
        <w:tc>
          <w:tcPr>
            <w:tcW w:w="1183" w:type="dxa"/>
          </w:tcPr>
          <w:p w:rsidR="006E49F6" w:rsidRPr="006561D5" w:rsidRDefault="006E49F6"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 Genes</w:t>
            </w:r>
          </w:p>
        </w:tc>
        <w:tc>
          <w:tcPr>
            <w:tcW w:w="1180" w:type="dxa"/>
          </w:tcPr>
          <w:p w:rsidR="006E49F6" w:rsidRPr="006561D5" w:rsidRDefault="006E49F6"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6E49F6" w:rsidRPr="006561D5" w:rsidRDefault="006E49F6"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M2 macrophages and Th2 cells </w:t>
            </w:r>
          </w:p>
        </w:tc>
        <w:tc>
          <w:tcPr>
            <w:tcW w:w="2340" w:type="dxa"/>
          </w:tcPr>
          <w:p w:rsidR="006E49F6" w:rsidRPr="006561D5" w:rsidRDefault="006E49F6"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SKA3 is linked to immune infiltration and can affect a patient's prognosis for bladder cancer. In particular, SKA3 may affect the development of M2 macrophage and Th2 cells, which may aid in the growth and spread of bladder cancer. SKA3 may therefore be an useful prognostic biomarker for bladder cancer. </w:t>
            </w:r>
          </w:p>
        </w:tc>
      </w:tr>
      <w:tr w:rsidR="00CD092A" w:rsidRPr="006561D5" w:rsidTr="008209B3">
        <w:trPr>
          <w:trHeight w:val="4688"/>
        </w:trPr>
        <w:tc>
          <w:tcPr>
            <w:tcW w:w="1183" w:type="dxa"/>
          </w:tcPr>
          <w:p w:rsidR="008209B3" w:rsidRPr="006561D5" w:rsidRDefault="008209B3" w:rsidP="00245E97">
            <w:pPr>
              <w:spacing w:line="480" w:lineRule="auto"/>
              <w:jc w:val="both"/>
              <w:rPr>
                <w:rFonts w:ascii="Times New Roman" w:hAnsi="Times New Roman" w:cs="Times New Roman"/>
                <w:bCs/>
                <w:i/>
                <w:szCs w:val="20"/>
              </w:rPr>
            </w:pPr>
            <w:r w:rsidRPr="006561D5">
              <w:rPr>
                <w:rFonts w:ascii="Times New Roman" w:hAnsi="Times New Roman" w:cs="Times New Roman"/>
                <w:bCs/>
                <w:szCs w:val="20"/>
              </w:rPr>
              <w:lastRenderedPageBreak/>
              <w:t xml:space="preserve">Carrasco </w:t>
            </w:r>
            <w:r w:rsidRPr="006561D5">
              <w:rPr>
                <w:rFonts w:ascii="Times New Roman" w:hAnsi="Times New Roman" w:cs="Times New Roman"/>
                <w:bCs/>
                <w:i/>
                <w:szCs w:val="20"/>
              </w:rPr>
              <w:t xml:space="preserve">et al. </w:t>
            </w:r>
            <w:r w:rsidRPr="006561D5">
              <w:rPr>
                <w:rFonts w:ascii="Times New Roman" w:hAnsi="Times New Roman" w:cs="Times New Roman"/>
                <w:bCs/>
                <w:szCs w:val="20"/>
              </w:rPr>
              <w:t>(2022)</w:t>
            </w:r>
          </w:p>
        </w:tc>
        <w:tc>
          <w:tcPr>
            <w:tcW w:w="1323" w:type="dxa"/>
          </w:tcPr>
          <w:p w:rsidR="008209B3" w:rsidRPr="006561D5" w:rsidRDefault="008209B3" w:rsidP="00245E97">
            <w:pPr>
              <w:spacing w:line="480" w:lineRule="auto"/>
              <w:jc w:val="both"/>
              <w:rPr>
                <w:rFonts w:ascii="Times New Roman" w:hAnsi="Times New Roman" w:cs="Times New Roman"/>
                <w:sz w:val="24"/>
              </w:rPr>
            </w:pPr>
            <w:r w:rsidRPr="006561D5">
              <w:rPr>
                <w:rFonts w:ascii="Times New Roman" w:hAnsi="Times New Roman" w:cs="Times New Roman"/>
                <w:sz w:val="24"/>
              </w:rPr>
              <w:t>Spain</w:t>
            </w:r>
          </w:p>
        </w:tc>
        <w:tc>
          <w:tcPr>
            <w:tcW w:w="1172" w:type="dxa"/>
          </w:tcPr>
          <w:p w:rsidR="008209B3" w:rsidRPr="006561D5" w:rsidRDefault="008209B3" w:rsidP="00245E97">
            <w:pPr>
              <w:spacing w:line="480" w:lineRule="auto"/>
              <w:jc w:val="both"/>
              <w:rPr>
                <w:rFonts w:ascii="Times New Roman" w:hAnsi="Times New Roman" w:cs="Times New Roman"/>
                <w:sz w:val="24"/>
              </w:rPr>
            </w:pPr>
            <w:r w:rsidRPr="006561D5">
              <w:rPr>
                <w:rFonts w:ascii="Times New Roman" w:hAnsi="Times New Roman" w:cs="Times New Roman"/>
                <w:sz w:val="20"/>
                <w:szCs w:val="18"/>
              </w:rPr>
              <w:t>cfDNA</w:t>
            </w:r>
          </w:p>
        </w:tc>
        <w:tc>
          <w:tcPr>
            <w:tcW w:w="1183" w:type="dxa"/>
          </w:tcPr>
          <w:p w:rsidR="008209B3" w:rsidRPr="006561D5" w:rsidRDefault="008209B3"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8209B3" w:rsidRPr="006561D5" w:rsidRDefault="008209B3" w:rsidP="00245E97">
            <w:pPr>
              <w:spacing w:line="480" w:lineRule="auto"/>
              <w:jc w:val="both"/>
              <w:rPr>
                <w:rFonts w:ascii="Times New Roman" w:hAnsi="Times New Roman" w:cs="Times New Roman"/>
                <w:sz w:val="24"/>
              </w:rPr>
            </w:pPr>
            <w:r w:rsidRPr="006561D5">
              <w:rPr>
                <w:rFonts w:ascii="Times New Roman" w:hAnsi="Times New Roman" w:cs="Times New Roman"/>
                <w:sz w:val="24"/>
              </w:rPr>
              <w:t>Blood</w:t>
            </w:r>
          </w:p>
        </w:tc>
        <w:tc>
          <w:tcPr>
            <w:tcW w:w="1537" w:type="dxa"/>
          </w:tcPr>
          <w:p w:rsidR="008209B3" w:rsidRPr="006561D5" w:rsidRDefault="008209B3"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18"/>
              </w:rPr>
              <w:t>Androgen Receptor Pathway</w:t>
            </w:r>
          </w:p>
        </w:tc>
        <w:tc>
          <w:tcPr>
            <w:tcW w:w="2340" w:type="dxa"/>
          </w:tcPr>
          <w:p w:rsidR="008209B3" w:rsidRPr="006561D5" w:rsidRDefault="00B8000E" w:rsidP="00245E97">
            <w:pPr>
              <w:spacing w:line="480" w:lineRule="auto"/>
              <w:jc w:val="both"/>
              <w:rPr>
                <w:rFonts w:ascii="Times New Roman" w:hAnsi="Times New Roman" w:cs="Times New Roman"/>
                <w:sz w:val="24"/>
              </w:rPr>
            </w:pPr>
            <w:r w:rsidRPr="006561D5">
              <w:rPr>
                <w:rFonts w:ascii="Times New Roman" w:hAnsi="Times New Roman" w:cs="Times New Roman"/>
                <w:sz w:val="24"/>
              </w:rPr>
              <w:t>In MIBC patients who had RC, cfDNA levels and ctDNA status four months later are indicators of tumor growth and CSS, respectively. Additionally, cfDNA monitoring can be used to forecast patients' outcomes following RC.</w:t>
            </w:r>
          </w:p>
          <w:p w:rsidR="00B8000E" w:rsidRPr="006561D5" w:rsidRDefault="00B8000E" w:rsidP="00245E97">
            <w:pPr>
              <w:spacing w:line="480" w:lineRule="auto"/>
              <w:jc w:val="both"/>
              <w:rPr>
                <w:rFonts w:ascii="Times New Roman" w:hAnsi="Times New Roman" w:cs="Times New Roman"/>
                <w:sz w:val="24"/>
              </w:rPr>
            </w:pPr>
            <w:r w:rsidRPr="006561D5">
              <w:rPr>
                <w:rFonts w:ascii="Times New Roman" w:hAnsi="Times New Roman" w:cs="Times New Roman"/>
                <w:sz w:val="24"/>
              </w:rPr>
              <w:t>Since patients might gain from early therapy, the application of cfDNA analysis in the therapeutic setting may have an effect on illness management.</w:t>
            </w:r>
          </w:p>
        </w:tc>
      </w:tr>
      <w:tr w:rsidR="00CD092A" w:rsidRPr="006561D5" w:rsidTr="00B26C59">
        <w:trPr>
          <w:trHeight w:val="3887"/>
        </w:trPr>
        <w:tc>
          <w:tcPr>
            <w:tcW w:w="1183" w:type="dxa"/>
          </w:tcPr>
          <w:p w:rsidR="008209B3" w:rsidRPr="006561D5" w:rsidRDefault="00B26C59" w:rsidP="00245E97">
            <w:pPr>
              <w:spacing w:line="480" w:lineRule="auto"/>
              <w:jc w:val="both"/>
              <w:rPr>
                <w:rFonts w:ascii="Times New Roman" w:hAnsi="Times New Roman" w:cs="Times New Roman"/>
                <w:i/>
                <w:iCs/>
                <w:sz w:val="18"/>
                <w:szCs w:val="16"/>
              </w:rPr>
            </w:pPr>
            <w:r w:rsidRPr="006561D5">
              <w:rPr>
                <w:rFonts w:ascii="Times New Roman" w:hAnsi="Times New Roman" w:cs="Times New Roman"/>
                <w:sz w:val="18"/>
                <w:szCs w:val="16"/>
              </w:rPr>
              <w:lastRenderedPageBreak/>
              <w:t xml:space="preserve">Huang </w:t>
            </w:r>
            <w:r w:rsidRPr="006561D5">
              <w:rPr>
                <w:rFonts w:ascii="Times New Roman" w:hAnsi="Times New Roman" w:cs="Times New Roman"/>
                <w:i/>
                <w:iCs/>
                <w:sz w:val="18"/>
                <w:szCs w:val="16"/>
              </w:rPr>
              <w:t>et al.</w:t>
            </w:r>
          </w:p>
          <w:p w:rsidR="00B26C59"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iCs/>
                <w:sz w:val="18"/>
                <w:szCs w:val="16"/>
              </w:rPr>
              <w:t>(2022)</w:t>
            </w:r>
          </w:p>
        </w:tc>
        <w:tc>
          <w:tcPr>
            <w:tcW w:w="1323" w:type="dxa"/>
          </w:tcPr>
          <w:p w:rsidR="008209B3" w:rsidRPr="006561D5" w:rsidRDefault="00B26C59"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8209B3" w:rsidRPr="006561D5" w:rsidRDefault="00B26C59" w:rsidP="00245E97">
            <w:pPr>
              <w:spacing w:line="480" w:lineRule="auto"/>
              <w:jc w:val="center"/>
              <w:rPr>
                <w:rFonts w:ascii="Times New Roman" w:hAnsi="Times New Roman" w:cs="Times New Roman"/>
                <w:sz w:val="24"/>
              </w:rPr>
            </w:pPr>
            <w:r w:rsidRPr="006561D5">
              <w:rPr>
                <w:rFonts w:ascii="Times New Roman" w:eastAsia="MyriadPro-Light" w:hAnsi="Times New Roman" w:cs="Times New Roman"/>
                <w:szCs w:val="20"/>
              </w:rPr>
              <w:t>ENOs</w:t>
            </w:r>
          </w:p>
        </w:tc>
        <w:tc>
          <w:tcPr>
            <w:tcW w:w="1183" w:type="dxa"/>
          </w:tcPr>
          <w:p w:rsidR="008209B3" w:rsidRPr="006561D5" w:rsidRDefault="00B26C59" w:rsidP="00245E97">
            <w:pPr>
              <w:spacing w:line="480" w:lineRule="auto"/>
              <w:jc w:val="center"/>
              <w:rPr>
                <w:rFonts w:ascii="Times New Roman" w:hAnsi="Times New Roman" w:cs="Times New Roman"/>
                <w:sz w:val="24"/>
              </w:rPr>
            </w:pPr>
            <w:r w:rsidRPr="006561D5">
              <w:rPr>
                <w:rFonts w:ascii="Times New Roman" w:hAnsi="Times New Roman" w:cs="Times New Roman"/>
                <w:sz w:val="24"/>
              </w:rPr>
              <w:t>Genes</w:t>
            </w:r>
          </w:p>
        </w:tc>
        <w:tc>
          <w:tcPr>
            <w:tcW w:w="1180" w:type="dxa"/>
          </w:tcPr>
          <w:p w:rsidR="008209B3" w:rsidRPr="006561D5" w:rsidRDefault="00B26C59" w:rsidP="00245E97">
            <w:pPr>
              <w:spacing w:line="480" w:lineRule="auto"/>
              <w:jc w:val="center"/>
              <w:rPr>
                <w:rFonts w:ascii="Times New Roman" w:hAnsi="Times New Roman" w:cs="Times New Roman"/>
                <w:sz w:val="24"/>
              </w:rPr>
            </w:pPr>
            <w:r w:rsidRPr="006561D5">
              <w:rPr>
                <w:rFonts w:ascii="Times New Roman" w:hAnsi="Times New Roman" w:cs="Times New Roman"/>
                <w:sz w:val="24"/>
              </w:rPr>
              <w:t>Tissue</w:t>
            </w:r>
          </w:p>
        </w:tc>
        <w:tc>
          <w:tcPr>
            <w:tcW w:w="1537"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20"/>
              </w:rPr>
              <w:t>glycolysis pathway</w:t>
            </w:r>
          </w:p>
        </w:tc>
        <w:tc>
          <w:tcPr>
            <w:tcW w:w="2340"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ENO1 was substantially correlated with tumor aggressiveness and abnormally overexpressed in BLCA. Upregulation of ENO1 also predicted worse clinical outcomes. These findings suggested that ENO1 could be a useful predictive biomarker for BLCA. Additionally, there was a striking correlation between ENO1 expression and immune cell infiltration in the TME of BLCA. Together, our </w:t>
            </w:r>
            <w:r w:rsidRPr="006561D5">
              <w:rPr>
                <w:rFonts w:ascii="Times New Roman" w:hAnsi="Times New Roman" w:cs="Times New Roman"/>
                <w:sz w:val="24"/>
              </w:rPr>
              <w:lastRenderedPageBreak/>
              <w:t>findings contribute to a deeper comprehension of ENO1's actions as well as its potential translational applications for BLCA diagnosis and treatment.</w:t>
            </w:r>
          </w:p>
        </w:tc>
      </w:tr>
      <w:tr w:rsidR="00CD092A" w:rsidRPr="006561D5" w:rsidTr="00B26C59">
        <w:trPr>
          <w:trHeight w:val="4157"/>
        </w:trPr>
        <w:tc>
          <w:tcPr>
            <w:tcW w:w="1183" w:type="dxa"/>
          </w:tcPr>
          <w:p w:rsidR="00B26C59" w:rsidRPr="006561D5" w:rsidRDefault="00B26C59" w:rsidP="00245E97">
            <w:pPr>
              <w:spacing w:line="480" w:lineRule="auto"/>
              <w:jc w:val="both"/>
              <w:rPr>
                <w:rFonts w:ascii="Times New Roman" w:hAnsi="Times New Roman" w:cs="Times New Roman"/>
                <w:i/>
                <w:color w:val="131413"/>
                <w:sz w:val="24"/>
                <w:szCs w:val="24"/>
              </w:rPr>
            </w:pPr>
            <w:r w:rsidRPr="006561D5">
              <w:rPr>
                <w:rFonts w:ascii="Times New Roman" w:hAnsi="Times New Roman" w:cs="Times New Roman"/>
                <w:color w:val="131413"/>
                <w:sz w:val="24"/>
                <w:szCs w:val="24"/>
              </w:rPr>
              <w:lastRenderedPageBreak/>
              <w:t xml:space="preserve">Zhao </w:t>
            </w:r>
            <w:r w:rsidRPr="006561D5">
              <w:rPr>
                <w:rFonts w:ascii="Times New Roman" w:hAnsi="Times New Roman" w:cs="Times New Roman"/>
                <w:i/>
                <w:color w:val="131413"/>
                <w:sz w:val="24"/>
                <w:szCs w:val="24"/>
              </w:rPr>
              <w:t>et al.</w:t>
            </w:r>
          </w:p>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color w:val="131413"/>
                <w:sz w:val="24"/>
                <w:szCs w:val="24"/>
              </w:rPr>
              <w:t xml:space="preserve">(2022) </w:t>
            </w:r>
          </w:p>
        </w:tc>
        <w:tc>
          <w:tcPr>
            <w:tcW w:w="1323" w:type="dxa"/>
          </w:tcPr>
          <w:p w:rsidR="008209B3" w:rsidRPr="006561D5" w:rsidRDefault="00B26C59"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color w:val="131413"/>
                <w:sz w:val="24"/>
                <w:szCs w:val="36"/>
              </w:rPr>
              <w:t>KLK6</w:t>
            </w:r>
          </w:p>
        </w:tc>
        <w:tc>
          <w:tcPr>
            <w:tcW w:w="1183"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B26C59" w:rsidRPr="006561D5" w:rsidRDefault="00B26C59" w:rsidP="00245E97">
            <w:pPr>
              <w:autoSpaceDE w:val="0"/>
              <w:autoSpaceDN w:val="0"/>
              <w:adjustRightInd w:val="0"/>
              <w:spacing w:line="480" w:lineRule="auto"/>
              <w:rPr>
                <w:rFonts w:ascii="Times New Roman" w:hAnsi="Times New Roman" w:cs="Times New Roman"/>
                <w:color w:val="131413"/>
                <w:sz w:val="24"/>
                <w:szCs w:val="20"/>
              </w:rPr>
            </w:pPr>
            <w:r w:rsidRPr="006561D5">
              <w:rPr>
                <w:rFonts w:ascii="Times New Roman" w:hAnsi="Times New Roman" w:cs="Times New Roman"/>
                <w:color w:val="131413"/>
                <w:sz w:val="24"/>
                <w:szCs w:val="20"/>
              </w:rPr>
              <w:t>neutrophils migration</w:t>
            </w:r>
          </w:p>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color w:val="131413"/>
                <w:sz w:val="24"/>
                <w:szCs w:val="20"/>
              </w:rPr>
              <w:t>and chemotaxis</w:t>
            </w:r>
          </w:p>
        </w:tc>
        <w:tc>
          <w:tcPr>
            <w:tcW w:w="2340" w:type="dxa"/>
          </w:tcPr>
          <w:p w:rsidR="008209B3" w:rsidRPr="006561D5" w:rsidRDefault="00B26C59" w:rsidP="00245E97">
            <w:pPr>
              <w:spacing w:line="480" w:lineRule="auto"/>
              <w:jc w:val="both"/>
              <w:rPr>
                <w:rFonts w:ascii="Times New Roman" w:hAnsi="Times New Roman" w:cs="Times New Roman"/>
                <w:sz w:val="24"/>
              </w:rPr>
            </w:pPr>
            <w:r w:rsidRPr="006561D5">
              <w:rPr>
                <w:rFonts w:ascii="Times New Roman" w:hAnsi="Times New Roman" w:cs="Times New Roman"/>
                <w:sz w:val="24"/>
              </w:rPr>
              <w:t>KLK6 is a separate prognostic factor and a target of BLCA's anticancer activity. KLK6 inhibition may help with BLCA immunotherapy because KLK6 expression favorably corresponds with the invasion of various immune cells.</w:t>
            </w:r>
          </w:p>
        </w:tc>
      </w:tr>
      <w:tr w:rsidR="00CD092A" w:rsidRPr="006561D5" w:rsidTr="007810FF">
        <w:trPr>
          <w:trHeight w:val="2870"/>
        </w:trPr>
        <w:tc>
          <w:tcPr>
            <w:tcW w:w="1183" w:type="dxa"/>
          </w:tcPr>
          <w:p w:rsidR="00C46226" w:rsidRPr="006561D5" w:rsidRDefault="00C46226" w:rsidP="00245E97">
            <w:pPr>
              <w:spacing w:line="480" w:lineRule="auto"/>
              <w:jc w:val="both"/>
              <w:rPr>
                <w:rFonts w:ascii="Times New Roman" w:hAnsi="Times New Roman" w:cs="Times New Roman"/>
                <w:sz w:val="24"/>
              </w:rPr>
            </w:pPr>
            <w:r w:rsidRPr="006561D5">
              <w:rPr>
                <w:rFonts w:ascii="Times New Roman" w:hAnsi="Times New Roman" w:cs="Times New Roman"/>
                <w:bCs/>
                <w:szCs w:val="20"/>
              </w:rPr>
              <w:lastRenderedPageBreak/>
              <w:t xml:space="preserve">Hu </w:t>
            </w:r>
            <w:r w:rsidRPr="006561D5">
              <w:rPr>
                <w:rFonts w:ascii="Times New Roman" w:hAnsi="Times New Roman" w:cs="Times New Roman"/>
                <w:bCs/>
                <w:i/>
                <w:szCs w:val="20"/>
              </w:rPr>
              <w:t xml:space="preserve">et al. </w:t>
            </w:r>
            <w:r w:rsidRPr="006561D5">
              <w:rPr>
                <w:rFonts w:ascii="Times New Roman" w:hAnsi="Times New Roman" w:cs="Times New Roman"/>
                <w:bCs/>
                <w:szCs w:val="20"/>
              </w:rPr>
              <w:t>(2022)</w:t>
            </w:r>
          </w:p>
        </w:tc>
        <w:tc>
          <w:tcPr>
            <w:tcW w:w="1323" w:type="dxa"/>
          </w:tcPr>
          <w:p w:rsidR="00C46226" w:rsidRPr="006561D5" w:rsidRDefault="00C46226"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C46226" w:rsidRPr="006561D5" w:rsidRDefault="00C46226" w:rsidP="00245E97">
            <w:pPr>
              <w:spacing w:line="480" w:lineRule="auto"/>
              <w:jc w:val="center"/>
              <w:rPr>
                <w:rFonts w:ascii="Times New Roman" w:hAnsi="Times New Roman" w:cs="Times New Roman"/>
                <w:szCs w:val="20"/>
              </w:rPr>
            </w:pPr>
            <w:r w:rsidRPr="006561D5">
              <w:rPr>
                <w:rFonts w:ascii="Times New Roman" w:hAnsi="Times New Roman" w:cs="Times New Roman"/>
                <w:szCs w:val="20"/>
              </w:rPr>
              <w:t>lncRNA</w:t>
            </w:r>
          </w:p>
          <w:p w:rsidR="00C46226" w:rsidRPr="006561D5" w:rsidRDefault="00C46226" w:rsidP="00245E97">
            <w:pPr>
              <w:spacing w:line="480" w:lineRule="auto"/>
              <w:jc w:val="center"/>
              <w:rPr>
                <w:rFonts w:ascii="Times New Roman" w:hAnsi="Times New Roman" w:cs="Times New Roman"/>
                <w:sz w:val="24"/>
              </w:rPr>
            </w:pPr>
            <w:r w:rsidRPr="006561D5">
              <w:rPr>
                <w:rFonts w:ascii="Times New Roman" w:hAnsi="Times New Roman" w:cs="Times New Roman"/>
                <w:szCs w:val="20"/>
              </w:rPr>
              <w:t>(MIR4435-2HG)</w:t>
            </w:r>
          </w:p>
        </w:tc>
        <w:tc>
          <w:tcPr>
            <w:tcW w:w="1183" w:type="dxa"/>
          </w:tcPr>
          <w:p w:rsidR="00C46226" w:rsidRPr="006561D5" w:rsidRDefault="00C46226" w:rsidP="00245E97">
            <w:pPr>
              <w:spacing w:line="480" w:lineRule="auto"/>
              <w:jc w:val="center"/>
              <w:rPr>
                <w:rFonts w:ascii="Times New Roman" w:hAnsi="Times New Roman" w:cs="Times New Roman"/>
                <w:sz w:val="24"/>
              </w:rPr>
            </w:pPr>
            <w:r w:rsidRPr="006561D5">
              <w:rPr>
                <w:rFonts w:ascii="Times New Roman" w:hAnsi="Times New Roman" w:cs="Times New Roman"/>
                <w:sz w:val="24"/>
              </w:rPr>
              <w:t>Genes</w:t>
            </w:r>
          </w:p>
        </w:tc>
        <w:tc>
          <w:tcPr>
            <w:tcW w:w="1180" w:type="dxa"/>
          </w:tcPr>
          <w:p w:rsidR="00C46226" w:rsidRPr="006561D5" w:rsidRDefault="00C46226" w:rsidP="00245E97">
            <w:pPr>
              <w:spacing w:line="480" w:lineRule="auto"/>
              <w:jc w:val="center"/>
              <w:rPr>
                <w:rFonts w:ascii="Times New Roman" w:hAnsi="Times New Roman" w:cs="Times New Roman"/>
                <w:sz w:val="24"/>
              </w:rPr>
            </w:pPr>
            <w:r w:rsidRPr="006561D5">
              <w:rPr>
                <w:rFonts w:ascii="Times New Roman" w:hAnsi="Times New Roman" w:cs="Times New Roman"/>
                <w:sz w:val="24"/>
              </w:rPr>
              <w:t>Tissue</w:t>
            </w:r>
          </w:p>
        </w:tc>
        <w:tc>
          <w:tcPr>
            <w:tcW w:w="1537" w:type="dxa"/>
          </w:tcPr>
          <w:p w:rsidR="00C46226" w:rsidRPr="006561D5" w:rsidRDefault="00C46226"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20"/>
              </w:rPr>
              <w:t>Wnt/_Beta-catenin signaling pathway</w:t>
            </w:r>
          </w:p>
        </w:tc>
        <w:tc>
          <w:tcPr>
            <w:tcW w:w="2340" w:type="dxa"/>
          </w:tcPr>
          <w:p w:rsidR="00C46226" w:rsidRPr="006561D5" w:rsidRDefault="00C46226"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Finally, we examined the publicly available information from numerous bladder cancer cohorts and discovered that MIR4435-2HG has a considerable predictive significance. Our research offers a fresh perspective on the prediction of bladder cancer, offering new possibilities for experimental research as well as auxiliary markers for clinical use in determining prognosis and creating management </w:t>
            </w:r>
            <w:r w:rsidRPr="006561D5">
              <w:rPr>
                <w:rFonts w:ascii="Times New Roman" w:hAnsi="Times New Roman" w:cs="Times New Roman"/>
                <w:sz w:val="24"/>
              </w:rPr>
              <w:lastRenderedPageBreak/>
              <w:t>plans.</w:t>
            </w:r>
          </w:p>
        </w:tc>
      </w:tr>
      <w:tr w:rsidR="00CD092A" w:rsidRPr="006561D5" w:rsidTr="00750699">
        <w:trPr>
          <w:trHeight w:val="3104"/>
        </w:trPr>
        <w:tc>
          <w:tcPr>
            <w:tcW w:w="1183" w:type="dxa"/>
          </w:tcPr>
          <w:p w:rsidR="00C46226" w:rsidRPr="006561D5" w:rsidRDefault="00750699" w:rsidP="00245E97">
            <w:pPr>
              <w:spacing w:line="480" w:lineRule="auto"/>
              <w:jc w:val="both"/>
              <w:rPr>
                <w:rFonts w:ascii="Times New Roman" w:hAnsi="Times New Roman" w:cs="Times New Roman"/>
                <w:i/>
                <w:iCs/>
                <w:sz w:val="24"/>
                <w:szCs w:val="16"/>
              </w:rPr>
            </w:pPr>
            <w:r w:rsidRPr="006561D5">
              <w:rPr>
                <w:rFonts w:ascii="Times New Roman" w:hAnsi="Times New Roman" w:cs="Times New Roman"/>
                <w:sz w:val="24"/>
                <w:szCs w:val="16"/>
              </w:rPr>
              <w:lastRenderedPageBreak/>
              <w:t xml:space="preserve">Tang </w:t>
            </w:r>
            <w:r w:rsidRPr="006561D5">
              <w:rPr>
                <w:rFonts w:ascii="Times New Roman" w:hAnsi="Times New Roman" w:cs="Times New Roman"/>
                <w:i/>
                <w:iCs/>
                <w:sz w:val="24"/>
                <w:szCs w:val="16"/>
              </w:rPr>
              <w:t>et al.</w:t>
            </w:r>
          </w:p>
          <w:p w:rsidR="00750699"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iCs/>
                <w:sz w:val="24"/>
                <w:szCs w:val="16"/>
              </w:rPr>
              <w:t>(2022)</w:t>
            </w:r>
          </w:p>
        </w:tc>
        <w:tc>
          <w:tcPr>
            <w:tcW w:w="1323"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China</w:t>
            </w:r>
          </w:p>
        </w:tc>
        <w:tc>
          <w:tcPr>
            <w:tcW w:w="1172" w:type="dxa"/>
          </w:tcPr>
          <w:p w:rsidR="00750699" w:rsidRPr="006561D5" w:rsidRDefault="00750699" w:rsidP="00245E97">
            <w:pPr>
              <w:autoSpaceDE w:val="0"/>
              <w:autoSpaceDN w:val="0"/>
              <w:adjustRightInd w:val="0"/>
              <w:spacing w:line="480" w:lineRule="auto"/>
              <w:rPr>
                <w:rFonts w:ascii="Times New Roman" w:hAnsi="Times New Roman" w:cs="Times New Roman"/>
                <w:sz w:val="24"/>
                <w:szCs w:val="20"/>
              </w:rPr>
            </w:pPr>
            <w:r w:rsidRPr="006561D5">
              <w:rPr>
                <w:rFonts w:ascii="Times New Roman" w:hAnsi="Times New Roman" w:cs="Times New Roman"/>
                <w:sz w:val="24"/>
                <w:szCs w:val="20"/>
              </w:rPr>
              <w:t>7 genes (GRHL2, ANXA1, APOL1,</w:t>
            </w:r>
          </w:p>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20"/>
              </w:rPr>
              <w:t>SETBP1, NR2F1, KLRB1 and PLAC9)</w:t>
            </w:r>
          </w:p>
        </w:tc>
        <w:tc>
          <w:tcPr>
            <w:tcW w:w="1183"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C46226" w:rsidRPr="006561D5" w:rsidRDefault="00C46226" w:rsidP="00245E97">
            <w:pPr>
              <w:spacing w:line="480" w:lineRule="auto"/>
              <w:jc w:val="both"/>
              <w:rPr>
                <w:rFonts w:ascii="Times New Roman" w:hAnsi="Times New Roman" w:cs="Times New Roman"/>
                <w:sz w:val="24"/>
              </w:rPr>
            </w:pPr>
          </w:p>
        </w:tc>
        <w:tc>
          <w:tcPr>
            <w:tcW w:w="2340"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In conclusion, we identified seven important genes (GRHL2, ANXA1, APOL1, SETBP1, NR2F1, KLRB1, and PLAC9) and created a 7-gene signature predictive model for BC patients using univariate Cox, LASSO, and multivariate Cox analyses. Before it may be effectively used in clinical practice, the 7-gene signature in the BC </w:t>
            </w:r>
            <w:r w:rsidRPr="006561D5">
              <w:rPr>
                <w:rFonts w:ascii="Times New Roman" w:hAnsi="Times New Roman" w:cs="Times New Roman"/>
                <w:sz w:val="24"/>
              </w:rPr>
              <w:lastRenderedPageBreak/>
              <w:t>patient prognostic assessment model still needs more clinical validation.</w:t>
            </w:r>
          </w:p>
        </w:tc>
      </w:tr>
      <w:tr w:rsidR="00CD092A" w:rsidRPr="006561D5" w:rsidTr="00750699">
        <w:trPr>
          <w:trHeight w:val="2321"/>
        </w:trPr>
        <w:tc>
          <w:tcPr>
            <w:tcW w:w="1183" w:type="dxa"/>
          </w:tcPr>
          <w:p w:rsidR="00C46226" w:rsidRPr="006561D5" w:rsidRDefault="00750699" w:rsidP="00245E97">
            <w:pPr>
              <w:spacing w:line="480" w:lineRule="auto"/>
              <w:jc w:val="both"/>
              <w:rPr>
                <w:rFonts w:ascii="Times New Roman" w:hAnsi="Times New Roman" w:cs="Times New Roman"/>
                <w:i/>
                <w:sz w:val="24"/>
                <w:szCs w:val="18"/>
              </w:rPr>
            </w:pPr>
            <w:r w:rsidRPr="006561D5">
              <w:rPr>
                <w:rFonts w:ascii="Times New Roman" w:hAnsi="Times New Roman" w:cs="Times New Roman"/>
                <w:sz w:val="24"/>
                <w:szCs w:val="18"/>
              </w:rPr>
              <w:lastRenderedPageBreak/>
              <w:t xml:space="preserve">Tan </w:t>
            </w:r>
            <w:r w:rsidRPr="006561D5">
              <w:rPr>
                <w:rFonts w:ascii="Times New Roman" w:hAnsi="Times New Roman" w:cs="Times New Roman"/>
                <w:i/>
                <w:sz w:val="24"/>
                <w:szCs w:val="18"/>
              </w:rPr>
              <w:t>et al.</w:t>
            </w:r>
          </w:p>
          <w:p w:rsidR="00750699"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18"/>
              </w:rPr>
              <w:t>(2022)</w:t>
            </w:r>
          </w:p>
        </w:tc>
        <w:tc>
          <w:tcPr>
            <w:tcW w:w="1323"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China</w:t>
            </w:r>
          </w:p>
        </w:tc>
        <w:tc>
          <w:tcPr>
            <w:tcW w:w="1172"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Cs w:val="20"/>
              </w:rPr>
              <w:t>HSPB8</w:t>
            </w:r>
          </w:p>
        </w:tc>
        <w:tc>
          <w:tcPr>
            <w:tcW w:w="1183"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Proteins</w:t>
            </w:r>
          </w:p>
        </w:tc>
        <w:tc>
          <w:tcPr>
            <w:tcW w:w="1180"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t xml:space="preserve">Growth factor binding, peptidase regulatory activity, cytokine binding, proteoglycan binding, complement activation, positive regulation of leukocyte migration, humoral immune </w:t>
            </w:r>
            <w:r w:rsidRPr="006561D5">
              <w:rPr>
                <w:rFonts w:ascii="Times New Roman" w:hAnsi="Times New Roman" w:cs="Times New Roman"/>
                <w:sz w:val="24"/>
              </w:rPr>
              <w:lastRenderedPageBreak/>
              <w:t>response, and peptidase inhibitor activity pathways were all enriched in HSPB8.</w:t>
            </w:r>
          </w:p>
        </w:tc>
        <w:tc>
          <w:tcPr>
            <w:tcW w:w="2340" w:type="dxa"/>
          </w:tcPr>
          <w:p w:rsidR="00C46226" w:rsidRPr="006561D5" w:rsidRDefault="00750699" w:rsidP="00245E97">
            <w:pPr>
              <w:spacing w:line="480" w:lineRule="auto"/>
              <w:jc w:val="both"/>
              <w:rPr>
                <w:rFonts w:ascii="Times New Roman" w:hAnsi="Times New Roman" w:cs="Times New Roman"/>
                <w:sz w:val="24"/>
              </w:rPr>
            </w:pPr>
            <w:r w:rsidRPr="006561D5">
              <w:rPr>
                <w:rFonts w:ascii="Times New Roman" w:hAnsi="Times New Roman" w:cs="Times New Roman"/>
                <w:sz w:val="24"/>
              </w:rPr>
              <w:lastRenderedPageBreak/>
              <w:t xml:space="preserve">HSPB8 may be a promising diagnostic and prognostic molecular marker for BC, according to the current study's findings. </w:t>
            </w:r>
            <w:r w:rsidR="000F27FD" w:rsidRPr="006561D5">
              <w:rPr>
                <w:rFonts w:ascii="Times New Roman" w:hAnsi="Times New Roman" w:cs="Times New Roman"/>
                <w:sz w:val="24"/>
              </w:rPr>
              <w:t>But in order to confirm the clinical applicability of HSPB8 in the individualized therapy of BC, substantial prospective studies are needed.</w:t>
            </w:r>
          </w:p>
        </w:tc>
      </w:tr>
      <w:tr w:rsidR="00CD092A" w:rsidRPr="006561D5" w:rsidTr="000F27FD">
        <w:trPr>
          <w:trHeight w:val="3518"/>
        </w:trPr>
        <w:tc>
          <w:tcPr>
            <w:tcW w:w="1183" w:type="dxa"/>
          </w:tcPr>
          <w:p w:rsidR="00C46226" w:rsidRPr="006561D5" w:rsidRDefault="00CD092A" w:rsidP="00245E97">
            <w:pPr>
              <w:spacing w:line="480" w:lineRule="auto"/>
              <w:jc w:val="both"/>
              <w:rPr>
                <w:rFonts w:ascii="Times New Roman" w:hAnsi="Times New Roman" w:cs="Times New Roman"/>
                <w:i/>
                <w:iCs/>
                <w:sz w:val="24"/>
                <w:szCs w:val="16"/>
              </w:rPr>
            </w:pPr>
            <w:r w:rsidRPr="006561D5">
              <w:rPr>
                <w:rFonts w:ascii="Times New Roman" w:hAnsi="Times New Roman" w:cs="Times New Roman"/>
                <w:sz w:val="24"/>
                <w:szCs w:val="16"/>
              </w:rPr>
              <w:lastRenderedPageBreak/>
              <w:t xml:space="preserve">Liu </w:t>
            </w:r>
            <w:r w:rsidRPr="006561D5">
              <w:rPr>
                <w:rFonts w:ascii="Times New Roman" w:hAnsi="Times New Roman" w:cs="Times New Roman"/>
                <w:i/>
                <w:iCs/>
                <w:sz w:val="24"/>
                <w:szCs w:val="16"/>
              </w:rPr>
              <w:t>et al.</w:t>
            </w:r>
          </w:p>
          <w:p w:rsidR="00CD092A"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iCs/>
                <w:sz w:val="24"/>
                <w:szCs w:val="16"/>
              </w:rPr>
              <w:t>(2022)</w:t>
            </w:r>
          </w:p>
        </w:tc>
        <w:tc>
          <w:tcPr>
            <w:tcW w:w="1323" w:type="dxa"/>
          </w:tcPr>
          <w:p w:rsidR="00C46226" w:rsidRPr="006561D5" w:rsidRDefault="00CD092A" w:rsidP="00245E97">
            <w:pPr>
              <w:spacing w:line="480" w:lineRule="auto"/>
              <w:jc w:val="center"/>
              <w:rPr>
                <w:rFonts w:ascii="Times New Roman" w:hAnsi="Times New Roman" w:cs="Times New Roman"/>
                <w:sz w:val="24"/>
              </w:rPr>
            </w:pPr>
            <w:r w:rsidRPr="006561D5">
              <w:rPr>
                <w:rFonts w:ascii="Times New Roman" w:hAnsi="Times New Roman" w:cs="Times New Roman"/>
                <w:sz w:val="24"/>
              </w:rPr>
              <w:t>China</w:t>
            </w:r>
          </w:p>
        </w:tc>
        <w:tc>
          <w:tcPr>
            <w:tcW w:w="1172" w:type="dxa"/>
          </w:tcPr>
          <w:p w:rsidR="00C46226" w:rsidRPr="006561D5" w:rsidRDefault="00CD092A" w:rsidP="00245E97">
            <w:pPr>
              <w:spacing w:line="480" w:lineRule="auto"/>
              <w:jc w:val="center"/>
              <w:rPr>
                <w:rFonts w:ascii="Times New Roman" w:hAnsi="Times New Roman" w:cs="Times New Roman"/>
                <w:sz w:val="24"/>
              </w:rPr>
            </w:pPr>
            <w:r w:rsidRPr="006561D5">
              <w:rPr>
                <w:rFonts w:ascii="Times New Roman" w:hAnsi="Times New Roman" w:cs="Times New Roman"/>
                <w:sz w:val="24"/>
                <w:szCs w:val="48"/>
              </w:rPr>
              <w:t>HYAL3</w:t>
            </w:r>
          </w:p>
        </w:tc>
        <w:tc>
          <w:tcPr>
            <w:tcW w:w="1183"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CD092A" w:rsidRPr="006561D5" w:rsidRDefault="00CD092A" w:rsidP="00245E97">
            <w:pPr>
              <w:autoSpaceDE w:val="0"/>
              <w:autoSpaceDN w:val="0"/>
              <w:adjustRightInd w:val="0"/>
              <w:spacing w:line="480" w:lineRule="auto"/>
              <w:rPr>
                <w:rFonts w:ascii="Times New Roman" w:hAnsi="Times New Roman" w:cs="Times New Roman"/>
                <w:sz w:val="24"/>
                <w:szCs w:val="20"/>
              </w:rPr>
            </w:pPr>
            <w:r w:rsidRPr="006561D5">
              <w:rPr>
                <w:rFonts w:ascii="Times New Roman" w:hAnsi="Times New Roman" w:cs="Times New Roman"/>
                <w:sz w:val="24"/>
                <w:szCs w:val="20"/>
              </w:rPr>
              <w:t>DCs, mast cells, B cells, T follicular helper cells, interdigitating</w:t>
            </w:r>
          </w:p>
          <w:p w:rsidR="00CD092A" w:rsidRPr="006561D5" w:rsidRDefault="00CD092A" w:rsidP="00245E97">
            <w:pPr>
              <w:autoSpaceDE w:val="0"/>
              <w:autoSpaceDN w:val="0"/>
              <w:adjustRightInd w:val="0"/>
              <w:spacing w:line="480" w:lineRule="auto"/>
              <w:rPr>
                <w:rFonts w:ascii="Times New Roman" w:hAnsi="Times New Roman" w:cs="Times New Roman"/>
                <w:sz w:val="24"/>
                <w:szCs w:val="20"/>
              </w:rPr>
            </w:pPr>
            <w:r w:rsidRPr="006561D5">
              <w:rPr>
                <w:rFonts w:ascii="Times New Roman" w:hAnsi="Times New Roman" w:cs="Times New Roman"/>
                <w:sz w:val="24"/>
                <w:szCs w:val="20"/>
              </w:rPr>
              <w:t>DCs, activated DCs, regulatory T cells, cytotoxic</w:t>
            </w:r>
          </w:p>
          <w:p w:rsidR="00CD092A" w:rsidRPr="006561D5" w:rsidRDefault="00CD092A" w:rsidP="00245E97">
            <w:pPr>
              <w:autoSpaceDE w:val="0"/>
              <w:autoSpaceDN w:val="0"/>
              <w:adjustRightInd w:val="0"/>
              <w:spacing w:line="480" w:lineRule="auto"/>
              <w:rPr>
                <w:rFonts w:ascii="Times New Roman" w:eastAsia="MTSY" w:hAnsi="Times New Roman" w:cs="Times New Roman"/>
                <w:sz w:val="24"/>
                <w:szCs w:val="14"/>
              </w:rPr>
            </w:pPr>
            <w:r w:rsidRPr="006561D5">
              <w:rPr>
                <w:rFonts w:ascii="Times New Roman" w:hAnsi="Times New Roman" w:cs="Times New Roman"/>
                <w:sz w:val="24"/>
                <w:szCs w:val="20"/>
              </w:rPr>
              <w:t>cells, CD8</w:t>
            </w:r>
            <w:r w:rsidRPr="006561D5">
              <w:rPr>
                <w:rFonts w:ascii="Times New Roman" w:eastAsia="MTSY" w:hAnsi="Times New Roman" w:cs="Times New Roman"/>
                <w:sz w:val="24"/>
                <w:szCs w:val="14"/>
              </w:rPr>
              <w:t>+</w:t>
            </w:r>
          </w:p>
          <w:p w:rsidR="00CD092A" w:rsidRPr="006561D5" w:rsidRDefault="00CD092A" w:rsidP="00245E97">
            <w:pPr>
              <w:autoSpaceDE w:val="0"/>
              <w:autoSpaceDN w:val="0"/>
              <w:adjustRightInd w:val="0"/>
              <w:spacing w:line="480" w:lineRule="auto"/>
              <w:rPr>
                <w:rFonts w:ascii="Times New Roman" w:hAnsi="Times New Roman" w:cs="Times New Roman"/>
                <w:sz w:val="24"/>
                <w:szCs w:val="20"/>
              </w:rPr>
            </w:pPr>
            <w:r w:rsidRPr="006561D5">
              <w:rPr>
                <w:rFonts w:ascii="Times New Roman" w:hAnsi="Times New Roman" w:cs="Times New Roman"/>
                <w:sz w:val="24"/>
                <w:szCs w:val="20"/>
              </w:rPr>
              <w:t xml:space="preserve">T cells, T cells, central memory T </w:t>
            </w:r>
            <w:r w:rsidRPr="006561D5">
              <w:rPr>
                <w:rFonts w:ascii="Times New Roman" w:hAnsi="Times New Roman" w:cs="Times New Roman"/>
                <w:sz w:val="24"/>
                <w:szCs w:val="20"/>
              </w:rPr>
              <w:lastRenderedPageBreak/>
              <w:t>cells, and</w:t>
            </w:r>
          </w:p>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20"/>
              </w:rPr>
              <w:t>Th cells.</w:t>
            </w:r>
          </w:p>
        </w:tc>
        <w:tc>
          <w:tcPr>
            <w:tcW w:w="2340"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lastRenderedPageBreak/>
              <w:t xml:space="preserve">A shorter OS among BLCA patients may be predicted by a greater HYAL3 expression level. Additionally, in BLCA, HYAL3 was linked to a variety of invading immune cells, including as Th cells, T cells, CD8+ T cells, cytotoxic cells, B cells, etc. These findings suggest that HYAL3 </w:t>
            </w:r>
            <w:r w:rsidRPr="006561D5">
              <w:rPr>
                <w:rFonts w:ascii="Times New Roman" w:hAnsi="Times New Roman" w:cs="Times New Roman"/>
                <w:sz w:val="24"/>
              </w:rPr>
              <w:lastRenderedPageBreak/>
              <w:t>may someday be used as a biomarker for the detection and management of BLCA.</w:t>
            </w:r>
          </w:p>
        </w:tc>
      </w:tr>
      <w:tr w:rsidR="00CD092A" w:rsidRPr="006561D5" w:rsidTr="00CD092A">
        <w:trPr>
          <w:trHeight w:val="2078"/>
        </w:trPr>
        <w:tc>
          <w:tcPr>
            <w:tcW w:w="1183" w:type="dxa"/>
          </w:tcPr>
          <w:p w:rsidR="00C46226" w:rsidRPr="006561D5" w:rsidRDefault="00CD092A" w:rsidP="00245E97">
            <w:pPr>
              <w:spacing w:line="480" w:lineRule="auto"/>
              <w:jc w:val="both"/>
              <w:rPr>
                <w:rFonts w:ascii="Times New Roman" w:hAnsi="Times New Roman" w:cs="Times New Roman"/>
                <w:bCs/>
                <w:sz w:val="28"/>
                <w:szCs w:val="24"/>
              </w:rPr>
            </w:pPr>
            <w:r w:rsidRPr="006561D5">
              <w:rPr>
                <w:rFonts w:ascii="Times New Roman" w:hAnsi="Times New Roman" w:cs="Times New Roman"/>
                <w:bCs/>
                <w:sz w:val="28"/>
                <w:szCs w:val="24"/>
              </w:rPr>
              <w:lastRenderedPageBreak/>
              <w:t xml:space="preserve">Li </w:t>
            </w:r>
            <w:r w:rsidRPr="006561D5">
              <w:rPr>
                <w:rFonts w:ascii="Times New Roman" w:hAnsi="Times New Roman" w:cs="Times New Roman"/>
                <w:bCs/>
                <w:i/>
                <w:sz w:val="28"/>
                <w:szCs w:val="24"/>
              </w:rPr>
              <w:t>et al.</w:t>
            </w:r>
          </w:p>
          <w:p w:rsidR="00CD092A" w:rsidRPr="006561D5" w:rsidRDefault="00CD092A" w:rsidP="00245E97">
            <w:pPr>
              <w:spacing w:line="480" w:lineRule="auto"/>
              <w:jc w:val="both"/>
              <w:rPr>
                <w:rFonts w:ascii="Times New Roman" w:hAnsi="Times New Roman" w:cs="Times New Roman"/>
                <w:sz w:val="28"/>
              </w:rPr>
            </w:pPr>
            <w:r w:rsidRPr="006561D5">
              <w:rPr>
                <w:rFonts w:ascii="Times New Roman" w:hAnsi="Times New Roman" w:cs="Times New Roman"/>
                <w:sz w:val="28"/>
              </w:rPr>
              <w:t>(2022)</w:t>
            </w:r>
          </w:p>
        </w:tc>
        <w:tc>
          <w:tcPr>
            <w:tcW w:w="1323"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China</w:t>
            </w:r>
          </w:p>
        </w:tc>
        <w:tc>
          <w:tcPr>
            <w:tcW w:w="1172" w:type="dxa"/>
          </w:tcPr>
          <w:p w:rsidR="00C46226" w:rsidRPr="006561D5" w:rsidRDefault="00CD092A" w:rsidP="00245E97">
            <w:pPr>
              <w:spacing w:line="480" w:lineRule="auto"/>
              <w:jc w:val="center"/>
              <w:rPr>
                <w:rFonts w:ascii="Times New Roman" w:hAnsi="Times New Roman" w:cs="Times New Roman"/>
                <w:sz w:val="24"/>
              </w:rPr>
            </w:pPr>
            <w:r w:rsidRPr="006561D5">
              <w:rPr>
                <w:rFonts w:ascii="Times New Roman" w:hAnsi="Times New Roman" w:cs="Times New Roman"/>
                <w:bCs/>
                <w:sz w:val="24"/>
                <w:szCs w:val="32"/>
              </w:rPr>
              <w:t>PVT1</w:t>
            </w:r>
          </w:p>
        </w:tc>
        <w:tc>
          <w:tcPr>
            <w:tcW w:w="1183"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Genes</w:t>
            </w:r>
          </w:p>
        </w:tc>
        <w:tc>
          <w:tcPr>
            <w:tcW w:w="1180"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Tissue</w:t>
            </w:r>
          </w:p>
        </w:tc>
        <w:tc>
          <w:tcPr>
            <w:tcW w:w="1537" w:type="dxa"/>
          </w:tcPr>
          <w:p w:rsidR="00CD092A" w:rsidRPr="006561D5" w:rsidRDefault="00CD092A" w:rsidP="00245E97">
            <w:pPr>
              <w:autoSpaceDE w:val="0"/>
              <w:autoSpaceDN w:val="0"/>
              <w:adjustRightInd w:val="0"/>
              <w:spacing w:line="480" w:lineRule="auto"/>
              <w:rPr>
                <w:rFonts w:ascii="Times New Roman" w:hAnsi="Times New Roman" w:cs="Times New Roman"/>
                <w:sz w:val="24"/>
                <w:szCs w:val="24"/>
              </w:rPr>
            </w:pPr>
            <w:r w:rsidRPr="006561D5">
              <w:rPr>
                <w:rFonts w:ascii="Times New Roman" w:hAnsi="Times New Roman" w:cs="Times New Roman"/>
                <w:sz w:val="24"/>
                <w:szCs w:val="24"/>
              </w:rPr>
              <w:t>P53 signaling</w:t>
            </w:r>
          </w:p>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szCs w:val="24"/>
              </w:rPr>
              <w:t>pathway</w:t>
            </w:r>
          </w:p>
        </w:tc>
        <w:tc>
          <w:tcPr>
            <w:tcW w:w="2340" w:type="dxa"/>
          </w:tcPr>
          <w:p w:rsidR="00C46226" w:rsidRPr="006561D5" w:rsidRDefault="00CD092A" w:rsidP="00245E97">
            <w:pPr>
              <w:spacing w:line="480" w:lineRule="auto"/>
              <w:jc w:val="both"/>
              <w:rPr>
                <w:rFonts w:ascii="Times New Roman" w:hAnsi="Times New Roman" w:cs="Times New Roman"/>
                <w:sz w:val="24"/>
              </w:rPr>
            </w:pPr>
            <w:r w:rsidRPr="006561D5">
              <w:rPr>
                <w:rFonts w:ascii="Times New Roman" w:hAnsi="Times New Roman" w:cs="Times New Roman"/>
                <w:sz w:val="24"/>
              </w:rPr>
              <w:t>PVT1 may serve as a new BLCA biomarker and help predict treatment outcomes. PVT1 is a key player in the development and prognosis of BLCA and can be employed as a medium biomarker to predict post-cystectomy survival.</w:t>
            </w:r>
          </w:p>
        </w:tc>
      </w:tr>
    </w:tbl>
    <w:p w:rsidR="006561D5" w:rsidRPr="006561D5" w:rsidRDefault="006561D5" w:rsidP="00245E97">
      <w:pPr>
        <w:spacing w:line="480" w:lineRule="auto"/>
        <w:jc w:val="both"/>
        <w:rPr>
          <w:rFonts w:ascii="Times New Roman" w:hAnsi="Times New Roman" w:cs="Times New Roman"/>
          <w:sz w:val="24"/>
        </w:rPr>
      </w:pPr>
    </w:p>
    <w:p w:rsidR="006561D5" w:rsidRPr="006561D5" w:rsidRDefault="006561D5" w:rsidP="00245E97">
      <w:pPr>
        <w:spacing w:line="480" w:lineRule="auto"/>
        <w:jc w:val="both"/>
        <w:rPr>
          <w:rFonts w:ascii="Times New Roman" w:hAnsi="Times New Roman" w:cs="Times New Roman"/>
          <w:sz w:val="24"/>
        </w:rPr>
      </w:pPr>
      <w:r w:rsidRPr="006561D5">
        <w:rPr>
          <w:rFonts w:ascii="Times New Roman" w:hAnsi="Times New Roman" w:cs="Times New Roman"/>
          <w:b/>
          <w:sz w:val="28"/>
        </w:rPr>
        <w:t>Table 1:</w:t>
      </w:r>
      <w:r w:rsidRPr="006561D5">
        <w:rPr>
          <w:rFonts w:ascii="Times New Roman" w:hAnsi="Times New Roman" w:cs="Times New Roman"/>
          <w:sz w:val="24"/>
        </w:rPr>
        <w:t xml:space="preserve"> Data were taken from and analyzed for each of the fourteen investigations. On 2022, all studies were published. Nine </w:t>
      </w:r>
      <w:r w:rsidR="00333BE7" w:rsidRPr="006561D5">
        <w:rPr>
          <w:rFonts w:ascii="Times New Roman" w:hAnsi="Times New Roman" w:cs="Times New Roman"/>
          <w:sz w:val="24"/>
        </w:rPr>
        <w:t>records</w:t>
      </w:r>
      <w:r w:rsidRPr="006561D5">
        <w:rPr>
          <w:rFonts w:ascii="Times New Roman" w:hAnsi="Times New Roman" w:cs="Times New Roman"/>
          <w:sz w:val="24"/>
        </w:rPr>
        <w:t xml:space="preserve"> were on prognostic biomarkers and five were on diagnostic biomarkers.</w:t>
      </w:r>
    </w:p>
    <w:p w:rsidR="006561D5" w:rsidRDefault="00C00FC1" w:rsidP="00245E97">
      <w:pPr>
        <w:spacing w:line="480" w:lineRule="auto"/>
        <w:jc w:val="both"/>
      </w:pPr>
      <w:r>
        <w:rPr>
          <w:noProof/>
        </w:rPr>
        <w:lastRenderedPageBreak/>
        <w:drawing>
          <wp:inline distT="0" distB="0" distL="0" distR="0">
            <wp:extent cx="5420375" cy="7017489"/>
            <wp:effectExtent l="19050" t="0" r="8875" b="0"/>
            <wp:docPr id="4" name="Picture 3" descr="REsult charts-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charts-page0001.jpg"/>
                    <pic:cNvPicPr/>
                  </pic:nvPicPr>
                  <pic:blipFill>
                    <a:blip r:embed="rId9"/>
                    <a:stretch>
                      <a:fillRect/>
                    </a:stretch>
                  </pic:blipFill>
                  <pic:spPr>
                    <a:xfrm>
                      <a:off x="0" y="0"/>
                      <a:ext cx="5424805" cy="7023224"/>
                    </a:xfrm>
                    <a:prstGeom prst="rect">
                      <a:avLst/>
                    </a:prstGeom>
                  </pic:spPr>
                </pic:pic>
              </a:graphicData>
            </a:graphic>
          </wp:inline>
        </w:drawing>
      </w:r>
    </w:p>
    <w:p w:rsidR="00C00FC1" w:rsidRPr="005E683A" w:rsidRDefault="006668A4" w:rsidP="00245E97">
      <w:pPr>
        <w:spacing w:line="480" w:lineRule="auto"/>
        <w:jc w:val="both"/>
        <w:rPr>
          <w:sz w:val="28"/>
        </w:rPr>
      </w:pPr>
      <w:r>
        <w:rPr>
          <w:b/>
          <w:sz w:val="24"/>
        </w:rPr>
        <w:t xml:space="preserve"> </w:t>
      </w:r>
      <w:r w:rsidRPr="006668A4">
        <w:rPr>
          <w:b/>
          <w:sz w:val="28"/>
        </w:rPr>
        <w:t>Figure 4.3</w:t>
      </w:r>
      <w:r>
        <w:rPr>
          <w:b/>
          <w:sz w:val="28"/>
        </w:rPr>
        <w:t xml:space="preserve"> Column chart</w:t>
      </w:r>
      <w:r w:rsidRPr="006668A4">
        <w:rPr>
          <w:b/>
          <w:sz w:val="28"/>
        </w:rPr>
        <w:t xml:space="preserve"> </w:t>
      </w:r>
      <w:r w:rsidRPr="006668A4">
        <w:rPr>
          <w:sz w:val="28"/>
        </w:rPr>
        <w:t>(a) Blue color showing the total number of records identifies for the study</w:t>
      </w:r>
      <w:r>
        <w:rPr>
          <w:sz w:val="28"/>
        </w:rPr>
        <w:t xml:space="preserve">. (b) Red color representing the genes </w:t>
      </w:r>
      <w:r>
        <w:rPr>
          <w:sz w:val="28"/>
        </w:rPr>
        <w:lastRenderedPageBreak/>
        <w:t xml:space="preserve">biomarkers that are </w:t>
      </w:r>
      <w:r w:rsidR="005E683A">
        <w:rPr>
          <w:sz w:val="28"/>
        </w:rPr>
        <w:t xml:space="preserve">present in the tissue. (c) Palm leaf color described the proteins biomarkers that are present in the tissue. Red color below describing the genes biomarker found in the blood.   </w:t>
      </w: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EC68BB" w:rsidRDefault="00EC68BB" w:rsidP="00245E97">
      <w:pPr>
        <w:spacing w:line="480" w:lineRule="auto"/>
        <w:jc w:val="both"/>
        <w:rPr>
          <w:b/>
          <w:sz w:val="24"/>
        </w:rPr>
      </w:pPr>
    </w:p>
    <w:p w:rsidR="006561D5" w:rsidRDefault="006561D5" w:rsidP="00245E97">
      <w:pPr>
        <w:spacing w:line="480" w:lineRule="auto"/>
        <w:jc w:val="both"/>
        <w:rPr>
          <w:b/>
          <w:sz w:val="24"/>
        </w:rPr>
      </w:pPr>
      <w:r w:rsidRPr="006561D5">
        <w:rPr>
          <w:b/>
          <w:sz w:val="24"/>
        </w:rPr>
        <w:lastRenderedPageBreak/>
        <w:t>4.3 Q</w:t>
      </w:r>
      <w:r>
        <w:rPr>
          <w:b/>
          <w:sz w:val="24"/>
        </w:rPr>
        <w:t xml:space="preserve">uality Assessment </w:t>
      </w:r>
    </w:p>
    <w:p w:rsidR="00F07FB6" w:rsidRPr="00F07FB6" w:rsidRDefault="006A7214" w:rsidP="00245E97">
      <w:pPr>
        <w:spacing w:line="480" w:lineRule="auto"/>
        <w:jc w:val="both"/>
        <w:rPr>
          <w:rFonts w:ascii="Times New Roman" w:hAnsi="Times New Roman" w:cs="Times New Roman"/>
          <w:sz w:val="24"/>
        </w:rPr>
      </w:pPr>
      <w:r w:rsidRPr="006A7214">
        <w:rPr>
          <w:rFonts w:ascii="Times New Roman" w:hAnsi="Times New Roman" w:cs="Times New Roman"/>
          <w:sz w:val="24"/>
        </w:rPr>
        <w:t xml:space="preserve">Using the Quality Assessment of Diagnostic Accuracy Studies (QUADAS)-2 tool, reviewers Umar Muhammad BASUG/UG/BHS/ANA/18/133 and </w:t>
      </w:r>
      <w:r w:rsidR="00EC68BB">
        <w:rPr>
          <w:rFonts w:ascii="Times New Roman" w:hAnsi="Times New Roman" w:cs="Times New Roman"/>
          <w:sz w:val="24"/>
        </w:rPr>
        <w:t>Aliyu Adamu Ahmad BASUG/UG/BHS/ANA/18/054</w:t>
      </w:r>
      <w:r w:rsidRPr="006A7214">
        <w:rPr>
          <w:rFonts w:ascii="Times New Roman" w:hAnsi="Times New Roman" w:cs="Times New Roman"/>
          <w:sz w:val="24"/>
        </w:rPr>
        <w:t xml:space="preserve"> separately assessed the</w:t>
      </w:r>
      <w:r w:rsidR="00632853">
        <w:rPr>
          <w:rFonts w:ascii="Times New Roman" w:hAnsi="Times New Roman" w:cs="Times New Roman"/>
          <w:sz w:val="24"/>
        </w:rPr>
        <w:t xml:space="preserve"> Risk of bias</w:t>
      </w:r>
      <w:r w:rsidRPr="006A7214">
        <w:rPr>
          <w:rFonts w:ascii="Times New Roman" w:hAnsi="Times New Roman" w:cs="Times New Roman"/>
          <w:sz w:val="24"/>
        </w:rPr>
        <w:t xml:space="preserve"> RoB of the included publications. In two trials, the QUADAS-2 tool's reproducibility was tested</w:t>
      </w:r>
      <w:r w:rsidR="007472BE">
        <w:rPr>
          <w:rFonts w:ascii="Times New Roman" w:hAnsi="Times New Roman" w:cs="Times New Roman"/>
          <w:sz w:val="24"/>
        </w:rPr>
        <w:t xml:space="preserve"> </w:t>
      </w:r>
      <w:r w:rsidR="007472BE">
        <w:rPr>
          <w:rFonts w:ascii="Times New Roman" w:hAnsi="Times New Roman" w:cs="Times New Roman"/>
          <w:sz w:val="24"/>
        </w:rPr>
        <w:fldChar w:fldCharType="begin" w:fldLock="1"/>
      </w:r>
      <w:r w:rsidR="007472BE">
        <w:rPr>
          <w:rFonts w:ascii="Times New Roman" w:hAnsi="Times New Roman" w:cs="Times New Roman"/>
          <w:sz w:val="24"/>
        </w:rPr>
        <w:instrText>ADDIN CSL_CITATION {"citationItems":[{"id":"ITEM-1","itemData":{"DOI":"10.7326/0003-4819-155-8-201110180-00009","ISSN":"1539-3704 (Electronic)","PMID":"22007046","abstract":"In 2003, the QUADAS tool for systematic reviews of diagnostic accuracy studies  was developed. Experience, anecdotal reports, and feedback suggested areas for improvement; therefore, QUADAS-2 was developed. This tool comprises 4 domains: patient selection, index test, reference standard, and flow and timing. Each domain is assessed in terms of risk of bias, and the first 3 domains are also assessed in terms of concerns regarding applicability. Signalling questions are included to help judge risk of bias. The QUADAS-2 tool is applied in 4 phases: summarize the review question, tailor the tool and produce review-specific guidance, construct a flow diagram for the primary study, and judge bias and applicability. This tool will allow for more transparent rating of bias and applicability of primary diagnostic accuracy studies.","author":[{"dropping-particle":"","family":"Whiting","given":"Penny F","non-dropping-particle":"","parse-names":false,"suffix":""},{"dropping-particle":"","family":"Rutjes","given":"Anne W S","non-dropping-particle":"","parse-names":false,"suffix":""},{"dropping-particle":"","family":"Westwood","given":"Marie E","non-dropping-particle":"","parse-names":false,"suffix":""},{"dropping-particle":"","family":"Mallett","given":"Susan","non-dropping-particle":"","parse-names":false,"suffix":""},{"dropping-particle":"","family":"Deeks","given":"Jonathan J","non-dropping-particle":"","parse-names":false,"suffix":""},{"dropping-particle":"","family":"Reitsma","given":"Johannes B","non-dropping-particle":"","parse-names":false,"suffix":""},{"dropping-particle":"","family":"Leeflang","given":"Mariska M G","non-dropping-particle":"","parse-names":false,"suffix":""},{"dropping-particle":"","family":"Sterne","given":"Jonathan A C","non-dropping-particle":"","parse-names":false,"suffix":""},{"dropping-particle":"","family":"Bossuyt","given":"Patrick M M","non-dropping-particle":"","parse-names":false,"suffix":""}],"container-title":"Annals of internal medicine","id":"ITEM-1","issue":"8","issued":{"date-parts":[["2011","10"]]},"language":"eng","page":"529-536","publisher-place":"United States","title":"QUADAS-2: a revised tool for the quality assessment of diagnostic accuracy  studies.","type":"article-journal","volume":"155"},"uris":["http://www.mendeley.com/documents/?uuid=c91fbc25-9295-4299-b591-d194c10a0f0c"]}],"mendeley":{"formattedCitation":"(Whiting et al., 2011)","plainTextFormattedCitation":"(Whiting et al., 2011)"},"properties":{"noteIndex":0},"schema":"https://github.com/citation-style-language/schema/raw/master/csl-citation.json"}</w:instrText>
      </w:r>
      <w:r w:rsidR="007472BE">
        <w:rPr>
          <w:rFonts w:ascii="Times New Roman" w:hAnsi="Times New Roman" w:cs="Times New Roman"/>
          <w:sz w:val="24"/>
        </w:rPr>
        <w:fldChar w:fldCharType="separate"/>
      </w:r>
      <w:r w:rsidR="007472BE" w:rsidRPr="007472BE">
        <w:rPr>
          <w:rFonts w:ascii="Times New Roman" w:hAnsi="Times New Roman" w:cs="Times New Roman"/>
          <w:noProof/>
          <w:sz w:val="24"/>
        </w:rPr>
        <w:t>(Whiting et al., 2011)</w:t>
      </w:r>
      <w:r w:rsidR="007472BE">
        <w:rPr>
          <w:rFonts w:ascii="Times New Roman" w:hAnsi="Times New Roman" w:cs="Times New Roman"/>
          <w:sz w:val="24"/>
        </w:rPr>
        <w:fldChar w:fldCharType="end"/>
      </w:r>
    </w:p>
    <w:p w:rsidR="006561D5" w:rsidRDefault="00EC68BB" w:rsidP="00245E97">
      <w:pPr>
        <w:spacing w:line="480" w:lineRule="auto"/>
        <w:jc w:val="both"/>
        <w:rPr>
          <w:b/>
          <w:sz w:val="24"/>
        </w:rPr>
      </w:pPr>
      <w:r>
        <w:rPr>
          <w:b/>
          <w:noProof/>
          <w:sz w:val="24"/>
        </w:rPr>
        <w:drawing>
          <wp:inline distT="0" distB="0" distL="0" distR="0">
            <wp:extent cx="5424805" cy="5619750"/>
            <wp:effectExtent l="19050" t="0" r="4445" b="0"/>
            <wp:docPr id="2" name="Picture 1" descr="QUADAS-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AS-2 (1).jpeg"/>
                    <pic:cNvPicPr/>
                  </pic:nvPicPr>
                  <pic:blipFill>
                    <a:blip r:embed="rId10" cstate="print"/>
                    <a:stretch>
                      <a:fillRect/>
                    </a:stretch>
                  </pic:blipFill>
                  <pic:spPr>
                    <a:xfrm>
                      <a:off x="0" y="0"/>
                      <a:ext cx="5424805" cy="5619750"/>
                    </a:xfrm>
                    <a:prstGeom prst="rect">
                      <a:avLst/>
                    </a:prstGeom>
                  </pic:spPr>
                </pic:pic>
              </a:graphicData>
            </a:graphic>
          </wp:inline>
        </w:drawing>
      </w:r>
    </w:p>
    <w:p w:rsidR="00F07FB6" w:rsidRPr="006561D5" w:rsidRDefault="00F07FB6" w:rsidP="00245E97">
      <w:pPr>
        <w:spacing w:line="480" w:lineRule="auto"/>
        <w:jc w:val="both"/>
        <w:rPr>
          <w:b/>
          <w:sz w:val="24"/>
        </w:rPr>
      </w:pPr>
      <w:r>
        <w:rPr>
          <w:b/>
          <w:sz w:val="24"/>
        </w:rPr>
        <w:lastRenderedPageBreak/>
        <w:t>Figure 4.3</w:t>
      </w:r>
      <w:r w:rsidR="00A85AFA">
        <w:rPr>
          <w:b/>
          <w:sz w:val="24"/>
        </w:rPr>
        <w:t xml:space="preserve"> </w:t>
      </w:r>
      <w:r w:rsidR="00762FAC" w:rsidRPr="00F07FB6">
        <w:rPr>
          <w:sz w:val="24"/>
        </w:rPr>
        <w:t>Explanation of RoB and issues with applicability as according to QUADAS-2.</w:t>
      </w:r>
      <w:r w:rsidR="00762FAC">
        <w:rPr>
          <w:b/>
          <w:sz w:val="24"/>
        </w:rPr>
        <w:t xml:space="preserve"> </w:t>
      </w:r>
      <w:r w:rsidR="00A85AFA" w:rsidRPr="00A85AFA">
        <w:rPr>
          <w:sz w:val="24"/>
        </w:rPr>
        <w:t>High RoB was r</w:t>
      </w:r>
      <w:r w:rsidR="00A85AFA">
        <w:rPr>
          <w:sz w:val="24"/>
        </w:rPr>
        <w:t>ated for patient selection in 11</w:t>
      </w:r>
      <w:r w:rsidR="00A85AFA" w:rsidRPr="00A85AFA">
        <w:rPr>
          <w:sz w:val="24"/>
        </w:rPr>
        <w:t xml:space="preserve"> trials.</w:t>
      </w:r>
      <w:r w:rsidR="00A85AFA">
        <w:rPr>
          <w:sz w:val="24"/>
        </w:rPr>
        <w:t xml:space="preserve"> Some concerns were rated for 2 trials. Low were rated for 3 studies.</w:t>
      </w:r>
      <w:r w:rsidR="00A85AFA">
        <w:rPr>
          <w:b/>
          <w:sz w:val="24"/>
        </w:rPr>
        <w:t xml:space="preserve"> </w:t>
      </w:r>
    </w:p>
    <w:sectPr w:rsidR="00F07FB6" w:rsidRPr="006561D5" w:rsidSect="00245E97">
      <w:pgSz w:w="12240" w:h="15840"/>
      <w:pgMar w:top="1429" w:right="1429" w:bottom="1429"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7CF8" w:rsidRDefault="00827CF8" w:rsidP="00E375B8">
      <w:pPr>
        <w:spacing w:after="0" w:line="240" w:lineRule="auto"/>
      </w:pPr>
      <w:r>
        <w:separator/>
      </w:r>
    </w:p>
  </w:endnote>
  <w:endnote w:type="continuationSeparator" w:id="1">
    <w:p w:rsidR="00827CF8" w:rsidRDefault="00827CF8" w:rsidP="00E375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
    <w:altName w:val="MS Gothic"/>
    <w:panose1 w:val="00000000000000000000"/>
    <w:charset w:val="80"/>
    <w:family w:val="swiss"/>
    <w:notTrueType/>
    <w:pitch w:val="default"/>
    <w:sig w:usb0="00000001" w:usb1="08070000" w:usb2="00000010" w:usb3="00000000" w:csb0="00020000" w:csb1="00000000"/>
  </w:font>
  <w:font w:name="MTSY">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7CF8" w:rsidRDefault="00827CF8" w:rsidP="00E375B8">
      <w:pPr>
        <w:spacing w:after="0" w:line="240" w:lineRule="auto"/>
      </w:pPr>
      <w:r>
        <w:separator/>
      </w:r>
    </w:p>
  </w:footnote>
  <w:footnote w:type="continuationSeparator" w:id="1">
    <w:p w:rsidR="00827CF8" w:rsidRDefault="00827CF8" w:rsidP="00E375B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0242"/>
  </w:hdrShapeDefaults>
  <w:footnotePr>
    <w:footnote w:id="0"/>
    <w:footnote w:id="1"/>
  </w:footnotePr>
  <w:endnotePr>
    <w:endnote w:id="0"/>
    <w:endnote w:id="1"/>
  </w:endnotePr>
  <w:compat/>
  <w:rsids>
    <w:rsidRoot w:val="00003505"/>
    <w:rsid w:val="00003505"/>
    <w:rsid w:val="00023AB4"/>
    <w:rsid w:val="0005668F"/>
    <w:rsid w:val="0008645C"/>
    <w:rsid w:val="000C063F"/>
    <w:rsid w:val="000F27FD"/>
    <w:rsid w:val="00115187"/>
    <w:rsid w:val="00120105"/>
    <w:rsid w:val="00155A50"/>
    <w:rsid w:val="00162C94"/>
    <w:rsid w:val="00245E97"/>
    <w:rsid w:val="002A566D"/>
    <w:rsid w:val="002B38C8"/>
    <w:rsid w:val="002C3D43"/>
    <w:rsid w:val="00315F9B"/>
    <w:rsid w:val="00333BE7"/>
    <w:rsid w:val="003777BC"/>
    <w:rsid w:val="003F43CC"/>
    <w:rsid w:val="0040628B"/>
    <w:rsid w:val="004556C6"/>
    <w:rsid w:val="00573025"/>
    <w:rsid w:val="005E683A"/>
    <w:rsid w:val="005F7CE8"/>
    <w:rsid w:val="0061703A"/>
    <w:rsid w:val="00632853"/>
    <w:rsid w:val="00653B80"/>
    <w:rsid w:val="006561D5"/>
    <w:rsid w:val="006668A4"/>
    <w:rsid w:val="006A7214"/>
    <w:rsid w:val="006D6AB0"/>
    <w:rsid w:val="006E49F6"/>
    <w:rsid w:val="007472BE"/>
    <w:rsid w:val="00750699"/>
    <w:rsid w:val="00762FAC"/>
    <w:rsid w:val="007810FF"/>
    <w:rsid w:val="008209B3"/>
    <w:rsid w:val="00827CF8"/>
    <w:rsid w:val="009B5330"/>
    <w:rsid w:val="009C544A"/>
    <w:rsid w:val="00A33CC2"/>
    <w:rsid w:val="00A37EAD"/>
    <w:rsid w:val="00A84A03"/>
    <w:rsid w:val="00A85AFA"/>
    <w:rsid w:val="00AD0BF2"/>
    <w:rsid w:val="00AE6BC4"/>
    <w:rsid w:val="00AF608C"/>
    <w:rsid w:val="00B26C59"/>
    <w:rsid w:val="00B358AE"/>
    <w:rsid w:val="00B8000E"/>
    <w:rsid w:val="00B8143C"/>
    <w:rsid w:val="00C00FC1"/>
    <w:rsid w:val="00C078B2"/>
    <w:rsid w:val="00C46226"/>
    <w:rsid w:val="00C75E7F"/>
    <w:rsid w:val="00CA2658"/>
    <w:rsid w:val="00CD092A"/>
    <w:rsid w:val="00D93447"/>
    <w:rsid w:val="00E375B8"/>
    <w:rsid w:val="00EC68BB"/>
    <w:rsid w:val="00F07F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035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4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3CC"/>
    <w:rPr>
      <w:rFonts w:ascii="Tahoma" w:hAnsi="Tahoma" w:cs="Tahoma"/>
      <w:sz w:val="16"/>
      <w:szCs w:val="16"/>
    </w:rPr>
  </w:style>
  <w:style w:type="paragraph" w:styleId="Header">
    <w:name w:val="header"/>
    <w:basedOn w:val="Normal"/>
    <w:link w:val="HeaderChar"/>
    <w:uiPriority w:val="99"/>
    <w:semiHidden/>
    <w:unhideWhenUsed/>
    <w:rsid w:val="00E375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75B8"/>
  </w:style>
  <w:style w:type="paragraph" w:styleId="Footer">
    <w:name w:val="footer"/>
    <w:basedOn w:val="Normal"/>
    <w:link w:val="FooterChar"/>
    <w:uiPriority w:val="99"/>
    <w:semiHidden/>
    <w:unhideWhenUsed/>
    <w:rsid w:val="00E375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75B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2132D-8F8E-4B0E-8622-4BA00C39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22</Pages>
  <Words>8786</Words>
  <Characters>50083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BBM COMPUTER</dc:creator>
  <cp:lastModifiedBy>BBM COMPUTER</cp:lastModifiedBy>
  <cp:revision>43</cp:revision>
  <dcterms:created xsi:type="dcterms:W3CDTF">2022-11-22T09:00:00Z</dcterms:created>
  <dcterms:modified xsi:type="dcterms:W3CDTF">2022-11-25T22:04:00Z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46213949-ae7e-3635-8b53-a70f3163fd48</vt:lpwstr>
  </property>
  <property fmtid="{D5CDD505-2E9C-101B-9397-08002B2CF9AE}" pid="24" name="Mendeley Citation Style_1">
    <vt:lpwstr>http://www.zotero.org/styles/apa</vt:lpwstr>
  </property>
</Properties>
</file>