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Override PartName="/word/media/rId575.png" ContentType="image/png"/>
  <Override PartName="/word/media/rId5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t xml:space="preserve">****</w:t>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t xml:space="preserve">****</w:t>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5000"/>
        <w:tblLayout w:type="fixed"/>
        <w:tblLook w:firstRow="1" w:lastRow="0" w:firstColumn="0" w:lastColumn="0" w:noHBand="0" w:noVBand="0" w:val="0020"/>
      </w:tblPr>
      <w:tblGrid>
        <w:gridCol w:w="1844"/>
        <w:gridCol w:w="6075"/>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933"/>
        <w:tblLayout w:type="fixed"/>
        <w:tblLook w:firstRow="1" w:lastRow="0" w:firstColumn="0" w:lastColumn="0" w:noHBand="0" w:noVBand="0" w:val="0020"/>
      </w:tblPr>
      <w:tblGrid>
        <w:gridCol w:w="1689"/>
        <w:gridCol w:w="1900"/>
        <w:gridCol w:w="4224"/>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861"/>
        <w:tblLayout w:type="fixed"/>
        <w:tblLook w:firstRow="1" w:lastRow="0" w:firstColumn="0" w:lastColumn="0" w:noHBand="0" w:noVBand="0" w:val="0020"/>
      </w:tblPr>
      <w:tblGrid>
        <w:gridCol w:w="2640"/>
        <w:gridCol w:w="506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740"/>
        <w:tblLayout w:type="fixed"/>
        <w:tblLook w:firstRow="1" w:lastRow="0" w:firstColumn="0" w:lastColumn="0" w:noHBand="0" w:noVBand="0" w:val="0020"/>
      </w:tblPr>
      <w:tblGrid>
        <w:gridCol w:w="1072"/>
        <w:gridCol w:w="1072"/>
        <w:gridCol w:w="1072"/>
        <w:gridCol w:w="1072"/>
        <w:gridCol w:w="1072"/>
        <w:gridCol w:w="1072"/>
        <w:gridCol w:w="1072"/>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890"/>
        <w:tblLayout w:type="fixed"/>
        <w:tblLook w:firstRow="1" w:lastRow="0" w:firstColumn="0" w:lastColumn="0" w:noHBand="0" w:noVBand="0" w:val="0020"/>
      </w:tblPr>
      <w:tblGrid>
        <w:gridCol w:w="2698"/>
        <w:gridCol w:w="1653"/>
        <w:gridCol w:w="1218"/>
        <w:gridCol w:w="2175"/>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5000"/>
        <w:tblLayout w:type="fixed"/>
        <w:tblLook w:firstRow="1" w:lastRow="0" w:firstColumn="0" w:lastColumn="0" w:noHBand="0" w:noVBand="0" w:val="0020"/>
      </w:tblPr>
      <w:tblGrid>
        <w:gridCol w:w="1415"/>
        <w:gridCol w:w="650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w:t>
            </w:r>
          </w:p>
        </w:tc>
        <w:tc>
          <w:tcPr/>
          <w:p>
            <w:pPr>
              <w:pStyle w:val="Compact"/>
              <w:jc w:val="left"/>
            </w:pPr>
            <w:r>
              <w:t xml:space="preserve">Cylindrical structures involved in organizing microtubules and assisting in cell division in animal cells.</w:t>
            </w:r>
          </w:p>
        </w:tc>
      </w:tr>
      <w:tr>
        <w:tc>
          <w:tcPr/>
          <w:p>
            <w:pPr>
              <w:pStyle w:val="Compact"/>
              <w:jc w:val="left"/>
            </w:pPr>
            <w:r>
              <w:t xml:space="preserve">Chromatin</w:t>
            </w:r>
          </w:p>
        </w:tc>
        <w:tc>
          <w:tcPr/>
          <w:p>
            <w:pPr>
              <w:pStyle w:val="Compact"/>
              <w:jc w:val="left"/>
            </w:pPr>
            <w:r>
              <w:t xml:space="preserve">A complex of DNA and proteins (histones) that form chromosomes and help regulate gene expression.</w:t>
            </w:r>
          </w:p>
        </w:tc>
      </w:tr>
      <w:tr>
        <w:tc>
          <w:tcPr/>
          <w:p>
            <w:pPr>
              <w:pStyle w:val="Compact"/>
              <w:jc w:val="left"/>
            </w:pPr>
            <w:r>
              <w:t xml:space="preserve">Chromosomes</w:t>
            </w:r>
          </w:p>
        </w:tc>
        <w:tc>
          <w:tcPr/>
          <w:p>
            <w:pPr>
              <w:pStyle w:val="Compact"/>
              <w:jc w:val="left"/>
            </w:pPr>
            <w:r>
              <w:t xml:space="preserve">Threadlike structures made of DNA that carry genetic information, especially visible during cell division.</w:t>
            </w:r>
          </w:p>
        </w:tc>
      </w:tr>
      <w:tr>
        <w:tc>
          <w:tcPr/>
          <w:p>
            <w:pPr>
              <w:pStyle w:val="Compact"/>
              <w:jc w:val="left"/>
            </w:pPr>
            <w:r>
              <w:t xml:space="preserve">Cilia</w:t>
            </w:r>
          </w:p>
        </w:tc>
        <w:tc>
          <w:tcPr/>
          <w:p>
            <w:pPr>
              <w:pStyle w:val="Compact"/>
              <w:jc w:val="left"/>
            </w:pPr>
            <w:r>
              <w:t xml:space="preserve">Short, hair-like structures that move fluid or substances across the cell surface.</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w:t>
            </w:r>
          </w:p>
        </w:tc>
        <w:tc>
          <w:tcPr/>
          <w:p>
            <w:pPr>
              <w:pStyle w:val="Compact"/>
              <w:jc w:val="left"/>
            </w:pPr>
            <w:r>
              <w:t xml:space="preserve">The gel-like substance inside the cell where organelles are suspended and many metabolic reactions occur.</w:t>
            </w:r>
          </w:p>
        </w:tc>
      </w:tr>
      <w:tr>
        <w:tc>
          <w:tcPr/>
          <w:p>
            <w:pPr>
              <w:pStyle w:val="Compact"/>
              <w:jc w:val="left"/>
            </w:pPr>
            <w:r>
              <w:t xml:space="preserve">Cytoskeleton</w:t>
            </w:r>
          </w:p>
        </w:tc>
        <w:tc>
          <w:tcPr/>
          <w:p>
            <w:pPr>
              <w:pStyle w:val="Compact"/>
              <w:jc w:val="left"/>
            </w:pPr>
            <w:r>
              <w:t xml:space="preserve">A network of protein filaments that provides structural support, shape, and movement for the cell.</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w:t>
            </w:r>
          </w:p>
        </w:tc>
        <w:tc>
          <w:tcPr/>
          <w:p>
            <w:pPr>
              <w:pStyle w:val="Compact"/>
              <w:jc w:val="left"/>
            </w:pPr>
            <w:r>
              <w:t xml:space="preserve">A long, whip-like structure that enables cell movement (e.g., sperm cell motility).</w:t>
            </w:r>
          </w:p>
        </w:tc>
      </w:tr>
      <w:tr>
        <w:tc>
          <w:tcPr/>
          <w:p>
            <w:pPr>
              <w:pStyle w:val="Compact"/>
              <w:jc w:val="left"/>
            </w:pPr>
            <w:r>
              <w:t xml:space="preserve">Golgi apparatus</w:t>
            </w:r>
          </w:p>
        </w:tc>
        <w:tc>
          <w:tcPr/>
          <w:p>
            <w:pPr>
              <w:pStyle w:val="Compact"/>
              <w:jc w:val="left"/>
            </w:pPr>
            <w:r>
              <w:t xml:space="preserve">An organelle that modifies, sorts, and packages proteins and lipids for transport.</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w:t>
            </w:r>
          </w:p>
        </w:tc>
        <w:tc>
          <w:tcPr/>
          <w:p>
            <w:pPr>
              <w:pStyle w:val="Compact"/>
              <w:jc w:val="left"/>
            </w:pPr>
            <w:r>
              <w:t xml:space="preserve">A membrane-bound organelle containing digestive enzymes that break down waste materials and cellular debris.</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w:t>
            </w:r>
          </w:p>
        </w:tc>
        <w:tc>
          <w:tcPr/>
          <w:p>
            <w:pPr>
              <w:pStyle w:val="Compact"/>
              <w:jc w:val="left"/>
            </w:pPr>
            <w:r>
              <w:t xml:space="preserve">Small, finger-like projections that increase surface area for absorption, commonly found in intestinal cells.</w:t>
            </w:r>
          </w:p>
        </w:tc>
      </w:tr>
      <w:tr>
        <w:tc>
          <w:tcPr/>
          <w:p>
            <w:pPr>
              <w:pStyle w:val="Compact"/>
              <w:jc w:val="left"/>
            </w:pPr>
            <w:r>
              <w:t xml:space="preserve">Mitochondria</w:t>
            </w:r>
          </w:p>
        </w:tc>
        <w:tc>
          <w:tcPr/>
          <w:p>
            <w:pPr>
              <w:pStyle w:val="Compact"/>
              <w:jc w:val="left"/>
            </w:pPr>
            <w:r>
              <w:t xml:space="preserve">Organelles that generate energy (ATP) through cellular respiration; often called the cell’s</w:t>
            </w:r>
            <w:r>
              <w:t xml:space="preserve"> </w:t>
            </w:r>
            <w:r>
              <w:t xml:space="preserve">‘powerhouse.’</w:t>
            </w:r>
          </w:p>
        </w:tc>
      </w:tr>
      <w:tr>
        <w:tc>
          <w:tcPr/>
          <w:p>
            <w:pPr>
              <w:pStyle w:val="Compact"/>
              <w:jc w:val="left"/>
            </w:pPr>
            <w:r>
              <w:t xml:space="preserve">Nucleus</w:t>
            </w:r>
          </w:p>
        </w:tc>
        <w:tc>
          <w:tcPr/>
          <w:p>
            <w:pPr>
              <w:pStyle w:val="Compact"/>
              <w:jc w:val="left"/>
            </w:pPr>
            <w:r>
              <w:t xml:space="preserve">A membrane-bound organelle that contains the cell’s DNA and controls cellular activities.</w:t>
            </w:r>
          </w:p>
        </w:tc>
      </w:tr>
      <w:tr>
        <w:tc>
          <w:tcPr/>
          <w:p>
            <w:pPr>
              <w:pStyle w:val="Compact"/>
              <w:jc w:val="left"/>
            </w:pPr>
            <w:r>
              <w:t xml:space="preserve">Nuclear envelope</w:t>
            </w:r>
          </w:p>
        </w:tc>
        <w:tc>
          <w:tcPr/>
          <w:p>
            <w:pPr>
              <w:pStyle w:val="Compact"/>
              <w:jc w:val="left"/>
            </w:pPr>
            <w:r>
              <w:t xml:space="preserve">A double membrane that surrounds the nucleus, containing pores that regulate material exchange.</w:t>
            </w:r>
          </w:p>
        </w:tc>
      </w:tr>
      <w:tr>
        <w:tc>
          <w:tcPr/>
          <w:p>
            <w:pPr>
              <w:pStyle w:val="Compact"/>
              <w:jc w:val="left"/>
            </w:pPr>
            <w:r>
              <w:t xml:space="preserve">Nucleolus</w:t>
            </w:r>
          </w:p>
        </w:tc>
        <w:tc>
          <w:tcPr/>
          <w:p>
            <w:pPr>
              <w:pStyle w:val="Compact"/>
              <w:jc w:val="left"/>
            </w:pPr>
            <w:r>
              <w:t xml:space="preserve">A dense region within the nucleus where ribosomal RNA (rRNA) is produced, and ribosome assembly begins.</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w:t>
            </w:r>
          </w:p>
        </w:tc>
        <w:tc>
          <w:tcPr/>
          <w:p>
            <w:pPr>
              <w:pStyle w:val="Compact"/>
              <w:jc w:val="left"/>
            </w:pPr>
            <w:r>
              <w:t xml:space="preserve">An organelle containing enzymes that break down fatty acids and detoxify harmful substances using oxygen.</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w:t>
            </w:r>
          </w:p>
        </w:tc>
        <w:tc>
          <w:tcPr/>
          <w:p>
            <w:pPr>
              <w:pStyle w:val="Compact"/>
              <w:jc w:val="left"/>
            </w:pPr>
            <w:r>
              <w:t xml:space="preserve">A small organelle responsible for protein synthesis, found free in the cytosol or attached to rough ER.</w:t>
            </w:r>
          </w:p>
        </w:tc>
      </w:tr>
      <w:tr>
        <w:tc>
          <w:tcPr/>
          <w:p>
            <w:pPr>
              <w:pStyle w:val="Compact"/>
              <w:jc w:val="left"/>
            </w:pPr>
            <w:r>
              <w:t xml:space="preserve">Rough endoplasmic reticulum</w:t>
            </w:r>
          </w:p>
        </w:tc>
        <w:tc>
          <w:tcPr/>
          <w:p>
            <w:pPr>
              <w:pStyle w:val="Compact"/>
              <w:jc w:val="left"/>
            </w:pPr>
            <w:r>
              <w:t xml:space="preserve">A membrane network studded with ribosomes involved in protein synthesis and folding.</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w:t>
            </w:r>
          </w:p>
        </w:tc>
        <w:tc>
          <w:tcPr/>
          <w:p>
            <w:pPr>
              <w:pStyle w:val="Compact"/>
              <w:jc w:val="left"/>
            </w:pPr>
            <w:r>
              <w:t xml:space="preserve">A membrane network without ribosomes involved in lipid synthesis and detoxification.</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922"/>
        <w:tblLayout w:type="fixed"/>
        <w:tblLook w:firstRow="1" w:lastRow="0" w:firstColumn="0" w:lastColumn="0" w:noHBand="0" w:noVBand="0" w:val="0020"/>
      </w:tblPr>
      <w:tblGrid>
        <w:gridCol w:w="1719"/>
        <w:gridCol w:w="736"/>
        <w:gridCol w:w="859"/>
        <w:gridCol w:w="920"/>
        <w:gridCol w:w="982"/>
        <w:gridCol w:w="859"/>
        <w:gridCol w:w="859"/>
        <w:gridCol w:w="859"/>
      </w:tblGrid>
      <w:tr>
        <w:trPr>
          <w:tblHeader w:val="on"/>
        </w:trPr>
        <w:tc>
          <w:tcPr/>
          <w:p>
            <w:pPr>
              <w:pStyle w:val="Compact"/>
              <w:jc w:val="center"/>
            </w:pPr>
            <w:r>
              <w:rPr>
                <w:b/>
                <w:bCs/>
              </w:rPr>
              <w:t xml:space="preserve">Time, in minutes</w:t>
            </w:r>
          </w:p>
        </w:tc>
        <w:tc>
          <w:tcPr/>
          <w:p>
            <w:pPr>
              <w:pStyle w:val="Compact"/>
              <w:jc w:val="left"/>
            </w:pPr>
            <w:r>
              <w:rPr>
                <w:b/>
                <w:bCs/>
              </w:rPr>
              <w:t xml:space="preserve">Water</w:t>
            </w:r>
          </w:p>
        </w:tc>
        <w:tc>
          <w:tcPr/>
          <w:p>
            <w:pPr>
              <w:pStyle w:val="Compact"/>
              <w:jc w:val="left"/>
            </w:pPr>
            <w:r>
              <w:rPr>
                <w:b/>
                <w:bCs/>
              </w:rPr>
              <w:t xml:space="preserve">Glucose</w:t>
            </w:r>
          </w:p>
        </w:tc>
        <w:tc>
          <w:tcPr/>
          <w:p>
            <w:pPr>
              <w:pStyle w:val="Compact"/>
              <w:jc w:val="left"/>
            </w:pPr>
            <w:r>
              <w:rPr>
                <w:b/>
                <w:bCs/>
              </w:rPr>
              <w:t xml:space="preserve">Fructose</w:t>
            </w:r>
          </w:p>
        </w:tc>
        <w:tc>
          <w:tcPr/>
          <w:p>
            <w:pPr>
              <w:pStyle w:val="Compact"/>
              <w:jc w:val="left"/>
            </w:pPr>
            <w:r>
              <w:rPr>
                <w:b/>
                <w:bCs/>
              </w:rPr>
              <w:t xml:space="preserve">Galactose</w:t>
            </w:r>
          </w:p>
        </w:tc>
        <w:tc>
          <w:tcPr/>
          <w:p>
            <w:pPr>
              <w:pStyle w:val="Compact"/>
              <w:jc w:val="left"/>
            </w:pPr>
            <w:r>
              <w:rPr>
                <w:b/>
                <w:bCs/>
              </w:rPr>
              <w:t xml:space="preserve">Sucrose</w:t>
            </w:r>
          </w:p>
        </w:tc>
        <w:tc>
          <w:tcPr/>
          <w:p>
            <w:pPr>
              <w:pStyle w:val="Compact"/>
              <w:jc w:val="left"/>
            </w:pPr>
            <w:r>
              <w:rPr>
                <w:b/>
                <w:bCs/>
              </w:rPr>
              <w:t xml:space="preserve">Lactose</w:t>
            </w:r>
          </w:p>
        </w:tc>
        <w:tc>
          <w:tcPr/>
          <w:p>
            <w:pPr>
              <w:pStyle w:val="Compact"/>
              <w:jc w:val="left"/>
            </w:pPr>
            <w:r>
              <w:rPr>
                <w:b/>
                <w:bCs/>
              </w:rPr>
              <w:t xml:space="preserve">Maltose</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4919"/>
        <w:tblLayout w:type="fixed"/>
        <w:tblLook w:firstRow="1" w:lastRow="0" w:firstColumn="0" w:lastColumn="0" w:noHBand="0" w:noVBand="0" w:val="0020"/>
      </w:tblPr>
      <w:tblGrid>
        <w:gridCol w:w="1724"/>
        <w:gridCol w:w="60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w:t>
      </w:r>
      <w:r>
        <w:t xml:space="preserve"> </w:t>
      </w:r>
      <w:r>
        <w:t xml:space="preserve">“</w:t>
      </w:r>
      <w:r>
        <w:rPr>
          <w:b/>
          <w:bCs/>
        </w:rPr>
        <w:t xml:space="preserve">Calibrate Now Box</w:t>
      </w:r>
      <w:r>
        <w:t xml:space="preserve">”</w:t>
      </w:r>
      <w:r>
        <w:t xml:space="preserve"> </w:t>
      </w:r>
      <w:r>
        <w:t xml:space="preserve">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w:t>
      </w:r>
      <w:r>
        <w:t xml:space="preserve"> </w:t>
      </w:r>
      <w:r>
        <w:t xml:space="preserve">“</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w:t>
      </w:r>
      <w:r>
        <w:t xml:space="preserve"> </w:t>
      </w:r>
      <w:r>
        <w:t xml:space="preserve">“Keep”</w:t>
      </w:r>
    </w:p>
    <w:p>
      <w:pPr>
        <w:numPr>
          <w:ilvl w:val="2"/>
          <w:numId w:val="1358"/>
        </w:numPr>
      </w:pPr>
      <w:r>
        <w:t xml:space="preserve">Click</w:t>
      </w:r>
      <w:r>
        <w:t xml:space="preserve"> </w:t>
      </w:r>
      <w:r>
        <w:t xml:space="preserve">“Done”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w:t>
      </w:r>
      <w:r>
        <w:t xml:space="preserve"> </w:t>
      </w:r>
      <w:r>
        <w:t xml:space="preserve">“Light Run”</w:t>
      </w:r>
      <w:r>
        <w:t xml:space="preserve"> </w:t>
      </w:r>
      <w:r>
        <w:t xml:space="preserve">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1"/>
        <w:tblLayout w:type="fixed"/>
        <w:tblLook w:firstRow="1" w:lastRow="0" w:firstColumn="0" w:lastColumn="0" w:noHBand="0" w:noVBand="0" w:val="0020"/>
      </w:tblPr>
      <w:tblGrid>
        <w:gridCol w:w="1060"/>
        <w:gridCol w:w="3429"/>
        <w:gridCol w:w="3367"/>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r>
              <w:t xml:space="preserve">abc</w:t>
            </w: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w:t>
      </w:r>
      <w:r>
        <w:t xml:space="preserve"> </w:t>
      </w:r>
      <w:r>
        <w:t xml:space="preserve">“Y”</w:t>
      </w:r>
      <w:r>
        <w:t xml:space="preserve"> </w:t>
      </w:r>
      <w:r>
        <w:t xml:space="preserve">axis, change the</w:t>
      </w:r>
      <w:r>
        <w:t xml:space="preserve"> </w:t>
      </w:r>
      <w:r>
        <w:t xml:space="preserve">“Scaling:”</w:t>
      </w:r>
      <w:r>
        <w:t xml:space="preserve"> </w:t>
      </w:r>
      <w:r>
        <w:t xml:space="preserve">setting from</w:t>
      </w:r>
      <w:r>
        <w:t xml:space="preserve"> </w:t>
      </w:r>
      <w:r>
        <w:t xml:space="preserve">“manual”</w:t>
      </w:r>
      <w:r>
        <w:t xml:space="preserve"> </w:t>
      </w:r>
      <w:r>
        <w:t xml:space="preserve">to</w:t>
      </w:r>
      <w:r>
        <w:t xml:space="preserve"> </w:t>
      </w:r>
      <w:r>
        <w:t xml:space="preserve">“Autoscale”</w:t>
      </w:r>
      <w:r>
        <w:t xml:space="preserve"> </w:t>
      </w:r>
      <w:r>
        <w:t xml:space="preserve">Click</w:t>
      </w:r>
      <w:r>
        <w:t xml:space="preserve"> </w:t>
      </w:r>
      <w:r>
        <w:t xml:space="preserve">“</w:t>
      </w:r>
      <w:r>
        <w:rPr>
          <w:b/>
          <w:bCs/>
        </w:rPr>
        <w:t xml:space="preserve">Done</w:t>
      </w:r>
      <w:r>
        <w:t xml:space="preserve">”</w:t>
      </w:r>
    </w:p>
    <w:p>
      <w:pPr>
        <w:numPr>
          <w:ilvl w:val="1"/>
          <w:numId w:val="1373"/>
        </w:numPr>
      </w:pPr>
      <w:r>
        <w:t xml:space="preserve">Repeat</w:t>
      </w:r>
      <w:r>
        <w:t xml:space="preserve"> </w:t>
      </w:r>
      <w:r>
        <w:t xml:space="preserve">“Y”</w:t>
      </w:r>
      <w:r>
        <w:t xml:space="preserve"> </w:t>
      </w:r>
      <w:r>
        <w:t xml:space="preserve">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5000"/>
        <w:tblLayout w:type="fixed"/>
        <w:tblLook w:firstRow="1" w:lastRow="0" w:firstColumn="0" w:lastColumn="0" w:noHBand="0" w:noVBand="0" w:val="0020"/>
      </w:tblPr>
      <w:tblGrid>
        <w:gridCol w:w="1728"/>
        <w:gridCol w:w="619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bookmarkStart w:id="590" w:name="quarto-presentation"/>
    <w:p>
      <w:pPr>
        <w:pStyle w:val="Heading1"/>
      </w:pPr>
      <w:r>
        <w:rPr>
          <w:b/>
          <w:bCs/>
        </w:rPr>
        <w:t xml:space="preserve">Quarto presentation</w:t>
      </w:r>
    </w:p>
    <w:p>
      <w:pPr>
        <w:pStyle w:val="FirstParagraph"/>
      </w:pPr>
      <w:r>
        <w:t xml:space="preserve">With</w:t>
      </w:r>
      <w:r>
        <w:t xml:space="preserve"> </w:t>
      </w:r>
      <w:hyperlink r:id="rId572">
        <w:r>
          <w:rPr>
            <w:rStyle w:val="Hyperlink"/>
          </w:rPr>
          <w:t xml:space="preserve">Quarto</w:t>
        </w:r>
      </w:hyperlink>
      <w:r>
        <w:t xml:space="preserve">, you can turn Quarto markdown (qmd) files into documents like articles or reports, websites such as blogs, and different kinds of presentations including sales pitches.</w:t>
      </w:r>
    </w:p>
    <w:p>
      <w:pPr>
        <w:pStyle w:val="BodyText"/>
      </w:pPr>
      <w:r>
        <w:t xml:space="preserve">Like other digital deliverables created by Quarto, presentations can be rendered as</w:t>
      </w:r>
      <w:r>
        <w:t xml:space="preserve"> </w:t>
      </w:r>
      <w:hyperlink r:id="rId573">
        <w:r>
          <w:rPr>
            <w:rStyle w:val="Hyperlink"/>
          </w:rPr>
          <w:t xml:space="preserve">HTML</w:t>
        </w:r>
      </w:hyperlink>
      <w:r>
        <w:t xml:space="preserve">, viewed in a web browser, and saved as a</w:t>
      </w:r>
      <w:r>
        <w:t xml:space="preserve"> </w:t>
      </w:r>
      <w:hyperlink r:id="rId574">
        <w:r>
          <w:rPr>
            <w:rStyle w:val="Hyperlink"/>
          </w:rPr>
          <w:t xml:space="preserve">PDF</w:t>
        </w:r>
      </w:hyperlink>
      <w:r>
        <w:t xml:space="preserve"> </w:t>
      </w:r>
      <w:r>
        <w:t xml:space="preserve">using the print dialog.</w:t>
      </w:r>
    </w:p>
    <w:p>
      <w:pPr>
        <w:pStyle w:val="BodyText"/>
      </w:pPr>
      <w:r>
        <w:t xml:space="preserve">Before saving, we should make sure the Layout is set to Landscape.</w:t>
      </w:r>
    </w:p>
    <w:p>
      <w:pPr>
        <w:pStyle w:val="BodyText"/>
      </w:pPr>
      <w:r>
        <w:drawing>
          <wp:inline>
            <wp:extent cx="5334000" cy="3548787"/>
            <wp:effectExtent b="0" l="0" r="0" t="0"/>
            <wp:docPr descr="" title="" id="576" name="Picture"/>
            <a:graphic>
              <a:graphicData uri="http://schemas.openxmlformats.org/drawingml/2006/picture">
                <pic:pic>
                  <pic:nvPicPr>
                    <pic:cNvPr descr="presentation/images/clipboard-1451207711.png" id="577" name="Picture"/>
                    <pic:cNvPicPr>
                      <a:picLocks noChangeArrowheads="1" noChangeAspect="1"/>
                    </pic:cNvPicPr>
                  </pic:nvPicPr>
                  <pic:blipFill>
                    <a:blip r:embed="rId575"/>
                    <a:stretch>
                      <a:fillRect/>
                    </a:stretch>
                  </pic:blipFill>
                  <pic:spPr bwMode="auto">
                    <a:xfrm>
                      <a:off x="0" y="0"/>
                      <a:ext cx="5334000" cy="3548787"/>
                    </a:xfrm>
                    <a:prstGeom prst="rect">
                      <a:avLst/>
                    </a:prstGeom>
                    <a:noFill/>
                    <a:ln w="9525">
                      <a:noFill/>
                      <a:headEnd/>
                      <a:tailEnd/>
                    </a:ln>
                  </pic:spPr>
                </pic:pic>
              </a:graphicData>
            </a:graphic>
          </wp:inline>
        </w:drawing>
      </w:r>
    </w:p>
    <w:p>
      <w:pPr>
        <w:pStyle w:val="BodyText"/>
      </w:pPr>
      <w:r>
        <w:t xml:space="preserve">A PDF presentation should have only one slide per page, but putting multiple slides on one page may be convenient if we want to read the slides instead of presenting them.</w:t>
      </w:r>
    </w:p>
    <w:p>
      <w:pPr>
        <w:pStyle w:val="BodyText"/>
      </w:pPr>
      <w:r>
        <w:drawing>
          <wp:inline>
            <wp:extent cx="5334000" cy="3680402"/>
            <wp:effectExtent b="0" l="0" r="0" t="0"/>
            <wp:docPr descr="" title="" id="579" name="Picture"/>
            <a:graphic>
              <a:graphicData uri="http://schemas.openxmlformats.org/drawingml/2006/picture">
                <pic:pic>
                  <pic:nvPicPr>
                    <pic:cNvPr descr="presentation/images/clipboard-4067504015.png" id="580" name="Picture"/>
                    <pic:cNvPicPr>
                      <a:picLocks noChangeArrowheads="1" noChangeAspect="1"/>
                    </pic:cNvPicPr>
                  </pic:nvPicPr>
                  <pic:blipFill>
                    <a:blip r:embed="rId578"/>
                    <a:stretch>
                      <a:fillRect/>
                    </a:stretch>
                  </pic:blipFill>
                  <pic:spPr bwMode="auto">
                    <a:xfrm>
                      <a:off x="0" y="0"/>
                      <a:ext cx="5334000" cy="3680402"/>
                    </a:xfrm>
                    <a:prstGeom prst="rect">
                      <a:avLst/>
                    </a:prstGeom>
                    <a:noFill/>
                    <a:ln w="9525">
                      <a:noFill/>
                      <a:headEnd/>
                      <a:tailEnd/>
                    </a:ln>
                  </pic:spPr>
                </pic:pic>
              </a:graphicData>
            </a:graphic>
          </wp:inline>
        </w:drawing>
      </w:r>
    </w:p>
    <w:p>
      <w:pPr>
        <w:pStyle w:val="BodyText"/>
      </w:pPr>
      <w:r>
        <w:t xml:space="preserve">For best results, I suggest following the PDF export instructions in the</w:t>
      </w:r>
      <w:r>
        <w:t xml:space="preserve"> </w:t>
      </w:r>
      <w:hyperlink r:id="rId581">
        <w:r>
          <w:rPr>
            <w:rStyle w:val="Hyperlink"/>
          </w:rPr>
          <w:t xml:space="preserve">RevealJS</w:t>
        </w:r>
      </w:hyperlink>
      <w:r>
        <w:t xml:space="preserve"> </w:t>
      </w:r>
      <w:r>
        <w:t xml:space="preserve">documentation:</w:t>
      </w:r>
      <w:r>
        <w:t xml:space="preserve"> </w:t>
      </w:r>
      <w:hyperlink r:id="rId582">
        <w:r>
          <w:rPr>
            <w:rStyle w:val="Hyperlink"/>
          </w:rPr>
          <w:t xml:space="preserve">https://revealjs.com/pdf-export/</w:t>
        </w:r>
      </w:hyperlink>
      <w:r>
        <w:t xml:space="preserve">.</w:t>
      </w:r>
    </w:p>
    <w:p>
      <w:pPr>
        <w:pStyle w:val="BodyText"/>
      </w:pPr>
      <w:r>
        <w:t xml:space="preserve">PDF files are ubiquitous and it is good to know that you can generate one with nothing more than a web browser whenever necessary, but HTML files can do many things that PDF files simply cannot.</w:t>
      </w:r>
    </w:p>
    <w:p>
      <w:pPr>
        <w:pStyle w:val="BodyText"/>
      </w:pPr>
      <w:r>
        <w:t xml:space="preserve">The example presentation below shows what is expected for the Research Presentation assignment. It covers chi-square (χ</w:t>
      </w:r>
      <w:r>
        <w:rPr>
          <w:vertAlign w:val="superscript"/>
        </w:rPr>
        <w:t xml:space="preserve">2</w:t>
      </w:r>
      <w:r>
        <w:t xml:space="preserve">) testing in genetics from Chapter 11 of the lab manual and models each part of the rubric:</w:t>
      </w:r>
    </w:p>
    <w:p>
      <w:pPr>
        <w:pStyle w:val="Compact"/>
        <w:numPr>
          <w:ilvl w:val="0"/>
          <w:numId w:val="1518"/>
        </w:numPr>
      </w:pPr>
      <w:r>
        <w:rPr>
          <w:b/>
          <w:bCs/>
        </w:rPr>
        <w:t xml:space="preserve">Scientific content and research quality:</w:t>
      </w:r>
      <w:r>
        <w:t xml:space="preserve"> </w:t>
      </w:r>
      <w:r>
        <w:t xml:space="preserve">accurate explanations supported by academic sources, including a human genetics example</w:t>
      </w:r>
    </w:p>
    <w:p>
      <w:pPr>
        <w:pStyle w:val="Compact"/>
        <w:numPr>
          <w:ilvl w:val="0"/>
          <w:numId w:val="1518"/>
        </w:numPr>
      </w:pPr>
      <w:r>
        <w:rPr>
          <w:b/>
          <w:bCs/>
        </w:rPr>
        <w:t xml:space="preserve">Organization and structure:</w:t>
      </w:r>
      <w:r>
        <w:t xml:space="preserve"> </w:t>
      </w:r>
      <w:r>
        <w:t xml:space="preserve">a clear introduction, body, and conclusion</w:t>
      </w:r>
    </w:p>
    <w:p>
      <w:pPr>
        <w:pStyle w:val="Compact"/>
        <w:numPr>
          <w:ilvl w:val="0"/>
          <w:numId w:val="1518"/>
        </w:numPr>
      </w:pPr>
      <w:r>
        <w:rPr>
          <w:b/>
          <w:bCs/>
        </w:rPr>
        <w:t xml:space="preserve">Visual aids:</w:t>
      </w:r>
      <w:r>
        <w:t xml:space="preserve"> </w:t>
      </w:r>
      <w:r>
        <w:t xml:space="preserve">labeled figures and tables, readable slides, and citations on the slides and in a references slide</w:t>
      </w:r>
    </w:p>
    <w:p>
      <w:pPr>
        <w:pStyle w:val="Compact"/>
        <w:numPr>
          <w:ilvl w:val="0"/>
          <w:numId w:val="1518"/>
        </w:numPr>
      </w:pPr>
      <w:r>
        <w:rPr>
          <w:b/>
          <w:bCs/>
        </w:rPr>
        <w:t xml:space="preserve">Oral delivery:</w:t>
      </w:r>
      <w:r>
        <w:t xml:space="preserve"> </w:t>
      </w:r>
      <w:r>
        <w:t xml:space="preserve">speaker notes on every slide (press</w:t>
      </w:r>
      <w:r>
        <w:t xml:space="preserve"> </w:t>
      </w:r>
      <w:r>
        <w:t xml:space="preserve">S</w:t>
      </w:r>
      <w:r>
        <w:t xml:space="preserve"> </w:t>
      </w:r>
      <w:r>
        <w:t xml:space="preserve">while viewing the HTML presentation to open the speaker view)</w:t>
      </w:r>
    </w:p>
    <w:p>
      <w:pPr>
        <w:pStyle w:val="Compact"/>
        <w:numPr>
          <w:ilvl w:val="0"/>
          <w:numId w:val="1518"/>
        </w:numPr>
      </w:pPr>
      <w:r>
        <w:rPr>
          <w:b/>
          <w:bCs/>
        </w:rPr>
        <w:t xml:space="preserve">Submission and accessibility:</w:t>
      </w:r>
      <w:r>
        <w:t xml:space="preserve"> </w:t>
      </w:r>
      <w:r>
        <w:t xml:space="preserve">a working web link to both an HTML and a PDF version</w:t>
      </w:r>
    </w:p>
    <w:p>
      <w:pPr>
        <w:pStyle w:val="FirstParagraph"/>
      </w:pPr>
      <w:r>
        <w:t xml:space="preserve">The equations are written in</w:t>
      </w:r>
      <w:r>
        <w:t xml:space="preserve"> </w:t>
      </w:r>
      <w:hyperlink r:id="rId583">
        <w:r>
          <w:rPr>
            <w:rStyle w:val="Hyperlink"/>
          </w:rPr>
          <w:t xml:space="preserve">LaTeX</w:t>
        </w:r>
      </w:hyperlink>
      <w:r>
        <w:t xml:space="preserve"> </w:t>
      </w:r>
      <w:r>
        <w:t xml:space="preserve">(e.g.,</w:t>
      </w:r>
      <w:r>
        <w:t xml:space="preserve"> </w:t>
      </w:r>
      <w:r>
        <w:rPr>
          <w:rStyle w:val="VerbatimChar"/>
        </w:rPr>
        <w:t xml:space="preserve">$\chi^2$</w:t>
      </w:r>
      <w:r>
        <w:t xml:space="preserve">), and the R output and figures are embedded from a Jupyter notebook,</w:t>
      </w:r>
      <w:r>
        <w:t xml:space="preserve"> </w:t>
      </w:r>
      <w:hyperlink r:id="rId584">
        <w:r>
          <w:rPr>
            <w:rStyle w:val="Hyperlink"/>
          </w:rPr>
          <w:t xml:space="preserve">chisq.ipynb</w:t>
        </w:r>
      </w:hyperlink>
      <w:r>
        <w:t xml:space="preserve">, that was run locally before the presentation was published. Because the notebook’s output is saved in the notebook itself, the website can be built without installing R.</w:t>
      </w:r>
    </w:p>
    <w:p>
      <w:pPr>
        <w:pStyle w:val="BodyText"/>
      </w:pPr>
      <w:r>
        <w:t xml:space="preserve">The HTML presentation is shown first, followed by the PDF version.</w:t>
      </w:r>
    </w:p>
    <w:p>
      <w:pPr>
        <w:pStyle w:val="BodyText"/>
      </w:pPr>
      <w:r>
        <w:t xml:space="preserve">Instead of embedding your presentation in a webpage as shown above, you can view it in its own browser tab in</w:t>
      </w:r>
      <w:r>
        <w:t xml:space="preserve"> </w:t>
      </w:r>
      <w:hyperlink r:id="rId585">
        <w:r>
          <w:rPr>
            <w:rStyle w:val="Hyperlink"/>
          </w:rPr>
          <w:t xml:space="preserve">HTML</w:t>
        </w:r>
      </w:hyperlink>
      <w:r>
        <w:t xml:space="preserve"> </w:t>
      </w:r>
      <w:r>
        <w:t xml:space="preserve">or</w:t>
      </w:r>
      <w:r>
        <w:t xml:space="preserve"> </w:t>
      </w:r>
      <w:hyperlink r:id="rId586">
        <w:r>
          <w:rPr>
            <w:rStyle w:val="Hyperlink"/>
          </w:rPr>
          <w:t xml:space="preserve">PDF</w:t>
        </w:r>
      </w:hyperlink>
      <w:r>
        <w:t xml:space="preserve"> </w:t>
      </w:r>
      <w:r>
        <w:t xml:space="preserve">format.</w:t>
      </w:r>
    </w:p>
    <w:p>
      <w:pPr>
        <w:pStyle w:val="BodyText"/>
      </w:pPr>
      <w:r>
        <w:t xml:space="preserve">To edit a presentation, you can modify the plain text of the associated qmd file in a</w:t>
      </w:r>
      <w:r>
        <w:t xml:space="preserve"> </w:t>
      </w:r>
      <w:hyperlink r:id="rId587">
        <w:r>
          <w:rPr>
            <w:rStyle w:val="Hyperlink"/>
          </w:rPr>
          <w:t xml:space="preserve">text editor</w:t>
        </w:r>
      </w:hyperlink>
      <w:r>
        <w:t xml:space="preserve"> </w:t>
      </w:r>
      <w:r>
        <w:t xml:space="preserve">or work with a</w:t>
      </w:r>
      <w:r>
        <w:t xml:space="preserve"> </w:t>
      </w:r>
      <w:hyperlink r:id="rId588">
        <w:r>
          <w:rPr>
            <w:rStyle w:val="Hyperlink"/>
          </w:rPr>
          <w:t xml:space="preserve">WYSIWYG</w:t>
        </w:r>
      </w:hyperlink>
      <w:r>
        <w:t xml:space="preserve"> </w:t>
      </w:r>
      <w:r>
        <w:t xml:space="preserve">version via the</w:t>
      </w:r>
      <w:r>
        <w:t xml:space="preserve"> </w:t>
      </w:r>
      <w:hyperlink r:id="rId589">
        <w:r>
          <w:rPr>
            <w:rStyle w:val="Hyperlink"/>
          </w:rPr>
          <w:t xml:space="preserve">Visual Mode</w:t>
        </w:r>
      </w:hyperlink>
      <w:r>
        <w:t xml:space="preserve"> </w:t>
      </w:r>
      <w:r>
        <w:t xml:space="preserve">in RStudio, VSCode, Codespaces, or Positron.</w:t>
      </w:r>
    </w:p>
    <w:p>
      <w:pPr>
        <w:pStyle w:val="BodyText"/>
      </w:pPr>
      <w:r>
        <w:t xml:space="preserve">When you want to update the presentation on your website, all you have to do is add, commit, and push your changes. It may take some time for your site to update after you push changes. You can see the status and logs of all of your website builds in the Actions tab of your repo on &lt;www.github.com&gt;.</w:t>
      </w:r>
    </w:p>
    <w:bookmarkEnd w:id="5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image" Id="rId575" Target="media/rId575.png" /><Relationship Type="http://schemas.openxmlformats.org/officeDocument/2006/relationships/image" Id="rId578" Target="media/rId578.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85" Target="demo/" TargetMode="External" /><Relationship Type="http://schemas.openxmlformats.org/officeDocument/2006/relationships/hyperlink" Id="rId584" Target="demo/chisq.ipynb" TargetMode="External" /><Relationship Type="http://schemas.openxmlformats.org/officeDocument/2006/relationships/hyperlink" Id="rId586" Target="demo/demo.pdf"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589" Target="https://docs.posit.co/ide/user/ide/guide/documents/visual-editor.html"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573" Target="https://en.wikipedia.org/wiki/HTML#:~:text=the%20standard%20markup%20language%5Ba%5D%20for%20documents%20designed%20to%20be%20displayed%20in%20a%20web%20browser" TargetMode="External" /><Relationship Type="http://schemas.openxmlformats.org/officeDocument/2006/relationships/hyperlink" Id="rId583" Target="https://en.wikipedia.org/wiki/LaTeX#:~:text=a%20software%20system%20for%20typesetting%20document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574" Target="https://en.wikipedia.org/wiki/PDF#:~:text=a%20file%20format%20developed%20by%20Adobe%20in%201993%20used%20to%20present%20documents"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587" Target="https://en.wikipedia.org/wiki/Text_editor"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588" Target="https://en.wikipedia.org/wiki/WYSIWYG"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572" Target="https://quarto.org/#:~:text=An%20open%2Dsource%20scientific%20and%20technical%20publishing%20system" TargetMode="External" /><Relationship Type="http://schemas.openxmlformats.org/officeDocument/2006/relationships/hyperlink" Id="rId581" Target="https://revealjs.com" TargetMode="External" /><Relationship Type="http://schemas.openxmlformats.org/officeDocument/2006/relationships/hyperlink" Id="rId582" Target="https://revealjs.com/pdf-export/"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2026-10-30T00:31:05Z</dcterms:created>
  <dcterms:modified xsi:type="dcterms:W3CDTF">2026-10-30T00:31:05Z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