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黑体"/>
          <w:b/>
          <w:sz w:val="36"/>
        </w:rPr>
        <w:t>基于深度学习的图像分类研究</w:t>
      </w:r>
    </w:p>
    <w:p>
      <w:pPr>
        <w:jc w:val="center"/>
      </w:pPr>
      <w:r>
        <w:rPr>
          <w:sz w:val="22"/>
        </w:rPr>
        <w:t>张三  2026-09-06</w:t>
      </w:r>
    </w:p>
    <w:p>
      <w:pPr>
        <w:pStyle w:val="Heading1"/>
      </w:pPr>
      <w:r>
        <w:rPr>
          <w:rFonts w:eastAsia="黑体"/>
        </w:rPr>
        <w:t>引言</w:t>
      </w:r>
    </w:p>
    <w:p>
      <w:r>
        <w:rPr>
          <w:rFonts w:eastAsia="宋体"/>
        </w:rPr>
        <w:t>本节介绍研究背景。行内公式</w:t>
      </w:r>
      <w:r>
        <w:rPr>
          <w:rFonts w:ascii="Consolas" w:hAnsi="Consolas"/>
          <w:i/>
        </w:rPr>
        <w:t xml:space="preserve"> E = mc^2 </w:t>
      </w:r>
      <w:r>
        <w:rPr>
          <w:rFonts w:eastAsia="宋体"/>
        </w:rPr>
        <w:t>用于说明质能关系，</w:t>
      </w:r>
      <w:r>
        <w:rPr>
          <w:b/>
        </w:rPr>
        <w:t>加粗文本</w:t>
      </w:r>
      <w:r>
        <w:rPr>
          <w:rFonts w:eastAsia="宋体"/>
        </w:rPr>
        <w:t>与</w:t>
      </w:r>
      <w:r>
        <w:rPr>
          <w:i/>
        </w:rPr>
        <w:t>斜体文本</w:t>
      </w:r>
      <w:r>
        <w:rPr>
          <w:rFonts w:eastAsia="宋体"/>
        </w:rPr>
        <w:t>也应正常显示。</w:t>
      </w:r>
    </w:p>
    <w:p>
      <w:r>
        <w:rPr>
          <w:rFonts w:eastAsia="宋体"/>
        </w:rPr>
        <w:t>行间公式如下：</w:t>
      </w:r>
      <w:r>
        <w:rPr>
          <w:rFonts w:ascii="Consolas" w:hAnsi="Consolas"/>
          <w:i/>
        </w:rPr>
        <w:t>\int_{0}^{1} x^2 dx = \frac{1}{3}</w:t>
      </w:r>
    </w:p>
    <w:p>
      <w:pPr>
        <w:pStyle w:val="Heading2"/>
      </w:pPr>
      <w:r>
        <w:rPr>
          <w:rFonts w:eastAsia="黑体"/>
        </w:rPr>
        <w:t>相关工作</w:t>
      </w:r>
    </w:p>
    <w:p>
      <w:r>
        <w:rPr>
          <w:rFonts w:eastAsia="宋体"/>
        </w:rPr>
        <w:t>现有方法主要有三类：</w:t>
      </w:r>
    </w:p>
    <w:p>
      <w:pPr>
        <w:pStyle w:val="ListBullet"/>
      </w:pPr>
      <w:r>
        <w:rPr>
          <w:rFonts w:eastAsia="宋体"/>
        </w:rPr>
        <w:t>基于卷积神经网络的方法</w:t>
      </w:r>
    </w:p>
    <w:p>
      <w:pPr>
        <w:pStyle w:val="ListBullet"/>
      </w:pPr>
      <w:r>
        <w:rPr>
          <w:rFonts w:eastAsia="宋体"/>
        </w:rPr>
        <w:t>基于</w:t>
      </w:r>
      <w:r>
        <w:rPr>
          <w:rFonts w:ascii="Consolas" w:hAnsi="Consolas"/>
        </w:rPr>
        <w:t>Transformer</w:t>
      </w:r>
      <w:r>
        <w:rPr>
          <w:rFonts w:eastAsia="宋体"/>
        </w:rPr>
        <w:t>的方法</w:t>
      </w:r>
    </w:p>
    <w:p>
      <w:pPr>
        <w:pStyle w:val="ListBullet"/>
      </w:pPr>
      <w:r>
        <w:rPr>
          <w:rFonts w:eastAsia="宋体"/>
        </w:rPr>
        <w:t>混合架构方法</w:t>
      </w:r>
    </w:p>
    <w:p>
      <w:pPr>
        <w:pStyle w:val="Heading2"/>
      </w:pPr>
      <w:r>
        <w:rPr>
          <w:rFonts w:eastAsia="黑体"/>
        </w:rPr>
        <w:t>实验设置</w:t>
      </w:r>
    </w:p>
    <w:p>
      <w:pPr>
        <w:pStyle w:val="ListNumber"/>
      </w:pPr>
      <w:r>
        <w:rPr>
          <w:rFonts w:eastAsia="宋体"/>
        </w:rPr>
        <w:t>数据集：CIFAR-10</w:t>
      </w:r>
    </w:p>
    <w:p>
      <w:pPr>
        <w:pStyle w:val="ListNumber"/>
      </w:pPr>
      <w:r>
        <w:rPr>
          <w:rFonts w:eastAsia="宋体"/>
        </w:rPr>
        <w:t>优化器：Adam，学习率 0.001</w:t>
      </w:r>
    </w:p>
    <w:p>
      <w:pPr>
        <w:pStyle w:val="Heading1"/>
      </w:pPr>
      <w:r>
        <w:rPr>
          <w:rFonts w:eastAsia="黑体"/>
        </w:rPr>
        <w:t>实验结果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eastAsia="宋体"/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宋体"/>
                <w:b/>
              </w:rPr>
              <w:t>准确率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宋体"/>
                <w:b/>
              </w:rPr>
              <w:t>参数量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ResNet-18</w:t>
            </w:r>
          </w:p>
        </w:tc>
        <w:tc>
          <w:tcPr>
            <w:tcW w:type="dxa" w:w="2880"/>
          </w:tcPr>
          <w:p>
            <w:r/>
            <w:r>
              <w:t>95.2%</w:t>
            </w:r>
          </w:p>
        </w:tc>
        <w:tc>
          <w:tcPr>
            <w:tcW w:type="dxa" w:w="2880"/>
          </w:tcPr>
          <w:p>
            <w:r/>
            <w:r>
              <w:t>11M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ViT-B</w:t>
            </w:r>
          </w:p>
        </w:tc>
        <w:tc>
          <w:tcPr>
            <w:tcW w:type="dxa" w:w="2880"/>
          </w:tcPr>
          <w:p>
            <w:r/>
            <w:r>
              <w:t>97.8%</w:t>
            </w:r>
          </w:p>
        </w:tc>
        <w:tc>
          <w:tcPr>
            <w:tcW w:type="dxa" w:w="2880"/>
          </w:tcPr>
          <w:p>
            <w:r/>
            <w:r>
              <w:t>86M</w:t>
            </w:r>
          </w:p>
        </w:tc>
      </w:tr>
    </w:tbl>
    <w:p>
      <w:pPr>
        <w:jc w:val="center"/>
      </w:pPr>
      <w:r>
        <w:rPr>
          <w:sz w:val="20"/>
        </w:rPr>
        <w:t>不同方法对比</w:t>
      </w:r>
    </w:p>
    <w:p/>
    <w:p>
      <w:r>
        <w:rPr>
          <w:rFonts w:eastAsia="宋体"/>
        </w:rPr>
        <w:t>结果如表 所示，其中 50% &amp; $100 这类特殊字符应被正确还原。</w:t>
      </w:r>
    </w:p>
    <w:p>
      <w:pPr>
        <w:pStyle w:val="Heading1"/>
      </w:pPr>
      <w:r>
        <w:rPr>
          <w:rFonts w:eastAsia="黑体"/>
        </w:rPr>
        <w:t>结论</w:t>
      </w:r>
    </w:p>
    <w:p>
      <w:r>
        <w:rPr>
          <w:rFonts w:eastAsia="宋体"/>
        </w:rPr>
        <w:t>本文提出的方法在准确率上提升了 2.6%。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