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D9EDC" w14:textId="4F3C96C9" w:rsidR="00F309B4" w:rsidRPr="00F309B4" w:rsidRDefault="00F309B4" w:rsidP="00F309B4">
      <w:pPr>
        <w:jc w:val="both"/>
      </w:pPr>
      <w:r w:rsidRPr="00F309B4">
        <w:t>Abigail Lewis</w:t>
      </w:r>
    </w:p>
    <w:p w14:paraId="4F845001" w14:textId="2FF3C557" w:rsidR="00F309B4" w:rsidRPr="00F309B4" w:rsidRDefault="00F309B4" w:rsidP="00F309B4">
      <w:pPr>
        <w:jc w:val="both"/>
      </w:pPr>
      <w:r w:rsidRPr="00F309B4">
        <w:t>October 1, 2021</w:t>
      </w:r>
    </w:p>
    <w:p w14:paraId="7AB1BAD4" w14:textId="075701FC" w:rsidR="00F309B4" w:rsidRPr="00F309B4" w:rsidRDefault="00F309B4" w:rsidP="00F309B4">
      <w:pPr>
        <w:spacing w:after="160" w:line="276" w:lineRule="auto"/>
        <w:jc w:val="center"/>
        <w:rPr>
          <w:b/>
          <w:bCs/>
        </w:rPr>
      </w:pPr>
      <w:r w:rsidRPr="00F309B4">
        <w:rPr>
          <w:b/>
          <w:bCs/>
        </w:rPr>
        <w:t>Proposal Narrative</w:t>
      </w:r>
    </w:p>
    <w:p w14:paraId="4E04A503" w14:textId="2BA40C9B" w:rsidR="002A4C76" w:rsidRPr="003C7BC7" w:rsidRDefault="002A4C76" w:rsidP="003C7BC7">
      <w:pPr>
        <w:spacing w:after="160" w:line="276" w:lineRule="auto"/>
        <w:jc w:val="both"/>
        <w:rPr>
          <w:b/>
          <w:bCs/>
        </w:rPr>
      </w:pPr>
      <w:r w:rsidRPr="003C7BC7">
        <w:rPr>
          <w:b/>
          <w:bCs/>
        </w:rPr>
        <w:t>Background Information</w:t>
      </w:r>
    </w:p>
    <w:p w14:paraId="68AAE6DD" w14:textId="7D2D9FE4" w:rsidR="00263D08" w:rsidRPr="003C7BC7" w:rsidRDefault="00263D08" w:rsidP="003C7BC7">
      <w:pPr>
        <w:spacing w:after="160" w:line="276" w:lineRule="auto"/>
        <w:jc w:val="both"/>
      </w:pPr>
      <w:r w:rsidRPr="003C7BC7">
        <w:t>Associations between iron (Fe) and organic carbon (OC) play a critical role in marine carbon burial</w:t>
      </w:r>
      <w:r w:rsidR="002A4C76" w:rsidRPr="003C7BC7">
        <w:t xml:space="preserve"> </w:t>
      </w:r>
      <w:r w:rsidR="00FB62C6" w:rsidRPr="003C7BC7">
        <w:fldChar w:fldCharType="begin"/>
      </w:r>
      <w:r w:rsidR="002A4C76" w:rsidRPr="003C7BC7">
        <w:instrText xml:space="preserve"> ADDIN ZOTERO_ITEM CSL_CITATION {"citationID":"fZ2FuI0Y","properties":{"formattedCitation":"(1,2)","plainCitation":"(1,2)","noteIndex":0},"citationItems":[{"id":318,"uris":["http://zotero.org/users/4672239/items/G3KA6GS7"],"uri":["http://zotero.org/users/4672239/items/G3KA6GS7"],"itemData":{"id":318,"type":"article-journal","abstract":"About one-fifth of organic carbon in sediments is bound to reactive iron phases, which are metastable over geological timescales and may therefore serve as a sink for the long-term storage of organic carbon.","container-title":"Nature","DOI":"10.1038/nature10855","ISSN":"1476-4687","issue":"7388","journalAbbreviation":"Nature","language":"en","page":"198-200","source":"www-nature-com.ezproxy.lib.vt.edu","title":"Preservation of organic matter in sediments promoted by iron","volume":"483","author":[{"family":"Lalonde","given":"Karine"},{"family":"Mucci","given":"Alfonso"},{"family":"Ouellet","given":"Alexandre"},{"family":"Gélinas","given":"Yves"}],"issued":{"date-parts":[["2012",3]]}}},{"id":809,"uris":["http://zotero.org/users/4672239/items/PYQLJSJS"],"uri":["http://zotero.org/users/4672239/items/PYQLJSJS"],"itemData":{"id":809,"type":"article-journal","abstract":"We examined the role of reactive iron (FeR) in preserving organic carbon (OC) across a subaerial chronosequence of the Wax Lake Delta, a prograding delta within the Mississippi River Delta complex. We found that 15.0% of the OC was bound to FeR, and the dominant binding mechanisms varied from adsorption in the youngest subaerial region to coprecipitation at the older, vegetated sites. The δ13C of the iron-associated OC was more negative than the total OC (mean = −2.6‰), indicating greater preference for terrestrial material and/or compounds with more negative δ13C values. However, only the adsorbed OC displayed preferential binding of lignin phenols. We estimate that 8% of the OC initially deposited in deltaic systems is bound to FeR (equivalent to 6 × 1012 gC yr−1), and this percentage increases postdepositionally, as coprecipitation of FeR and OC allows for an even greater amount of OC to be bound to FeR.","container-title":"Geophysical Research Letters","DOI":"10.1002/2015GL067388","ISSN":"1944-8007","issue":"3","language":"en","page":"1149-1157","source":"Wiley Online Library","title":"Enhanced terrestrial carbon preservation promoted by reactive iron in deltaic sediments","volume":"43","author":[{"family":"Shields","given":"Michael R."},{"family":"Bianchi","given":"Thomas S."},{"family":"Gélinas","given":"Yves"},{"family":"Allison","given":"Mead A."},{"family":"Twilley","given":"Robert R."}],"issued":{"date-parts":[["2016"]]}}}],"schema":"https://github.com/citation-style-language/schema/raw/master/csl-citation.json"} </w:instrText>
      </w:r>
      <w:r w:rsidR="00FB62C6" w:rsidRPr="003C7BC7">
        <w:fldChar w:fldCharType="separate"/>
      </w:r>
      <w:r w:rsidR="002A4C76" w:rsidRPr="003C7BC7">
        <w:t>(1,2)</w:t>
      </w:r>
      <w:r w:rsidR="00FB62C6" w:rsidRPr="003C7BC7">
        <w:fldChar w:fldCharType="end"/>
      </w:r>
      <w:r w:rsidR="002A4C76" w:rsidRPr="003C7BC7">
        <w:t>.</w:t>
      </w:r>
      <w:r w:rsidRPr="003C7BC7">
        <w:t xml:space="preserve"> However, the importance of these associations in freshwater sediment is poorly quantified</w:t>
      </w:r>
      <w:r w:rsidR="002A4C76" w:rsidRPr="003C7BC7">
        <w:t xml:space="preserve"> </w:t>
      </w:r>
      <w:r w:rsidR="00FB62C6" w:rsidRPr="003C7BC7">
        <w:fldChar w:fldCharType="begin"/>
      </w:r>
      <w:r w:rsidR="002A4C76" w:rsidRPr="003C7BC7">
        <w:instrText xml:space="preserve"> ADDIN ZOTERO_ITEM CSL_CITATION {"citationID":"xC1rsEn5","properties":{"formattedCitation":"(1,3\\uc0\\u8211{}5)","plainCitation":"(1,3–5)","noteIndex":0},"citationItems":[{"id":318,"uris":["http://zotero.org/users/4672239/items/G3KA6GS7"],"uri":["http://zotero.org/users/4672239/items/G3KA6GS7"],"itemData":{"id":318,"type":"article-journal","abstract":"About one-fifth of organic carbon in sediments is bound to reactive iron phases, which are metastable over geological timescales and may therefore serve as a sink for the long-term storage of organic carbon.","container-title":"Nature","DOI":"10.1038/nature10855","ISSN":"1476-4687","issue":"7388","journalAbbreviation":"Nature","language":"en","page":"198-200","source":"www-nature-com.ezproxy.lib.vt.edu","title":"Preservation of organic matter in sediments promoted by iron","volume":"483","author":[{"family":"Lalonde","given":"Karine"},{"family":"Mucci","given":"Alfonso"},{"family":"Ouellet","given":"Alexandre"},{"family":"Gélinas","given":"Yves"}],"issued":{"date-parts":[["2012",3]]}}},{"id":793,"uris":["http://zotero.org/users/4672239/items/XSD46LJV"],"uri":["http://zotero.org/users/4672239/items/XSD46LJV"],"itemData":{"id":793,"type":"article-journal","abstract":"This study examines a natural, rapid, fivefold increase in dissolved organic carbon (DOC) concentrations in a temperate shallow lake, describing the processes by which increased DOC resulted in anoxic conditions and altered existing carbon cycling pathways. High precipitation for two consecutive years led to rising water levels and the flooding of adjacent degraded peatlands. Leaching from the flooded soils provided an initial increase in DOC concentrations (from a 2010 mean of 12 ± 1 mg L−1 to a maximum concentration of 53 mg L−1 by June 2012). Increasing water levels, DOC, and phytoplankton concentrations reduced light reaching the sediment surface, eliminating most benthic primary production and promoting anoxia in the hypolimnion. From January to June 2012 there was a sudden increase in total phosphorus (from 57 µg L−1 to 216 µg L−1), DOC (from 24.6 mg L−1 to 53 mg L−1), and iron (from 0.12 mg L−1 to 1.07 mg L−1) concentrations, without any further large fluxes in water levels. We suggest that anoxic conditions at the sediment surface and flooded soils produced a dramatic release of these chemicals that exacerbated brownification and eutrophication, creating anoxic conditions that persisted roughly 6 months below a water depth of 1 m and extended periodically to the water surface. This brownification-anoxia feedback loop resulted in a near-complete loss of macroinvertebrate and fish populations, and increased surface carbon dioxide (CO2) emissions by an order of magnitude relative to previous years.","container-title":"Limnology and Oceanography","DOI":"10.4319/lo.2014.59.4.1388","ISSN":"1939-5590","issue":"4","language":"en","page":"1388-1398","source":"Wiley Online Library","title":"A feedback loop links brownification and anoxia in a temperate, shallow lake","volume":"59","author":[{"family":"Brothers","given":"S."},{"family":"Köhler","given":"J."},{"family":"Attermeyer","given":"K."},{"family":"Grossart","given":"H. P."},{"family":"Mehner","given":"T."},{"family":"Meyer","given":"N."},{"family":"Scharnweber","given":"K."},{"family":"Hilt","given":"S."}],"issued":{"date-parts":[["2014"]]}}},{"id":789,"uris":["http://zotero.org/users/4672239/items/VUWZ8LGM"],"uri":["http://zotero.org/users/4672239/items/VUWZ8LGM"],"itemData":{"id":789,"type":"article-journal","container-title":"Biogeochemistry","DOI":"10.1007/s10533-018-0456-8","ISSN":"0168-2563, 1573-515X","issue":"1","journalAbbreviation":"Biogeochemistry","language":"en","page":"19-29","source":"DOI.org (Crossref)","title":"High variability in iron-bound organic carbon among five boreal lake sediments","volume":"139","author":[{"family":"Peter","given":"Simone"},{"family":"Sobek","given":"Sebastian"}],"issued":{"date-parts":[["2018",6]]}}},{"id":264,"uris":["http://zotero.org/users/4672239/items/A56BT5HY"],"uri":["http://zotero.org/users/4672239/items/A56BT5HY"],"itemData":{"id":264,"type":"article-journal","abstract":"Lakes are highly relevant players in the global carbon cycle as they can store large amounts of organic carbon (OC) in sediments, thereby removing OC from the actively cycling pool. However, sediment OC can be released to pore water under anoxic conditions and diffuse into the water column. In carbon budgets of lake ecosystems, this potential OC loss pathway from sediments is generally disregarded. Combining field observations and incubation experiments, we quantitatively investigated dissolved OC (DOC) diffusion from sediments into anoxic water of a boreal lake. We observed substantial increases of bottom water DOC (26% in situ, 16% incubation), translating into a DOC flux from the sediment that was comparable to anoxic sediment respiration (3.3 versus 5.1 mmol m−2 d−1). Optical characterization indicated that colored and aromatic DOC was preferentially released. Reactivity assays showed that DOC released from anoxic sediment enhanced water column respiration and flocculation in reoxygenated water. Upon water oxygenation, flocculation was the most important loss pathway removing 77% of released DOC, but the remaining 23% was mineralized, constituting a pathway of permanent loss of sediment OC. DOC diffusion from lake sediment during anoxia and subsequent mineralization in oxic water during mixing increases overall OC loss from anoxic sediments by 15%. This study enlarges our understanding of lake ecosystems by showing that under anoxic conditions significant amounts of DOC can be released from OC stored in sediments and enter the active aquatic carbon cycle again.","container-title":"Journal of Geophysical Research: Biogeosciences","DOI":"10.1002/2016JG003425","ISSN":"2169-8961","issue":"7","language":"en","page":"1959-1977","source":"Wiley Online Library","title":"Enhanced carbon loss from anoxic lake sediment through diffusion of dissolved organic carbon","volume":"121","author":[{"family":"Peter","given":"Simone"},{"family":"Isidorova","given":"Anastasija"},{"family":"Sobek","given":"Sebastian"}],"issued":{"date-parts":[["2016"]]}}}],"schema":"https://github.com/citation-style-language/schema/raw/master/csl-citation.json"} </w:instrText>
      </w:r>
      <w:r w:rsidR="00FB62C6" w:rsidRPr="003C7BC7">
        <w:fldChar w:fldCharType="separate"/>
      </w:r>
      <w:r w:rsidR="002A4C76" w:rsidRPr="003C7BC7">
        <w:t>(1,3–5)</w:t>
      </w:r>
      <w:r w:rsidR="00FB62C6" w:rsidRPr="003C7BC7">
        <w:fldChar w:fldCharType="end"/>
      </w:r>
      <w:r w:rsidR="002A4C76" w:rsidRPr="003C7BC7">
        <w:t>.</w:t>
      </w:r>
      <w:r w:rsidRPr="003C7BC7">
        <w:t xml:space="preserve"> This presents a critical research gap, as reservoirs alone may bury more OC than marine sediments each year</w:t>
      </w:r>
      <w:r w:rsidR="002A4C76" w:rsidRPr="003C7BC7">
        <w:t xml:space="preserve"> </w:t>
      </w:r>
      <w:r w:rsidR="00FB62C6" w:rsidRPr="003C7BC7">
        <w:fldChar w:fldCharType="begin"/>
      </w:r>
      <w:r w:rsidR="00981F86" w:rsidRPr="003C7BC7">
        <w:instrText xml:space="preserve"> ADDIN ZOTERO_ITEM CSL_CITATION {"citationID":"ghpMeIC9","properties":{"formattedCitation":"(6\\uc0\\u8211{}9)","plainCitation":"(6–9)","noteIndex":0},"citationItems":[{"id":361,"uris":["http://zotero.org/users/4672239/items/J57ENC9L"],"uri":["http://zotero.org/users/4672239/items/J57ENC9L"],"itemData":{"id":361,"type":"article-journal","abstract":"Globally, lakes are currently accumulating organic carbon (OC) at an estimated annual rate of about 42 Tg ·yr–1. Most of the OC in all but the most oligotrophic of these lakes is autochthonous, produced by primary production in the lakes. The sediments of reservoirs accumulate an additional 160 Tg annually, and peatlands contribute 96 Tg annually. These three carbon pools collectively cover less than 2% of the Earth’s surface and constitute a carbon sink of about 300 Tg·yr–1. Although the oceans cover 71% of the Earth’s surface, they accumulate OC at a rate of only about 100 Tg·yr–1.","language":"en","page":"4","source":"Zotero","title":"Magnitude and significance of carbon burial in lakes, reservoirs, and peatlands","author":[{"family":"Dean","given":"Walter E"},{"family":"Gorham","given":"Eville"}],"issued":{"date-parts":[["1998"]]}}},{"id":782,"uris":["http://zotero.org/users/4672239/items/6AEN735G"],"uri":["http://zotero.org/users/4672239/items/6AEN735G"],"itemData":{"id":782,"type":"article-journal","abstract":"We estimated organic carbon (OC) burial over the past century in 40 impoundments in one of the most intensively agricultural regions of the world. The volume of sediment deposited per unit time varied as a function of lake and watershed size, but smaller impoundments had greater deposition and accumulation rates per unit area. Annual water storage losses varied from 0.1–20% and were negatively correlated with impoundment size. Estimated sediment OC content was greatest in lakes with low ratios of watershed to impoundment area. Sediment OC burial rates were higher than those assumed for fertile impoundments by previous studies and were much higher than those measured in natural lakes. OC burial ranged from a high of 17,000 g C m−2 a−1 to a low of 148 g C m−2 a−1 and was significantly greater in small impoundments than large ones. The OC buried in these lakes originates in both autochthonous and allochthonous production. These analyses suggest that OC sequestration in moderate to large impoundments may be double the rate assumed in previous analyses. Extrapolation suggests that they may bury 4 times as much carbon (C) as the world's oceans. The world's farm ponds alone may bury more OC than the oceans and 33% as much as the world's rivers deliver to the sea.","container-title":"Global Biogeochemical Cycles","DOI":"10.1029/2006GB002854","ISSN":"1944-9224","issue":"1","language":"en","source":"Wiley Online Library","title":"Sediment organic carbon burial in agriculturally eutrophic impoundments over the last century","volume":"22","author":[{"family":"Downing","given":"J. A."},{"family":"Cole","given":"J. J."},{"family":"Middelburg","given":"J. J."},{"family":"Striegl","given":"R. G."},{"family":"Duarte","given":"C. M."},{"family":"Kortelainen","given":"P."},{"family":"Prairie","given":"Y. T."},{"family":"Laube","given":"K. A."}],"issued":{"date-parts":[["2008"]]}}},{"id":288,"uris":["http://zotero.org/users/4672239/items/5UZ57XUN"],"uri":["http://zotero.org/users/4672239/items/5UZ57XUN"],"itemData":{"id":288,"type":"article-journal","abstract":"Sediment organic carbon (C) burial and CO2 fluxes in inland waters are quantitatively important in regional and global carbon budgets. Estimates of C fluxes from inland waters are typically based on limited temporal resolution despite potential large variations with season and weather events. Further, most freshwater C budget studies have focused on natural soft-water lakes, while reservoirs and hard-water systems are globally numerous. Our study quantifies C fluxes in two hard-water, human constructed reservoirs (Ohio, USA) of contrasting watershed land use (agriculture vs. forest) using high-resolution mass balance budgets. We show that during a dry summer, C retention and export via the dam were reduced compared to a wet summer. Both reservoirs were net CO2 sources during a wet summer, but CO2 sinks during a dry summer. Despite weather-related summer differences, annual C fluxes within each reservoir were similar between years. Both reservoirs appear to be net autotrophic despite often being CO2 sources based on budgets. This is likely because CO2 fluxes in our hard-water reservoirs were more strongly associated with DIC than DOC. Using our C fluxes and statewide watershed land use, we determined the regional importance of Ohio reservoirs in OC burial and CO2 emissions. We estimate that Ohio reservoirs bury up to 4 times more OC, but emit &lt;25% of CO2, than predicted based on their area and recent global mean estimates in lentic ecosystems. Our results provide evidence that moderately old ( 50 years), temperate hard-water reservoirs are important OC sinks but contribute little to CO2 emissions.","container-title":"Global Biogeochemical Cycles","DOI":"10.1002/gbc.20020","ISSN":"1944-9224","issue":"1","language":"en","page":"52-64","source":"Wiley Online Library","title":"Temperate reservoirs are large carbon sinks and small CO2 sources: Results from high-resolution carbon budgets","title-short":"Temperate reservoirs are large carbon sinks and small CO2 sources","volume":"27","author":[{"family":"Knoll","given":"Lesley B."},{"family":"Vanni","given":"Michael J."},{"family":"Renwick","given":"William H."},{"family":"Dittman","given":"Elizabeth K."},{"family":"Gephart","given":"Jessica A."}],"issued":{"date-parts":[["2013"]]}}},{"id":785,"uris":["http://zotero.org/users/4672239/items/8QBER6RB"],"uri":["http://zotero.org/users/4672239/items/8QBER6RB"],"itemData":{"id":785,"type":"article-journal","abstract":"Lakes play a large role in global atmospheric and landscape carbon (C) processes, but their role may change as they become polluted with nutrients. Geographic regions rich in surface waters are also prone to agricultural and urban development and so may become increasingly eutrophic as the population rises. Here we develop C budgets of highly eutrophic lakes. These analyses show that lakes undergoing eutrophication can become atmospheric carbon dioxide (CO2) sinks because of the CO2 disequilibrium caused by extreme primary production. C budgets of such lakes show they absorb both landscape and atmospheric C, converting it into lake sediments and passing additional dissolved organic C (DOC) downstream. Eutrophication may cause a reversal in the role played by oligotrophic lakes by promoting atmospheric C sequestration as sediment and DOC. This means that as eutrophication increases from agriculture and urbanization, the expected large CO2 evasion to the atmosphere by natural lakes will decline substantially and inland C sequestration and enrichment of DOC in waters flowing to the sea will be augmented. Thus, we suggest that the global C role of eutrophication is worthy of future consideration because it represents an interface between 2 large, converging environmental problems, whose interaction may reverse the role of lakes in the global C cycle.","container-title":"Inland Waters","DOI":"10.5268/IW-4.1.614","ISSN":"2044-2041","issue":"1","page":"41-48","source":"Taylor and Francis+NEJM","title":"Eutrophication reverses whole-lake carbon budgets","volume":"4","author":[{"family":"Pacheco","given":"Felipe S."},{"family":"Roland","given":"Fabio"},{"family":"Downing","given":"John A."}],"issued":{"date-parts":[["2014",1,1]]}}}],"schema":"https://github.com/citation-style-language/schema/raw/master/csl-citation.json"} </w:instrText>
      </w:r>
      <w:r w:rsidR="00FB62C6" w:rsidRPr="003C7BC7">
        <w:fldChar w:fldCharType="separate"/>
      </w:r>
      <w:r w:rsidR="002A4C76" w:rsidRPr="003C7BC7">
        <w:t>(6–9)</w:t>
      </w:r>
      <w:r w:rsidR="00FB62C6" w:rsidRPr="003C7BC7">
        <w:fldChar w:fldCharType="end"/>
      </w:r>
      <w:r w:rsidR="002A4C76" w:rsidRPr="003C7BC7">
        <w:t>.</w:t>
      </w:r>
      <w:r w:rsidRPr="003C7BC7">
        <w:t xml:space="preserve"> Moreover, hypolimnetic oxygen concentrations are decreasing in lakes and reservoirs around the world</w:t>
      </w:r>
      <w:r w:rsidR="002A4C76" w:rsidRPr="003C7BC7">
        <w:t xml:space="preserve"> </w:t>
      </w:r>
      <w:r w:rsidR="00FB62C6" w:rsidRPr="003C7BC7">
        <w:fldChar w:fldCharType="begin"/>
      </w:r>
      <w:r w:rsidR="002A4C76" w:rsidRPr="003C7BC7">
        <w:instrText xml:space="preserve"> ADDIN ZOTERO_ITEM CSL_CITATION {"citationID":"uuORPb7w","properties":{"formattedCitation":"(10,11)","plainCitation":"(10,11)","noteIndex":0},"citationItems":[{"id":2134,"uris":["http://zotero.org/users/4672239/items/QQN8ZFUV"],"uri":["http://zotero.org/users/4672239/items/QQN8ZFUV"],"itemData":{"id":2134,"type":"article-journal","abstract":"The concentration of dissolved oxygen in aquatic systems helps to regulate biodiversity1,2, nutrient biogeochemistry3, greenhouse gas emissions4, and the quality of drinking water5. The long-term declines in dissolved oxygen concentrations in coastal and ocean waters have been linked to climate warming and human activity6,7, but little is known about the changes in dissolved oxygen concentrations in lakes. Although the solubility of dissolved oxygen decreases with increasing water temperatures, long-term lake trajectories are difficult to predict. Oxygen losses in warming lakes may be amplified by enhanced decomposition and stronger thermal stratification8,9 or oxygen may increase as a result of enhanced primary production10. Here we analyse a combined total of 45,148 dissolved oxygen and temperature profiles and calculate trends for 393 temperate lakes that span 1941 to 2017. We find that a decline in dissolved oxygen is widespread in surface and deep-water habitats. The decline in surface waters is primarily associated with reduced solubility under warmer water temperatures, although dissolved oxygen in surface waters increased in a subset of highly productive warming lakes, probably owing to increasing production of phytoplankton. By contrast, the decline in deep waters is associated with stronger thermal stratification and loss of water clarity, but not with changes in gas solubility. Our results suggest that climate change and declining water clarity have altered the physical and chemical environment of lakes. Declines in dissolved oxygen in freshwater are 2.75 to 9.3 times greater than observed in the world’s oceans6,7 and could threaten essential lake ecosystem services2,3,5,11.","container-title":"Nature","DOI":"10.1038/s41586-021-03550-y","journalAbbreviation":"Nature","source":"ResearchGate","title":"Widespread deoxygenation of temperate lakes","volume":"594","author":[{"family":"Jane","given":"Stephen"},{"family":"Hansen","given":"Gretchen"},{"family":"Kraemer","given":"Benjamin"},{"family":"Leavitt","given":"Peter"},{"family":"Mincer","given":"Joshua"},{"family":"North","given":"Rebecca"},{"family":"Pilla","given":"Rachel"},{"family":"Stetler","given":"Jonathan"},{"family":"Williamson","given":"Craig"},{"family":"Woolway","given":"R."},{"family":"Arvola","given":"Lauri"},{"family":"Chandra","given":"Sudeep"},{"family":"DeGasperi","given":"Curtis"},{"family":"Diemer","given":"Laura"},{"family":"Dunalska","given":"Julita"},{"family":"Erina","given":"Oxana"},{"family":"Flaim","given":"Giovanna"},{"family":"Grossart","given":"Hans-Peter"},{"family":"Hambright","given":"K"},{"family":"Rose","given":"Kevin"}],"issued":{"date-parts":[["2021",6,3]]}}},{"id":772,"uris":["http://zotero.org/users/4672239/items/G27IPVA7"],"uri":["http://zotero.org/users/4672239/items/G27IPVA7"],"itemData":{"id":772,"type":"article-journal","abstract":"The spread of hypoxia is a threat to aquatic ecosystem functions and services as well as to biodiversity. However, sparse long-term monitoring of lake ecosystems has prevented reconstruction of global hypoxia dynamics while inhibiting investigations into its causes and assessing the resilience capacity of these systems. This study compiles the onset and duration of hypoxia recorded in sediments of 365 lakes worldwide since AD 1700, showing that lacustrine hypoxia started spreading before AD 1900, 70 years prior to hypoxia in coastal zones. This study also shows that the increase of human activities and nutrient release is leading to hypoxia onset. No correlations were found with changes in precipitation or temperature. There is no evidence for a post-1980s return to well-oxygenated lacustrine conditions in industrialized countries despite the implementation of restoration programs. The apparent establishment of stable hypoxic conditions prior to AD 1900 highlights the challenges of a growing nutrient demand, accompanied by increasing global nutrient emissions of our industrialized societies, and climate change.","container-title":"Global Change Biology","DOI":"10.1111/gcb.13193","ISSN":"1365-2486","issue":"4","language":"en","page":"1481-1489","source":"Wiley Online Library","title":"Global spread of hypoxia in freshwater ecosystems during the last three centuries is caused by rising local human pressure","volume":"22","author":[{"family":"Jenny","given":"Jean-Philippe"},{"family":"Francus","given":"Pierre"},{"family":"Normandeau","given":"Alexandre"},{"family":"Lapointe","given":"François"},{"family":"Perga","given":"Marie-Elodie"},{"family":"Ojala","given":"Antti"},{"family":"Schimmelmann","given":"Arndt"},{"family":"Zolitschka","given":"Bernd"}],"issued":{"date-parts":[["2016"]]}}}],"schema":"https://github.com/citation-style-language/schema/raw/master/csl-citation.json"} </w:instrText>
      </w:r>
      <w:r w:rsidR="00FB62C6" w:rsidRPr="003C7BC7">
        <w:fldChar w:fldCharType="separate"/>
      </w:r>
      <w:r w:rsidR="002A4C76" w:rsidRPr="003C7BC7">
        <w:t>(10,11)</w:t>
      </w:r>
      <w:r w:rsidR="00FB62C6" w:rsidRPr="003C7BC7">
        <w:fldChar w:fldCharType="end"/>
      </w:r>
      <w:r w:rsidR="000810DC" w:rsidRPr="003C7BC7">
        <w:t>,</w:t>
      </w:r>
      <w:r w:rsidRPr="003C7BC7">
        <w:t xml:space="preserve"> and it remains unknown </w:t>
      </w:r>
      <w:r w:rsidR="00D37DDE" w:rsidRPr="003C7BC7">
        <w:t>whether water column anoxia will weaken the strength of iron-bound organic carbon complexes (Fe-OC) in sediment</w:t>
      </w:r>
      <w:r w:rsidRPr="003C7BC7">
        <w:t xml:space="preserve"> </w:t>
      </w:r>
      <w:r w:rsidR="00FB62C6" w:rsidRPr="003C7BC7">
        <w:fldChar w:fldCharType="begin"/>
      </w:r>
      <w:r w:rsidR="00CF657E">
        <w:instrText xml:space="preserve"> ADDIN ZOTERO_ITEM CSL_CITATION {"citationID":"cUhkEjuX","properties":{"formattedCitation":"(4,5)","plainCitation":"(4,5)","dontUpdate":true,"noteIndex":0},"citationItems":[{"id":789,"uris":["http://zotero.org/users/4672239/items/VUWZ8LGM"],"uri":["http://zotero.org/users/4672239/items/VUWZ8LGM"],"itemData":{"id":789,"type":"article-journal","container-title":"Biogeochemistry","DOI":"10.1007/s10533-018-0456-8","ISSN":"0168-2563, 1573-515X","issue":"1","journalAbbreviation":"Biogeochemistry","language":"en","page":"19-29","source":"DOI.org (Crossref)","title":"High variability in iron-bound organic carbon among five boreal lake sediments","volume":"139","author":[{"family":"Peter","given":"Simone"},{"family":"Sobek","given":"Sebastian"}],"issued":{"date-parts":[["2018",6]]}}},{"id":264,"uris":["http://zotero.org/users/4672239/items/A56BT5HY"],"uri":["http://zotero.org/users/4672239/items/A56BT5HY"],"itemData":{"id":264,"type":"article-journal","abstract":"Lakes are highly relevant players in the global carbon cycle as they can store large amounts of organic carbon (OC) in sediments, thereby removing OC from the actively cycling pool. However, sediment OC can be released to pore water under anoxic conditions and diffuse into the water column. In carbon budgets of lake ecosystems, this potential OC loss pathway from sediments is generally disregarded. Combining field observations and incubation experiments, we quantitatively investigated dissolved OC (DOC) diffusion from sediments into anoxic water of a boreal lake. We observed substantial increases of bottom water DOC (26% in situ, 16% incubation), translating into a DOC flux from the sediment that was comparable to anoxic sediment respiration (3.3 versus 5.1 mmol m−2 d−1). Optical characterization indicated that colored and aromatic DOC was preferentially released. Reactivity assays showed that DOC released from anoxic sediment enhanced water column respiration and flocculation in reoxygenated water. Upon water oxygenation, flocculation was the most important loss pathway removing 77% of released DOC, but the remaining 23% was mineralized, constituting a pathway of permanent loss of sediment OC. DOC diffusion from lake sediment during anoxia and subsequent mineralization in oxic water during mixing increases overall OC loss from anoxic sediments by 15%. This study enlarges our understanding of lake ecosystems by showing that under anoxic conditions significant amounts of DOC can be released from OC stored in sediments and enter the active aquatic carbon cycle again.","container-title":"Journal of Geophysical Research: Biogeosciences","DOI":"10.1002/2016JG003425","ISSN":"2169-8961","issue":"7","language":"en","page":"1959-1977","source":"Wiley Online Library","title":"Enhanced carbon loss from anoxic lake sediment through diffusion of dissolved organic carbon","volume":"121","author":[{"family":"Peter","given":"Simone"},{"family":"Isidorova","given":"Anastasija"},{"family":"Sobek","given":"Sebastian"}],"issued":{"date-parts":[["2016"]]}}}],"schema":"https://github.com/citation-style-language/schema/raw/master/csl-citation.json"} </w:instrText>
      </w:r>
      <w:r w:rsidR="00FB62C6" w:rsidRPr="003C7BC7">
        <w:fldChar w:fldCharType="separate"/>
      </w:r>
      <w:r w:rsidR="00ED124A">
        <w:t>(Figure 1; 4,5)</w:t>
      </w:r>
      <w:r w:rsidR="00FB62C6" w:rsidRPr="003C7BC7">
        <w:fldChar w:fldCharType="end"/>
      </w:r>
      <w:r w:rsidR="002A4C76" w:rsidRPr="003C7BC7">
        <w:t>.</w:t>
      </w:r>
      <w:r w:rsidRPr="003C7BC7">
        <w:t xml:space="preserve"> Better </w:t>
      </w:r>
      <w:r w:rsidR="00D37DDE" w:rsidRPr="003C7BC7">
        <w:t>quantifying</w:t>
      </w:r>
      <w:r w:rsidRPr="003C7BC7">
        <w:t xml:space="preserve"> Fe-OC dynamics under varying oxygen conditions </w:t>
      </w:r>
      <w:r w:rsidR="002A4C76" w:rsidRPr="003C7BC7">
        <w:t>is essential to be able to predict the role of lakes in the global carbon cycle under interacting systems of global change.</w:t>
      </w:r>
    </w:p>
    <w:p w14:paraId="4D19CE09" w14:textId="77777777" w:rsidR="008654EE" w:rsidRPr="003C7BC7" w:rsidRDefault="008654EE" w:rsidP="003C7BC7">
      <w:pPr>
        <w:spacing w:after="160" w:line="276" w:lineRule="auto"/>
        <w:jc w:val="both"/>
      </w:pPr>
      <w:r w:rsidRPr="003C7BC7">
        <w:rPr>
          <w:noProof/>
        </w:rPr>
        <w:drawing>
          <wp:inline distT="0" distB="0" distL="0" distR="0" wp14:anchorId="45A0DBAA" wp14:editId="6A826EE3">
            <wp:extent cx="5943600" cy="1487805"/>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8"/>
                    <a:stretch>
                      <a:fillRect/>
                    </a:stretch>
                  </pic:blipFill>
                  <pic:spPr>
                    <a:xfrm>
                      <a:off x="0" y="0"/>
                      <a:ext cx="5943600" cy="1487805"/>
                    </a:xfrm>
                    <a:prstGeom prst="rect">
                      <a:avLst/>
                    </a:prstGeom>
                  </pic:spPr>
                </pic:pic>
              </a:graphicData>
            </a:graphic>
          </wp:inline>
        </w:drawing>
      </w:r>
    </w:p>
    <w:p w14:paraId="48CBAED8" w14:textId="559C546C" w:rsidR="008654EE" w:rsidRPr="003C7BC7" w:rsidRDefault="008654EE" w:rsidP="003C7BC7">
      <w:pPr>
        <w:spacing w:after="160"/>
        <w:jc w:val="both"/>
        <w:rPr>
          <w:sz w:val="20"/>
          <w:szCs w:val="20"/>
        </w:rPr>
      </w:pPr>
      <w:r w:rsidRPr="003C7BC7">
        <w:rPr>
          <w:sz w:val="20"/>
          <w:szCs w:val="20"/>
        </w:rPr>
        <w:t xml:space="preserve">Figure </w:t>
      </w:r>
      <w:r w:rsidRPr="003C7BC7">
        <w:rPr>
          <w:sz w:val="20"/>
          <w:szCs w:val="20"/>
        </w:rPr>
        <w:fldChar w:fldCharType="begin"/>
      </w:r>
      <w:r w:rsidRPr="003C7BC7">
        <w:rPr>
          <w:sz w:val="20"/>
          <w:szCs w:val="20"/>
        </w:rPr>
        <w:instrText xml:space="preserve"> SEQ Figure \* ARABIC </w:instrText>
      </w:r>
      <w:r w:rsidRPr="003C7BC7">
        <w:rPr>
          <w:sz w:val="20"/>
          <w:szCs w:val="20"/>
        </w:rPr>
        <w:fldChar w:fldCharType="separate"/>
      </w:r>
      <w:r w:rsidRPr="003C7BC7">
        <w:rPr>
          <w:sz w:val="20"/>
          <w:szCs w:val="20"/>
        </w:rPr>
        <w:t>1</w:t>
      </w:r>
      <w:r w:rsidRPr="003C7BC7">
        <w:rPr>
          <w:sz w:val="20"/>
          <w:szCs w:val="20"/>
        </w:rPr>
        <w:fldChar w:fldCharType="end"/>
      </w:r>
      <w:r w:rsidRPr="003C7BC7">
        <w:rPr>
          <w:sz w:val="20"/>
          <w:szCs w:val="20"/>
        </w:rPr>
        <w:t xml:space="preserve">: Co-precipitation and reductive dissolution </w:t>
      </w:r>
      <w:r w:rsidR="00ED124A">
        <w:rPr>
          <w:sz w:val="20"/>
          <w:szCs w:val="20"/>
        </w:rPr>
        <w:t>Fe-OC</w:t>
      </w:r>
      <w:r w:rsidR="00A8530D" w:rsidRPr="003C7BC7">
        <w:rPr>
          <w:sz w:val="20"/>
          <w:szCs w:val="20"/>
        </w:rPr>
        <w:t xml:space="preserve"> c</w:t>
      </w:r>
      <w:r w:rsidRPr="003C7BC7">
        <w:rPr>
          <w:sz w:val="20"/>
          <w:szCs w:val="20"/>
        </w:rPr>
        <w:t xml:space="preserve">omplexes are predicted to play an important role in freshwater carbon cycling. Left: under </w:t>
      </w:r>
      <w:proofErr w:type="spellStart"/>
      <w:r w:rsidRPr="003C7BC7">
        <w:rPr>
          <w:sz w:val="20"/>
          <w:szCs w:val="20"/>
        </w:rPr>
        <w:t>oxic</w:t>
      </w:r>
      <w:proofErr w:type="spellEnd"/>
      <w:r w:rsidRPr="003C7BC7">
        <w:rPr>
          <w:sz w:val="20"/>
          <w:szCs w:val="20"/>
        </w:rPr>
        <w:t xml:space="preserve"> conditions, </w:t>
      </w:r>
      <w:r w:rsidR="00ED124A">
        <w:rPr>
          <w:sz w:val="20"/>
          <w:szCs w:val="20"/>
        </w:rPr>
        <w:t>Fe</w:t>
      </w:r>
      <w:r w:rsidR="006063F0" w:rsidRPr="003C7BC7">
        <w:rPr>
          <w:sz w:val="20"/>
          <w:szCs w:val="20"/>
        </w:rPr>
        <w:t xml:space="preserve"> </w:t>
      </w:r>
      <w:r w:rsidRPr="003C7BC7">
        <w:rPr>
          <w:sz w:val="20"/>
          <w:szCs w:val="20"/>
        </w:rPr>
        <w:t xml:space="preserve">co-precipitates with </w:t>
      </w:r>
      <w:r w:rsidR="00ED124A">
        <w:rPr>
          <w:sz w:val="20"/>
          <w:szCs w:val="20"/>
        </w:rPr>
        <w:t>OC</w:t>
      </w:r>
      <w:r w:rsidRPr="003C7BC7">
        <w:rPr>
          <w:sz w:val="20"/>
          <w:szCs w:val="20"/>
        </w:rPr>
        <w:t>, sequestering the carbon in the s</w:t>
      </w:r>
      <w:r w:rsidR="004B6EEA" w:rsidRPr="003C7BC7">
        <w:rPr>
          <w:sz w:val="20"/>
          <w:szCs w:val="20"/>
        </w:rPr>
        <w:t xml:space="preserve">ediment. Right: under anoxic conditions, </w:t>
      </w:r>
      <w:r w:rsidR="00ED124A">
        <w:rPr>
          <w:sz w:val="20"/>
          <w:szCs w:val="20"/>
        </w:rPr>
        <w:t>Fe</w:t>
      </w:r>
      <w:r w:rsidR="006063F0" w:rsidRPr="003C7BC7">
        <w:rPr>
          <w:sz w:val="20"/>
          <w:szCs w:val="20"/>
        </w:rPr>
        <w:t xml:space="preserve"> </w:t>
      </w:r>
      <w:r w:rsidR="004B6EEA" w:rsidRPr="003C7BC7">
        <w:rPr>
          <w:sz w:val="20"/>
          <w:szCs w:val="20"/>
        </w:rPr>
        <w:t>is reduced, releasing</w:t>
      </w:r>
      <w:r w:rsidR="00A8530D" w:rsidRPr="003C7BC7">
        <w:rPr>
          <w:sz w:val="20"/>
          <w:szCs w:val="20"/>
        </w:rPr>
        <w:t xml:space="preserve"> </w:t>
      </w:r>
      <w:r w:rsidR="00ED124A">
        <w:rPr>
          <w:sz w:val="20"/>
          <w:szCs w:val="20"/>
        </w:rPr>
        <w:t>OC</w:t>
      </w:r>
      <w:r w:rsidR="00A8530D" w:rsidRPr="003C7BC7">
        <w:rPr>
          <w:sz w:val="20"/>
          <w:szCs w:val="20"/>
        </w:rPr>
        <w:t xml:space="preserve"> </w:t>
      </w:r>
      <w:r w:rsidR="004B6EEA" w:rsidRPr="003C7BC7">
        <w:rPr>
          <w:sz w:val="20"/>
          <w:szCs w:val="20"/>
        </w:rPr>
        <w:t>back into the water column.</w:t>
      </w:r>
    </w:p>
    <w:p w14:paraId="0B7610C6" w14:textId="2ED6836C" w:rsidR="006063F0" w:rsidRPr="003C7BC7" w:rsidRDefault="002E6AA8" w:rsidP="003C7BC7">
      <w:pPr>
        <w:spacing w:after="160" w:line="276" w:lineRule="auto"/>
        <w:jc w:val="both"/>
        <w:rPr>
          <w:b/>
          <w:bCs/>
        </w:rPr>
      </w:pPr>
      <w:r>
        <w:rPr>
          <w:b/>
          <w:bCs/>
        </w:rPr>
        <w:t>Hypotheses</w:t>
      </w:r>
      <w:r w:rsidR="004A5006">
        <w:rPr>
          <w:b/>
          <w:bCs/>
        </w:rPr>
        <w:t xml:space="preserve"> and Methods</w:t>
      </w:r>
    </w:p>
    <w:p w14:paraId="715195C8" w14:textId="38D86FD1" w:rsidR="00E2202E" w:rsidRPr="003C7BC7" w:rsidRDefault="006063F0" w:rsidP="003C7BC7">
      <w:pPr>
        <w:spacing w:after="160" w:line="276" w:lineRule="auto"/>
        <w:jc w:val="both"/>
      </w:pPr>
      <w:r w:rsidRPr="003C7BC7">
        <w:t xml:space="preserve">In this study, I will use a combination of sediment incubations </w:t>
      </w:r>
      <w:r w:rsidR="00CF657E">
        <w:t xml:space="preserve">and whole-ecosystem experiments </w:t>
      </w:r>
      <w:r w:rsidRPr="003C7BC7">
        <w:t xml:space="preserve">to determine the significance </w:t>
      </w:r>
      <w:r w:rsidR="004775E7" w:rsidRPr="003C7BC7">
        <w:t xml:space="preserve">of </w:t>
      </w:r>
      <w:r w:rsidRPr="003C7BC7">
        <w:t xml:space="preserve">changing oxygen levels for </w:t>
      </w:r>
      <w:r w:rsidR="00CF657E">
        <w:t xml:space="preserve">Fe-OC </w:t>
      </w:r>
      <w:r w:rsidRPr="003C7BC7">
        <w:t xml:space="preserve">and long-term carbon storage in sediments. </w:t>
      </w:r>
      <w:r w:rsidR="003C7BC7" w:rsidRPr="003C7BC7">
        <w:t xml:space="preserve">I will test </w:t>
      </w:r>
      <w:r w:rsidR="002E6AA8">
        <w:t>two</w:t>
      </w:r>
      <w:r w:rsidR="003C7BC7" w:rsidRPr="003C7BC7">
        <w:t xml:space="preserve"> hypotheses:</w:t>
      </w:r>
    </w:p>
    <w:p w14:paraId="2B4B888A" w14:textId="1EA7608C" w:rsidR="00D12E77" w:rsidRDefault="003C7BC7" w:rsidP="003C7BC7">
      <w:pPr>
        <w:spacing w:line="276" w:lineRule="auto"/>
      </w:pPr>
      <w:r w:rsidRPr="003C7BC7">
        <w:rPr>
          <w:b/>
          <w:bCs/>
        </w:rPr>
        <w:t xml:space="preserve">Hypothesis </w:t>
      </w:r>
      <w:r>
        <w:rPr>
          <w:b/>
          <w:bCs/>
        </w:rPr>
        <w:t>one</w:t>
      </w:r>
      <w:r w:rsidRPr="003C7BC7">
        <w:rPr>
          <w:b/>
          <w:bCs/>
        </w:rPr>
        <w:t>:</w:t>
      </w:r>
      <w:r w:rsidRPr="003C7BC7">
        <w:t xml:space="preserve"> </w:t>
      </w:r>
      <w:r w:rsidR="002E6AA8">
        <w:t xml:space="preserve">Anoxia </w:t>
      </w:r>
      <w:r w:rsidR="001B26B5" w:rsidRPr="003C7BC7">
        <w:t>promotes reductive dissolution of Fe-OC complexes</w:t>
      </w:r>
      <w:r w:rsidR="004A5006">
        <w:t xml:space="preserve">, releasing Fe and OC into </w:t>
      </w:r>
      <w:r w:rsidR="007C36C1">
        <w:t>overlying water</w:t>
      </w:r>
      <w:r w:rsidRPr="003C7BC7">
        <w:t xml:space="preserve"> (Figure 1).</w:t>
      </w:r>
    </w:p>
    <w:p w14:paraId="37F9A3B1" w14:textId="20368F76" w:rsidR="004A5006" w:rsidRPr="00CF657E" w:rsidRDefault="004A5006" w:rsidP="00CF657E">
      <w:pPr>
        <w:pStyle w:val="ListParagraph"/>
        <w:numPr>
          <w:ilvl w:val="0"/>
          <w:numId w:val="4"/>
        </w:numPr>
        <w:spacing w:line="276" w:lineRule="auto"/>
        <w:rPr>
          <w:sz w:val="24"/>
          <w:szCs w:val="24"/>
        </w:rPr>
      </w:pPr>
      <w:r>
        <w:rPr>
          <w:sz w:val="24"/>
          <w:szCs w:val="24"/>
        </w:rPr>
        <w:t xml:space="preserve">I will test this hypothesis mechanistically using </w:t>
      </w:r>
      <w:r w:rsidR="00942419">
        <w:rPr>
          <w:sz w:val="24"/>
          <w:szCs w:val="24"/>
        </w:rPr>
        <w:t xml:space="preserve">four-week </w:t>
      </w:r>
      <w:r w:rsidR="00ED124A">
        <w:rPr>
          <w:sz w:val="24"/>
          <w:szCs w:val="24"/>
        </w:rPr>
        <w:t xml:space="preserve">microcosm </w:t>
      </w:r>
      <w:r>
        <w:rPr>
          <w:sz w:val="24"/>
          <w:szCs w:val="24"/>
        </w:rPr>
        <w:t>incubations</w:t>
      </w:r>
      <w:r w:rsidR="00F515EF">
        <w:rPr>
          <w:sz w:val="24"/>
          <w:szCs w:val="24"/>
        </w:rPr>
        <w:t xml:space="preserve"> (Figure 2)</w:t>
      </w:r>
      <w:r w:rsidR="002E6AA8">
        <w:rPr>
          <w:sz w:val="24"/>
          <w:szCs w:val="24"/>
        </w:rPr>
        <w:t xml:space="preserve">. </w:t>
      </w:r>
      <w:r w:rsidR="00942419">
        <w:rPr>
          <w:sz w:val="24"/>
          <w:szCs w:val="24"/>
        </w:rPr>
        <w:t xml:space="preserve">Half of the microcosms will start under anoxic conditions and half will start under </w:t>
      </w:r>
      <w:proofErr w:type="spellStart"/>
      <w:r w:rsidR="00942419">
        <w:rPr>
          <w:sz w:val="24"/>
          <w:szCs w:val="24"/>
        </w:rPr>
        <w:t>oxic</w:t>
      </w:r>
      <w:proofErr w:type="spellEnd"/>
      <w:r w:rsidR="00942419">
        <w:rPr>
          <w:sz w:val="24"/>
          <w:szCs w:val="24"/>
        </w:rPr>
        <w:t xml:space="preserve"> conditions. After two weeks, half of the microcosms from each treatment will be switched, generating a total of four oxygen regimes (anoxic, </w:t>
      </w:r>
      <w:proofErr w:type="spellStart"/>
      <w:r w:rsidR="00942419">
        <w:rPr>
          <w:sz w:val="24"/>
          <w:szCs w:val="24"/>
        </w:rPr>
        <w:t>oxic</w:t>
      </w:r>
      <w:proofErr w:type="spellEnd"/>
      <w:r w:rsidR="00942419">
        <w:rPr>
          <w:sz w:val="24"/>
          <w:szCs w:val="24"/>
        </w:rPr>
        <w:t xml:space="preserve">, anoxic switched to </w:t>
      </w:r>
      <w:proofErr w:type="spellStart"/>
      <w:r w:rsidR="00942419">
        <w:rPr>
          <w:sz w:val="24"/>
          <w:szCs w:val="24"/>
        </w:rPr>
        <w:t>oxic</w:t>
      </w:r>
      <w:proofErr w:type="spellEnd"/>
      <w:r w:rsidR="00942419">
        <w:rPr>
          <w:sz w:val="24"/>
          <w:szCs w:val="24"/>
        </w:rPr>
        <w:t xml:space="preserve">, </w:t>
      </w:r>
      <w:proofErr w:type="spellStart"/>
      <w:r w:rsidR="00942419">
        <w:rPr>
          <w:sz w:val="24"/>
          <w:szCs w:val="24"/>
        </w:rPr>
        <w:t>oxic</w:t>
      </w:r>
      <w:proofErr w:type="spellEnd"/>
      <w:r w:rsidR="00942419">
        <w:rPr>
          <w:sz w:val="24"/>
          <w:szCs w:val="24"/>
        </w:rPr>
        <w:t xml:space="preserve"> switched to anoxic). </w:t>
      </w:r>
      <w:r w:rsidR="00942419" w:rsidRPr="00CF657E">
        <w:t xml:space="preserve">I predict that Fe-OC will be highest in </w:t>
      </w:r>
      <w:proofErr w:type="spellStart"/>
      <w:r w:rsidR="00942419" w:rsidRPr="00CF657E">
        <w:t>oxic</w:t>
      </w:r>
      <w:proofErr w:type="spellEnd"/>
      <w:r w:rsidR="00942419" w:rsidRPr="00CF657E">
        <w:t xml:space="preserve"> sediment and dissolved Fe and OC will be highest in anoxic water. At the transition from anoxic to </w:t>
      </w:r>
      <w:proofErr w:type="spellStart"/>
      <w:r w:rsidR="00942419" w:rsidRPr="00CF657E">
        <w:t>oxic</w:t>
      </w:r>
      <w:proofErr w:type="spellEnd"/>
      <w:r w:rsidR="00942419" w:rsidRPr="00CF657E">
        <w:t xml:space="preserve"> conditions, I will use a mass-balance approach to determine what percentage of Fe and OC that is removed from the water column can be attributed to </w:t>
      </w:r>
      <w:r w:rsidR="002E6AA8" w:rsidRPr="00CF657E">
        <w:t xml:space="preserve">the formation of </w:t>
      </w:r>
      <w:r w:rsidR="00942419" w:rsidRPr="00CF657E">
        <w:t>Fe-OC</w:t>
      </w:r>
      <w:r w:rsidR="002E6AA8" w:rsidRPr="00CF657E">
        <w:t xml:space="preserve"> complexes</w:t>
      </w:r>
      <w:r w:rsidR="00942419" w:rsidRPr="00CF657E">
        <w:t>.</w:t>
      </w:r>
    </w:p>
    <w:p w14:paraId="59C88F72" w14:textId="1DD7E7ED" w:rsidR="002E6AA8" w:rsidRDefault="002E6AA8" w:rsidP="002E6AA8">
      <w:pPr>
        <w:spacing w:line="276" w:lineRule="auto"/>
      </w:pPr>
    </w:p>
    <w:p w14:paraId="7EE92C63" w14:textId="6A86F3F3" w:rsidR="002E6AA8" w:rsidRDefault="00F515EF" w:rsidP="002E6AA8">
      <w:pPr>
        <w:spacing w:line="276" w:lineRule="auto"/>
      </w:pPr>
      <w:r>
        <w:rPr>
          <w:noProof/>
        </w:rPr>
        <w:lastRenderedPageBreak/>
        <w:drawing>
          <wp:inline distT="0" distB="0" distL="0" distR="0" wp14:anchorId="527AA0E7" wp14:editId="4212E924">
            <wp:extent cx="2475186" cy="18563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8984" cy="1859238"/>
                    </a:xfrm>
                    <a:prstGeom prst="rect">
                      <a:avLst/>
                    </a:prstGeom>
                  </pic:spPr>
                </pic:pic>
              </a:graphicData>
            </a:graphic>
          </wp:inline>
        </w:drawing>
      </w:r>
    </w:p>
    <w:p w14:paraId="5649A45E" w14:textId="28D56D51" w:rsidR="00F515EF" w:rsidRDefault="00F515EF" w:rsidP="002E6AA8">
      <w:pPr>
        <w:spacing w:line="276" w:lineRule="auto"/>
        <w:rPr>
          <w:sz w:val="20"/>
          <w:szCs w:val="20"/>
        </w:rPr>
      </w:pPr>
      <w:r>
        <w:rPr>
          <w:sz w:val="20"/>
          <w:szCs w:val="20"/>
        </w:rPr>
        <w:t>Figure 2: Proposed mesocosm design, including hypolimnetic water and a layer of homogenized sediment from FCR. Pilot studies confirmed that oxygen concentrations</w:t>
      </w:r>
      <w:r w:rsidR="00CF657E">
        <w:rPr>
          <w:sz w:val="20"/>
          <w:szCs w:val="20"/>
        </w:rPr>
        <w:t xml:space="preserve"> remained</w:t>
      </w:r>
      <w:r>
        <w:rPr>
          <w:sz w:val="20"/>
          <w:szCs w:val="20"/>
        </w:rPr>
        <w:t xml:space="preserve"> &gt;7 mg/L when unsealed (left)</w:t>
      </w:r>
      <w:r w:rsidR="00CF657E">
        <w:rPr>
          <w:sz w:val="20"/>
          <w:szCs w:val="20"/>
        </w:rPr>
        <w:t xml:space="preserve"> and &lt;0.1 mg/L when sealed (right).</w:t>
      </w:r>
    </w:p>
    <w:p w14:paraId="74D84670" w14:textId="77777777" w:rsidR="00F515EF" w:rsidRPr="00F515EF" w:rsidRDefault="00F515EF" w:rsidP="002E6AA8">
      <w:pPr>
        <w:spacing w:line="276" w:lineRule="auto"/>
        <w:rPr>
          <w:sz w:val="20"/>
          <w:szCs w:val="20"/>
        </w:rPr>
      </w:pPr>
    </w:p>
    <w:p w14:paraId="718C8C92" w14:textId="6340ABC4" w:rsidR="004A5006" w:rsidRPr="00CF657E" w:rsidRDefault="004A5006" w:rsidP="003C7BC7">
      <w:pPr>
        <w:spacing w:line="276" w:lineRule="auto"/>
      </w:pPr>
      <w:r w:rsidRPr="00CF657E">
        <w:rPr>
          <w:b/>
          <w:bCs/>
        </w:rPr>
        <w:t xml:space="preserve">Hypothesis two: </w:t>
      </w:r>
      <w:r w:rsidRPr="00CF657E">
        <w:t>Redox-sensitive Fe-OC dynamics alter biogeochemical cycling at the whole-ecosystem scale</w:t>
      </w:r>
      <w:r w:rsidR="00942419" w:rsidRPr="00CF657E">
        <w:t>.</w:t>
      </w:r>
    </w:p>
    <w:p w14:paraId="77F34852" w14:textId="6DE91FC2" w:rsidR="00942419" w:rsidRPr="00CF657E" w:rsidRDefault="00942419" w:rsidP="00ED124A">
      <w:pPr>
        <w:pStyle w:val="ListParagraph"/>
        <w:numPr>
          <w:ilvl w:val="0"/>
          <w:numId w:val="4"/>
        </w:numPr>
        <w:spacing w:line="276" w:lineRule="auto"/>
        <w:rPr>
          <w:sz w:val="24"/>
          <w:szCs w:val="24"/>
        </w:rPr>
      </w:pPr>
      <w:r w:rsidRPr="00CF657E">
        <w:rPr>
          <w:sz w:val="24"/>
          <w:szCs w:val="24"/>
        </w:rPr>
        <w:t xml:space="preserve">Impacts of anoxia on </w:t>
      </w:r>
      <w:r w:rsidR="00CF657E">
        <w:rPr>
          <w:sz w:val="24"/>
          <w:szCs w:val="24"/>
        </w:rPr>
        <w:t>Fe-OC in</w:t>
      </w:r>
      <w:r w:rsidRPr="00CF657E">
        <w:rPr>
          <w:sz w:val="24"/>
          <w:szCs w:val="24"/>
        </w:rPr>
        <w:t xml:space="preserve"> freshwater sediment </w:t>
      </w:r>
      <w:r w:rsidR="00CF657E">
        <w:rPr>
          <w:sz w:val="24"/>
          <w:szCs w:val="24"/>
        </w:rPr>
        <w:t>could</w:t>
      </w:r>
      <w:r w:rsidRPr="00CF657E">
        <w:rPr>
          <w:sz w:val="24"/>
          <w:szCs w:val="24"/>
        </w:rPr>
        <w:t xml:space="preserve"> be globally relevant due to the magnitude of carbon buried in lakes and reservoirs. </w:t>
      </w:r>
      <w:r w:rsidR="007C36C1" w:rsidRPr="00CF657E">
        <w:rPr>
          <w:sz w:val="24"/>
          <w:szCs w:val="24"/>
        </w:rPr>
        <w:t>However, small-scale incubations cannot account for all processes that interact to determine biogeochemical cycling at a whole-ecosystem scale. To test the relevance of Fe-OC at the scale of a whole reservoir</w:t>
      </w:r>
      <w:r w:rsidR="002E6AA8" w:rsidRPr="00CF657E">
        <w:rPr>
          <w:sz w:val="24"/>
          <w:szCs w:val="24"/>
        </w:rPr>
        <w:t xml:space="preserve">, I will compare Fe-OC concentrations in sediment from Falling Creek Reservoir (Roanoke, VA), which has been </w:t>
      </w:r>
      <w:r w:rsidR="00CF657E">
        <w:rPr>
          <w:sz w:val="24"/>
          <w:szCs w:val="24"/>
        </w:rPr>
        <w:t>artificially</w:t>
      </w:r>
      <w:r w:rsidR="00CF657E" w:rsidRPr="00CF657E">
        <w:rPr>
          <w:sz w:val="24"/>
          <w:szCs w:val="24"/>
        </w:rPr>
        <w:t xml:space="preserve"> </w:t>
      </w:r>
      <w:r w:rsidR="002E6AA8" w:rsidRPr="00CF657E">
        <w:rPr>
          <w:sz w:val="24"/>
          <w:szCs w:val="24"/>
        </w:rPr>
        <w:t>oxygenated since 2013</w:t>
      </w:r>
      <w:r w:rsidR="00CF657E" w:rsidRPr="00CF657E">
        <w:rPr>
          <w:sz w:val="24"/>
          <w:szCs w:val="24"/>
        </w:rPr>
        <w:t xml:space="preserve"> </w:t>
      </w:r>
      <w:r w:rsidR="00CF657E" w:rsidRPr="00CF657E">
        <w:rPr>
          <w:sz w:val="24"/>
          <w:szCs w:val="24"/>
        </w:rPr>
        <w:fldChar w:fldCharType="begin"/>
      </w:r>
      <w:r w:rsidR="00CF657E" w:rsidRPr="00CF657E">
        <w:rPr>
          <w:sz w:val="24"/>
          <w:szCs w:val="24"/>
        </w:rPr>
        <w:instrText xml:space="preserve"> ADDIN ZOTERO_ITEM CSL_CITATION {"citationID":"hfAMrAkJ","properties":{"formattedCitation":"(12)","plainCitation":"(12)","noteIndex":0},"citationItems":[{"id":413,"uris":["http://zotero.org/users/4672239/items/KNZCATCR"],"uri":["http://zotero.org/users/4672239/items/KNZCATCR"],"itemData":{"id":413,"type":"article-journal","abstract":"Controlling hypolimnetic hypoxia is a key goal of water quality management. Hypoxic conditions can trigger the release of reduced metals and nutrients from lake sediments, resulting in taste and odor problems as well as nuisance algal blooms. In deep lakes and reservoirs, hypolimnetic oxygenation has emerged as a viable solution for combating hypoxia. In shallow lakes, however, it is difficult to add oxygen into the hypolimnion efficiently, and a poorly designed hypolimnetic oxygenation system could potentially result in higher turbidity, weakened thermal stratification, and warming of the sediments. As a result, little is known about the viability of hypolimnetic oxygenation in shallow bodies of water. Here, we present the results from recent successful tests of side stream supersaturation (SSS), a type of hypolimnetic oxygenation system, in a shallow reservoir and compare it to previous side stream deployments. We investigated the sensitivity of Falling Creek Reservoir, a shallow (Zmax = 9.3 m) drinking water reservoir located in Vinton, Virginia, USA, to SSS operation. We found that the SSS system increased hypolimnetic dissolved oxygen concentrations at a rate of </w:instrText>
      </w:r>
      <w:r w:rsidR="00CF657E" w:rsidRPr="00CF657E">
        <w:rPr>
          <w:rFonts w:ascii="Cambria Math" w:hAnsi="Cambria Math" w:cs="Cambria Math"/>
          <w:sz w:val="24"/>
          <w:szCs w:val="24"/>
        </w:rPr>
        <w:instrText>∼</w:instrText>
      </w:r>
      <w:r w:rsidR="00CF657E" w:rsidRPr="00CF657E">
        <w:rPr>
          <w:sz w:val="24"/>
          <w:szCs w:val="24"/>
        </w:rPr>
        <w:instrText xml:space="preserve">1 mg/L/week without weakening stratification or warming the sediments. Moreover, the SSS system suppressed the release of reduced iron and manganese, and likely phosphorus, from the sediments. In summary, SSS systems hold great promise for controlling hypolimnetic oxygen conditions in shallow lakes and reservoirs.","container-title":"Water Research","DOI":"10.1016/j.watres.2014.09.002","ISSN":"0043-1354","journalAbbreviation":"Water Research","language":"en","page":"129-143","source":"ScienceDirect","title":"First report of the successful operation of a side stream supersaturation hypolimnetic oxygenation system in a eutrophic, shallow reservoir","volume":"67","author":[{"family":"Gerling","given":"Alexandra B."},{"family":"Browne","given":"Richard G."},{"family":"Gantzer","given":"Paul A."},{"family":"Mobley","given":"Mark H."},{"family":"Little","given":"John C."},{"family":"Carey","given":"Cayelan C."}],"issued":{"date-parts":[["2014",12,15]]}}}],"schema":"https://github.com/citation-style-language/schema/raw/master/csl-citation.json"} </w:instrText>
      </w:r>
      <w:r w:rsidR="00CF657E" w:rsidRPr="00CF657E">
        <w:rPr>
          <w:sz w:val="24"/>
          <w:szCs w:val="24"/>
        </w:rPr>
        <w:fldChar w:fldCharType="separate"/>
      </w:r>
      <w:r w:rsidR="00CF657E" w:rsidRPr="00CF657E">
        <w:rPr>
          <w:noProof/>
          <w:sz w:val="24"/>
          <w:szCs w:val="24"/>
        </w:rPr>
        <w:t>(12)</w:t>
      </w:r>
      <w:r w:rsidR="00CF657E" w:rsidRPr="00CF657E">
        <w:rPr>
          <w:sz w:val="24"/>
          <w:szCs w:val="24"/>
        </w:rPr>
        <w:fldChar w:fldCharType="end"/>
      </w:r>
      <w:r w:rsidR="002E6AA8" w:rsidRPr="00CF657E">
        <w:rPr>
          <w:sz w:val="24"/>
          <w:szCs w:val="24"/>
        </w:rPr>
        <w:t xml:space="preserve">, to sediment from an upstream reference reservoir that exhibits seasonal anoxia (Beaverdam Reservoir; BVR). Through a collaboration with the Western Virginia Water Authority, I also have the unprecedented opportunity to conduct whole-ecosystem manipulations using </w:t>
      </w:r>
      <w:r w:rsidR="00CF657E">
        <w:rPr>
          <w:sz w:val="24"/>
          <w:szCs w:val="24"/>
        </w:rPr>
        <w:t>the</w:t>
      </w:r>
      <w:r w:rsidR="002E6AA8" w:rsidRPr="00CF657E">
        <w:rPr>
          <w:sz w:val="24"/>
          <w:szCs w:val="24"/>
        </w:rPr>
        <w:t xml:space="preserve"> oxygenation system</w:t>
      </w:r>
      <w:r w:rsidR="00CF657E">
        <w:rPr>
          <w:sz w:val="24"/>
          <w:szCs w:val="24"/>
        </w:rPr>
        <w:t xml:space="preserve"> in FCR</w:t>
      </w:r>
      <w:r w:rsidR="002E6AA8" w:rsidRPr="00CF657E">
        <w:rPr>
          <w:sz w:val="24"/>
          <w:szCs w:val="24"/>
        </w:rPr>
        <w:t xml:space="preserve">; </w:t>
      </w:r>
      <w:r w:rsidR="007C36C1" w:rsidRPr="00CF657E">
        <w:rPr>
          <w:sz w:val="24"/>
          <w:szCs w:val="24"/>
        </w:rPr>
        <w:t>I will turn off oxygenation for intermittent</w:t>
      </w:r>
      <w:r w:rsidR="00CF657E" w:rsidRPr="00CF657E">
        <w:rPr>
          <w:sz w:val="24"/>
          <w:szCs w:val="24"/>
        </w:rPr>
        <w:t xml:space="preserve"> two-week</w:t>
      </w:r>
      <w:r w:rsidR="007C36C1" w:rsidRPr="00CF657E">
        <w:rPr>
          <w:sz w:val="24"/>
          <w:szCs w:val="24"/>
        </w:rPr>
        <w:t xml:space="preserve"> periods to determine how short-term changes in oxygen concentrations may impact Fe-OC</w:t>
      </w:r>
      <w:r w:rsidR="002E6AA8" w:rsidRPr="00CF657E">
        <w:rPr>
          <w:sz w:val="24"/>
          <w:szCs w:val="24"/>
        </w:rPr>
        <w:t>.</w:t>
      </w:r>
    </w:p>
    <w:p w14:paraId="456898F5" w14:textId="4FEC182B" w:rsidR="00AB1783" w:rsidRPr="00CF657E" w:rsidRDefault="003C7BC7" w:rsidP="00CF657E">
      <w:pPr>
        <w:pStyle w:val="ListParagraph"/>
        <w:numPr>
          <w:ilvl w:val="0"/>
          <w:numId w:val="4"/>
        </w:numPr>
        <w:spacing w:line="276" w:lineRule="auto"/>
        <w:rPr>
          <w:sz w:val="24"/>
          <w:szCs w:val="24"/>
        </w:rPr>
      </w:pPr>
      <w:r w:rsidRPr="00CF657E">
        <w:rPr>
          <w:sz w:val="24"/>
          <w:szCs w:val="24"/>
        </w:rPr>
        <w:t xml:space="preserve">I predict that </w:t>
      </w:r>
      <w:r w:rsidR="001B26B5" w:rsidRPr="00CF657E">
        <w:rPr>
          <w:sz w:val="24"/>
          <w:szCs w:val="24"/>
        </w:rPr>
        <w:t xml:space="preserve">concentrations of Fe-OC </w:t>
      </w:r>
      <w:r w:rsidRPr="00CF657E">
        <w:rPr>
          <w:sz w:val="24"/>
          <w:szCs w:val="24"/>
        </w:rPr>
        <w:t>will be higher in</w:t>
      </w:r>
      <w:r w:rsidR="001B26B5" w:rsidRPr="00CF657E">
        <w:rPr>
          <w:sz w:val="24"/>
          <w:szCs w:val="24"/>
        </w:rPr>
        <w:t xml:space="preserve"> FCR</w:t>
      </w:r>
      <w:r w:rsidRPr="00CF657E">
        <w:rPr>
          <w:sz w:val="24"/>
          <w:szCs w:val="24"/>
        </w:rPr>
        <w:t xml:space="preserve"> than in BVR and </w:t>
      </w:r>
      <w:r w:rsidR="001B26B5" w:rsidRPr="00CF657E">
        <w:rPr>
          <w:sz w:val="24"/>
          <w:szCs w:val="24"/>
        </w:rPr>
        <w:t>higher during oxygenated than unoxygenated periods</w:t>
      </w:r>
      <w:r w:rsidRPr="00CF657E">
        <w:rPr>
          <w:sz w:val="24"/>
          <w:szCs w:val="24"/>
        </w:rPr>
        <w:t xml:space="preserve"> in FCR.</w:t>
      </w:r>
      <w:r w:rsidR="00CF657E" w:rsidRPr="00CF657E">
        <w:rPr>
          <w:sz w:val="24"/>
          <w:szCs w:val="24"/>
        </w:rPr>
        <w:t xml:space="preserve"> Likewise,</w:t>
      </w:r>
      <w:r w:rsidRPr="00CF657E">
        <w:rPr>
          <w:sz w:val="24"/>
          <w:szCs w:val="24"/>
        </w:rPr>
        <w:t xml:space="preserve"> </w:t>
      </w:r>
      <w:r w:rsidR="001B26B5" w:rsidRPr="00CF657E">
        <w:rPr>
          <w:sz w:val="24"/>
          <w:szCs w:val="24"/>
        </w:rPr>
        <w:t xml:space="preserve">Fe and DOC in the water column will be higher </w:t>
      </w:r>
      <w:r w:rsidRPr="00CF657E">
        <w:rPr>
          <w:sz w:val="24"/>
          <w:szCs w:val="24"/>
        </w:rPr>
        <w:t xml:space="preserve">in BVR than FCR and higher </w:t>
      </w:r>
      <w:r w:rsidR="001B26B5" w:rsidRPr="00CF657E">
        <w:rPr>
          <w:sz w:val="24"/>
          <w:szCs w:val="24"/>
        </w:rPr>
        <w:t>during unoxygenated periods</w:t>
      </w:r>
      <w:r w:rsidRPr="00CF657E">
        <w:rPr>
          <w:sz w:val="24"/>
          <w:szCs w:val="24"/>
        </w:rPr>
        <w:t xml:space="preserve"> than oxygenated periods in FCR.</w:t>
      </w:r>
      <w:r w:rsidRPr="00CF657E">
        <w:t xml:space="preserve"> </w:t>
      </w:r>
      <w:r w:rsidR="005518B2" w:rsidRPr="003C7BC7">
        <w:br w:type="page"/>
      </w:r>
    </w:p>
    <w:p w14:paraId="58C0D3A2" w14:textId="77777777" w:rsidR="00AB1783" w:rsidRPr="003C7BC7" w:rsidRDefault="005518B2" w:rsidP="003C7BC7">
      <w:pPr>
        <w:pStyle w:val="Heading1"/>
        <w:spacing w:line="276" w:lineRule="auto"/>
        <w:rPr>
          <w:rFonts w:cs="Times New Roman"/>
          <w:sz w:val="24"/>
          <w:szCs w:val="24"/>
        </w:rPr>
      </w:pPr>
      <w:r w:rsidRPr="003C7BC7">
        <w:rPr>
          <w:rFonts w:cs="Times New Roman"/>
          <w:sz w:val="24"/>
          <w:szCs w:val="24"/>
        </w:rPr>
        <w:lastRenderedPageBreak/>
        <w:t>References</w:t>
      </w:r>
    </w:p>
    <w:p w14:paraId="12559787" w14:textId="77777777" w:rsidR="00CF657E" w:rsidRPr="00CF657E" w:rsidRDefault="00294A0C" w:rsidP="00CF657E">
      <w:pPr>
        <w:pStyle w:val="Bibliography"/>
        <w:rPr>
          <w:sz w:val="24"/>
        </w:rPr>
      </w:pPr>
      <w:r w:rsidRPr="003C7BC7">
        <w:rPr>
          <w:sz w:val="24"/>
          <w:szCs w:val="24"/>
        </w:rPr>
        <w:fldChar w:fldCharType="begin"/>
      </w:r>
      <w:r w:rsidR="00981F86" w:rsidRPr="003C7BC7">
        <w:rPr>
          <w:sz w:val="24"/>
          <w:szCs w:val="24"/>
        </w:rPr>
        <w:instrText xml:space="preserve"> ADDIN ZOTERO_BIBL {"uncited":[],"omitted":[],"custom":[]} CSL_BIBLIOGRAPHY </w:instrText>
      </w:r>
      <w:r w:rsidRPr="003C7BC7">
        <w:rPr>
          <w:sz w:val="24"/>
          <w:szCs w:val="24"/>
        </w:rPr>
        <w:fldChar w:fldCharType="separate"/>
      </w:r>
      <w:r w:rsidR="00CF657E" w:rsidRPr="00CF657E">
        <w:rPr>
          <w:sz w:val="24"/>
        </w:rPr>
        <w:t xml:space="preserve">1. </w:t>
      </w:r>
      <w:r w:rsidR="00CF657E" w:rsidRPr="00CF657E">
        <w:rPr>
          <w:sz w:val="24"/>
        </w:rPr>
        <w:tab/>
        <w:t xml:space="preserve">Lalonde K, Mucci A, Ouellet A, Gélinas Y. Preservation of organic matter in sediments promoted by iron. Nature. 2012 Mar;483(7388):198–200. </w:t>
      </w:r>
    </w:p>
    <w:p w14:paraId="78A2C193" w14:textId="77777777" w:rsidR="00CF657E" w:rsidRPr="00CF657E" w:rsidRDefault="00CF657E" w:rsidP="00CF657E">
      <w:pPr>
        <w:pStyle w:val="Bibliography"/>
        <w:rPr>
          <w:sz w:val="24"/>
        </w:rPr>
      </w:pPr>
      <w:r w:rsidRPr="00CF657E">
        <w:rPr>
          <w:sz w:val="24"/>
        </w:rPr>
        <w:t xml:space="preserve">2. </w:t>
      </w:r>
      <w:r w:rsidRPr="00CF657E">
        <w:rPr>
          <w:sz w:val="24"/>
        </w:rPr>
        <w:tab/>
        <w:t xml:space="preserve">Shields MR, Bianchi TS, Gélinas Y, Allison MA, Twilley RR. Enhanced terrestrial carbon preservation promoted by reactive iron in deltaic sediments. Geophys Res Lett. 2016;43(3):1149–57. </w:t>
      </w:r>
    </w:p>
    <w:p w14:paraId="16E912B3" w14:textId="77777777" w:rsidR="00CF657E" w:rsidRPr="00CF657E" w:rsidRDefault="00CF657E" w:rsidP="00CF657E">
      <w:pPr>
        <w:pStyle w:val="Bibliography"/>
        <w:rPr>
          <w:sz w:val="24"/>
        </w:rPr>
      </w:pPr>
      <w:r w:rsidRPr="00CF657E">
        <w:rPr>
          <w:sz w:val="24"/>
        </w:rPr>
        <w:t xml:space="preserve">3. </w:t>
      </w:r>
      <w:r w:rsidRPr="00CF657E">
        <w:rPr>
          <w:sz w:val="24"/>
        </w:rPr>
        <w:tab/>
        <w:t xml:space="preserve">Brothers S, Köhler J, Attermeyer K, Grossart HP, Mehner T, Meyer N, et al. A feedback loop links brownification and anoxia in a temperate, shallow lake. Limnol Oceanogr. 2014;59(4):1388–98. </w:t>
      </w:r>
    </w:p>
    <w:p w14:paraId="067F1EE5" w14:textId="77777777" w:rsidR="00CF657E" w:rsidRPr="00CF657E" w:rsidRDefault="00CF657E" w:rsidP="00CF657E">
      <w:pPr>
        <w:pStyle w:val="Bibliography"/>
        <w:rPr>
          <w:sz w:val="24"/>
        </w:rPr>
      </w:pPr>
      <w:r w:rsidRPr="00CF657E">
        <w:rPr>
          <w:sz w:val="24"/>
        </w:rPr>
        <w:t xml:space="preserve">4. </w:t>
      </w:r>
      <w:r w:rsidRPr="00CF657E">
        <w:rPr>
          <w:sz w:val="24"/>
        </w:rPr>
        <w:tab/>
        <w:t xml:space="preserve">Peter S, Sobek S. High variability in iron-bound organic carbon among five boreal lake sediments. Biogeochemistry. 2018 Jun;139(1):19–29. </w:t>
      </w:r>
    </w:p>
    <w:p w14:paraId="55D0DDB4" w14:textId="77777777" w:rsidR="00CF657E" w:rsidRPr="00CF657E" w:rsidRDefault="00CF657E" w:rsidP="00CF657E">
      <w:pPr>
        <w:pStyle w:val="Bibliography"/>
        <w:rPr>
          <w:sz w:val="24"/>
        </w:rPr>
      </w:pPr>
      <w:r w:rsidRPr="00CF657E">
        <w:rPr>
          <w:sz w:val="24"/>
        </w:rPr>
        <w:t xml:space="preserve">5. </w:t>
      </w:r>
      <w:r w:rsidRPr="00CF657E">
        <w:rPr>
          <w:sz w:val="24"/>
        </w:rPr>
        <w:tab/>
        <w:t xml:space="preserve">Peter S, Isidorova A, Sobek S. Enhanced carbon loss from anoxic lake sediment through diffusion of dissolved organic carbon. J Geophys Res Biogeosciences. 2016;121(7):1959–77. </w:t>
      </w:r>
    </w:p>
    <w:p w14:paraId="48D62A2B" w14:textId="77777777" w:rsidR="00CF657E" w:rsidRPr="00CF657E" w:rsidRDefault="00CF657E" w:rsidP="00CF657E">
      <w:pPr>
        <w:pStyle w:val="Bibliography"/>
        <w:rPr>
          <w:sz w:val="24"/>
        </w:rPr>
      </w:pPr>
      <w:r w:rsidRPr="00CF657E">
        <w:rPr>
          <w:sz w:val="24"/>
        </w:rPr>
        <w:t xml:space="preserve">6. </w:t>
      </w:r>
      <w:r w:rsidRPr="00CF657E">
        <w:rPr>
          <w:sz w:val="24"/>
        </w:rPr>
        <w:tab/>
        <w:t xml:space="preserve">Dean WE, Gorham E. Magnitude and significance of carbon burial in lakes, reservoirs, and peatlands. 1998;4. </w:t>
      </w:r>
    </w:p>
    <w:p w14:paraId="5B1C7D0D" w14:textId="77777777" w:rsidR="00CF657E" w:rsidRPr="00CF657E" w:rsidRDefault="00CF657E" w:rsidP="00CF657E">
      <w:pPr>
        <w:pStyle w:val="Bibliography"/>
        <w:rPr>
          <w:sz w:val="24"/>
        </w:rPr>
      </w:pPr>
      <w:r w:rsidRPr="00CF657E">
        <w:rPr>
          <w:sz w:val="24"/>
        </w:rPr>
        <w:t xml:space="preserve">7. </w:t>
      </w:r>
      <w:r w:rsidRPr="00CF657E">
        <w:rPr>
          <w:sz w:val="24"/>
        </w:rPr>
        <w:tab/>
        <w:t xml:space="preserve">Downing JA, Cole JJ, Middelburg JJ, Striegl RG, Duarte CM, Kortelainen P, et al. Sediment organic carbon burial in agriculturally eutrophic impoundments over the last century. Glob Biogeochem Cycles. 2008;22(1). </w:t>
      </w:r>
    </w:p>
    <w:p w14:paraId="6EF635DC" w14:textId="77777777" w:rsidR="00CF657E" w:rsidRPr="00CF657E" w:rsidRDefault="00CF657E" w:rsidP="00CF657E">
      <w:pPr>
        <w:pStyle w:val="Bibliography"/>
        <w:rPr>
          <w:sz w:val="24"/>
        </w:rPr>
      </w:pPr>
      <w:r w:rsidRPr="00CF657E">
        <w:rPr>
          <w:sz w:val="24"/>
        </w:rPr>
        <w:t xml:space="preserve">8. </w:t>
      </w:r>
      <w:r w:rsidRPr="00CF657E">
        <w:rPr>
          <w:sz w:val="24"/>
        </w:rPr>
        <w:tab/>
        <w:t xml:space="preserve">Knoll LB, Vanni MJ, Renwick WH, Dittman EK, Gephart JA. Temperate reservoirs are large carbon sinks and small CO2 sources: Results from high-resolution carbon budgets. Glob Biogeochem Cycles. 2013;27(1):52–64. </w:t>
      </w:r>
    </w:p>
    <w:p w14:paraId="767D2677" w14:textId="77777777" w:rsidR="00CF657E" w:rsidRPr="00CF657E" w:rsidRDefault="00CF657E" w:rsidP="00CF657E">
      <w:pPr>
        <w:pStyle w:val="Bibliography"/>
        <w:rPr>
          <w:sz w:val="24"/>
        </w:rPr>
      </w:pPr>
      <w:r w:rsidRPr="00CF657E">
        <w:rPr>
          <w:sz w:val="24"/>
        </w:rPr>
        <w:t xml:space="preserve">9. </w:t>
      </w:r>
      <w:r w:rsidRPr="00CF657E">
        <w:rPr>
          <w:sz w:val="24"/>
        </w:rPr>
        <w:tab/>
        <w:t xml:space="preserve">Pacheco FS, Roland F, Downing JA. Eutrophication reverses whole-lake carbon budgets. Inland Waters. 2014 Jan 1;4(1):41–8. </w:t>
      </w:r>
    </w:p>
    <w:p w14:paraId="3A3992A6" w14:textId="77777777" w:rsidR="00CF657E" w:rsidRPr="00CF657E" w:rsidRDefault="00CF657E" w:rsidP="00CF657E">
      <w:pPr>
        <w:pStyle w:val="Bibliography"/>
        <w:rPr>
          <w:sz w:val="24"/>
        </w:rPr>
      </w:pPr>
      <w:r w:rsidRPr="00CF657E">
        <w:rPr>
          <w:sz w:val="24"/>
        </w:rPr>
        <w:t xml:space="preserve">10. </w:t>
      </w:r>
      <w:r w:rsidRPr="00CF657E">
        <w:rPr>
          <w:sz w:val="24"/>
        </w:rPr>
        <w:tab/>
        <w:t xml:space="preserve">Jane S, Hansen G, Kraemer B, Leavitt P, Mincer J, North R, et al. Widespread deoxygenation of temperate lakes. Nature. 2021 Jun 3;594. </w:t>
      </w:r>
    </w:p>
    <w:p w14:paraId="4DBBC80A" w14:textId="77777777" w:rsidR="00CF657E" w:rsidRPr="00CF657E" w:rsidRDefault="00CF657E" w:rsidP="00CF657E">
      <w:pPr>
        <w:pStyle w:val="Bibliography"/>
        <w:rPr>
          <w:sz w:val="24"/>
        </w:rPr>
      </w:pPr>
      <w:r w:rsidRPr="00CF657E">
        <w:rPr>
          <w:sz w:val="24"/>
        </w:rPr>
        <w:t xml:space="preserve">11. </w:t>
      </w:r>
      <w:r w:rsidRPr="00CF657E">
        <w:rPr>
          <w:sz w:val="24"/>
        </w:rPr>
        <w:tab/>
        <w:t xml:space="preserve">Jenny J-P, Francus P, Normandeau A, Lapointe F, Perga M-E, Ojala A, et al. Global spread of hypoxia in freshwater ecosystems during the last three centuries is caused by rising local human pressure. Glob Change Biol. 2016;22(4):1481–9. </w:t>
      </w:r>
    </w:p>
    <w:p w14:paraId="37F60A64" w14:textId="77777777" w:rsidR="00CF657E" w:rsidRPr="00CF657E" w:rsidRDefault="00CF657E" w:rsidP="00CF657E">
      <w:pPr>
        <w:pStyle w:val="Bibliography"/>
        <w:rPr>
          <w:sz w:val="24"/>
        </w:rPr>
      </w:pPr>
      <w:r w:rsidRPr="00CF657E">
        <w:rPr>
          <w:sz w:val="24"/>
        </w:rPr>
        <w:t xml:space="preserve">12. </w:t>
      </w:r>
      <w:r w:rsidRPr="00CF657E">
        <w:rPr>
          <w:sz w:val="24"/>
        </w:rPr>
        <w:tab/>
        <w:t xml:space="preserve">Gerling AB, Browne RG, Gantzer PA, Mobley MH, Little JC, Carey CC. First report of the successful operation of a side stream supersaturation hypolimnetic oxygenation system in a eutrophic, shallow reservoir. Water Res. 2014 Dec 15;67:129–43. </w:t>
      </w:r>
    </w:p>
    <w:p w14:paraId="723D46B8" w14:textId="2E3F9B77" w:rsidR="00AB1783" w:rsidRPr="003C7BC7" w:rsidRDefault="00294A0C" w:rsidP="003C7BC7">
      <w:pPr>
        <w:pStyle w:val="Bibliography"/>
        <w:spacing w:line="276" w:lineRule="auto"/>
        <w:ind w:left="0" w:firstLine="0"/>
        <w:rPr>
          <w:sz w:val="24"/>
          <w:szCs w:val="24"/>
        </w:rPr>
      </w:pPr>
      <w:r w:rsidRPr="003C7BC7">
        <w:rPr>
          <w:sz w:val="24"/>
          <w:szCs w:val="24"/>
        </w:rPr>
        <w:fldChar w:fldCharType="end"/>
      </w:r>
      <w:r w:rsidR="005518B2" w:rsidRPr="003C7BC7">
        <w:rPr>
          <w:sz w:val="24"/>
          <w:szCs w:val="24"/>
        </w:rPr>
        <w:br w:type="page"/>
      </w:r>
    </w:p>
    <w:p w14:paraId="08BFBAF2" w14:textId="4191BFC0" w:rsidR="009A215C" w:rsidRPr="003C7BC7" w:rsidRDefault="005518B2" w:rsidP="003C7BC7">
      <w:pPr>
        <w:pBdr>
          <w:top w:val="nil"/>
          <w:left w:val="nil"/>
          <w:bottom w:val="nil"/>
          <w:right w:val="nil"/>
          <w:between w:val="nil"/>
        </w:pBdr>
        <w:spacing w:line="276" w:lineRule="auto"/>
        <w:jc w:val="center"/>
        <w:rPr>
          <w:b/>
          <w:color w:val="000000"/>
        </w:rPr>
      </w:pPr>
      <w:r w:rsidRPr="003C7BC7">
        <w:rPr>
          <w:b/>
          <w:color w:val="000000"/>
        </w:rPr>
        <w:lastRenderedPageBreak/>
        <w:t>Budget</w:t>
      </w:r>
      <w:r w:rsidR="009A215C" w:rsidRPr="003C7BC7">
        <w:rPr>
          <w:bCs/>
          <w:color w:val="000000"/>
        </w:rPr>
        <w:br/>
      </w:r>
    </w:p>
    <w:p w14:paraId="5A056C07" w14:textId="77777777" w:rsidR="00A44723" w:rsidRDefault="00435151" w:rsidP="00A44723">
      <w:pPr>
        <w:numPr>
          <w:ilvl w:val="0"/>
          <w:numId w:val="1"/>
        </w:numPr>
        <w:pBdr>
          <w:top w:val="nil"/>
          <w:left w:val="nil"/>
          <w:bottom w:val="nil"/>
          <w:right w:val="nil"/>
          <w:between w:val="nil"/>
        </w:pBdr>
        <w:spacing w:line="276" w:lineRule="auto"/>
      </w:pPr>
      <w:r>
        <w:rPr>
          <w:b/>
          <w:color w:val="000000"/>
        </w:rPr>
        <w:t>6 oz canning jars</w:t>
      </w:r>
    </w:p>
    <w:p w14:paraId="37C31C5A" w14:textId="0C0FED0B" w:rsidR="009A215C" w:rsidRPr="00A44723" w:rsidRDefault="009A215C" w:rsidP="00A44723">
      <w:pPr>
        <w:pBdr>
          <w:top w:val="nil"/>
          <w:left w:val="nil"/>
          <w:bottom w:val="nil"/>
          <w:right w:val="nil"/>
          <w:between w:val="nil"/>
        </w:pBdr>
        <w:spacing w:line="276" w:lineRule="auto"/>
        <w:ind w:left="720" w:firstLine="720"/>
      </w:pPr>
      <w:r w:rsidRPr="00A44723">
        <w:rPr>
          <w:bCs/>
          <w:color w:val="000000"/>
        </w:rPr>
        <w:t>$</w:t>
      </w:r>
      <w:r w:rsidR="00435151" w:rsidRPr="00A44723">
        <w:rPr>
          <w:bCs/>
          <w:color w:val="000000"/>
        </w:rPr>
        <w:t>39.99</w:t>
      </w:r>
      <w:r w:rsidRPr="00A44723">
        <w:rPr>
          <w:bCs/>
          <w:color w:val="000000"/>
        </w:rPr>
        <w:t xml:space="preserve"> per case </w:t>
      </w:r>
      <w:r w:rsidR="001F3B15" w:rsidRPr="00A44723">
        <w:rPr>
          <w:bCs/>
          <w:color w:val="000000"/>
        </w:rPr>
        <w:t xml:space="preserve">of </w:t>
      </w:r>
      <w:r w:rsidR="00435151" w:rsidRPr="00A44723">
        <w:rPr>
          <w:bCs/>
          <w:color w:val="000000"/>
        </w:rPr>
        <w:t>30</w:t>
      </w:r>
      <w:r w:rsidR="001F3B15" w:rsidRPr="00A44723">
        <w:rPr>
          <w:bCs/>
          <w:color w:val="000000"/>
        </w:rPr>
        <w:t xml:space="preserve"> </w:t>
      </w:r>
      <w:r w:rsidRPr="00A44723">
        <w:rPr>
          <w:bCs/>
          <w:color w:val="000000"/>
        </w:rPr>
        <w:t xml:space="preserve">* </w:t>
      </w:r>
      <w:r w:rsidR="00DC3041" w:rsidRPr="00A44723">
        <w:rPr>
          <w:bCs/>
          <w:color w:val="000000"/>
        </w:rPr>
        <w:t xml:space="preserve">5 </w:t>
      </w:r>
      <w:r w:rsidRPr="00A44723">
        <w:rPr>
          <w:bCs/>
          <w:color w:val="000000"/>
        </w:rPr>
        <w:t>cases</w:t>
      </w:r>
      <w:r w:rsidRPr="00A44723">
        <w:rPr>
          <w:b/>
          <w:color w:val="000000"/>
        </w:rPr>
        <w:t xml:space="preserve"> = $</w:t>
      </w:r>
      <w:r w:rsidR="00435151" w:rsidRPr="00A44723">
        <w:rPr>
          <w:b/>
          <w:color w:val="000000"/>
        </w:rPr>
        <w:t>1</w:t>
      </w:r>
      <w:r w:rsidR="00DC3041" w:rsidRPr="00A44723">
        <w:rPr>
          <w:b/>
          <w:color w:val="000000"/>
        </w:rPr>
        <w:t>99.95</w:t>
      </w:r>
      <w:r w:rsidR="005518B2" w:rsidRPr="00A44723">
        <w:rPr>
          <w:color w:val="000000"/>
        </w:rPr>
        <w:br/>
      </w:r>
      <w:r w:rsidRPr="00A44723">
        <w:rPr>
          <w:color w:val="000000"/>
        </w:rPr>
        <w:t xml:space="preserve">Sediment will be incubated in the lab under </w:t>
      </w:r>
      <w:r w:rsidR="00DC3041" w:rsidRPr="00A44723">
        <w:rPr>
          <w:color w:val="000000"/>
        </w:rPr>
        <w:t xml:space="preserve">two </w:t>
      </w:r>
      <w:r w:rsidRPr="00A44723">
        <w:rPr>
          <w:color w:val="000000"/>
        </w:rPr>
        <w:t>oxygen treatments</w:t>
      </w:r>
      <w:r w:rsidR="00435151" w:rsidRPr="00A44723">
        <w:rPr>
          <w:color w:val="000000"/>
        </w:rPr>
        <w:t xml:space="preserve"> </w:t>
      </w:r>
      <w:r w:rsidR="00DC3041" w:rsidRPr="00A44723">
        <w:rPr>
          <w:color w:val="000000"/>
        </w:rPr>
        <w:t xml:space="preserve">for the first half of the experiment and four treatments for the second half of the experiment </w:t>
      </w:r>
      <w:r w:rsidR="00435151" w:rsidRPr="00A44723">
        <w:rPr>
          <w:color w:val="000000"/>
        </w:rPr>
        <w:t>(see Hypothesis one, above)</w:t>
      </w:r>
      <w:r w:rsidRPr="00A44723">
        <w:rPr>
          <w:color w:val="000000"/>
        </w:rPr>
        <w:t>.</w:t>
      </w:r>
      <w:r w:rsidR="00DC3041" w:rsidRPr="00A44723">
        <w:rPr>
          <w:color w:val="000000"/>
        </w:rPr>
        <w:t xml:space="preserve"> With eight sampling dates in each half of the experiment and three replicates for each date and treatment, 144 jars are needed</w:t>
      </w:r>
      <w:r w:rsidRPr="00A44723">
        <w:rPr>
          <w:color w:val="000000"/>
        </w:rPr>
        <w:t xml:space="preserve"> to enable destructive sampling for iron-bound organic carbon </w:t>
      </w:r>
      <w:r w:rsidR="00DC3041" w:rsidRPr="00A44723">
        <w:rPr>
          <w:color w:val="000000"/>
        </w:rPr>
        <w:t xml:space="preserve">in sediment (2*3*8 + 4*3*8). </w:t>
      </w:r>
      <w:r w:rsidR="009B1E0C" w:rsidRPr="00A44723">
        <w:rPr>
          <w:color w:val="000000"/>
        </w:rPr>
        <w:t xml:space="preserve">Extensive pilot studies concluded that no standard laboratory equipment permitted the establishment of both </w:t>
      </w:r>
      <w:proofErr w:type="spellStart"/>
      <w:r w:rsidR="009B1E0C" w:rsidRPr="00A44723">
        <w:rPr>
          <w:color w:val="000000"/>
        </w:rPr>
        <w:t>oxic</w:t>
      </w:r>
      <w:proofErr w:type="spellEnd"/>
      <w:r w:rsidR="009B1E0C" w:rsidRPr="00A44723">
        <w:rPr>
          <w:color w:val="000000"/>
        </w:rPr>
        <w:t xml:space="preserve"> and anoxic treatments, necessitating the use of these non-standard incubation containers.</w:t>
      </w:r>
    </w:p>
    <w:p w14:paraId="1DF37144" w14:textId="318826E1" w:rsidR="00AB1783" w:rsidRPr="003C7BC7" w:rsidRDefault="00942A22" w:rsidP="003C7BC7">
      <w:pPr>
        <w:pBdr>
          <w:top w:val="nil"/>
          <w:left w:val="nil"/>
          <w:bottom w:val="nil"/>
          <w:right w:val="nil"/>
          <w:between w:val="nil"/>
        </w:pBdr>
        <w:spacing w:line="276" w:lineRule="auto"/>
        <w:ind w:left="720"/>
        <w:rPr>
          <w:bCs/>
        </w:rPr>
      </w:pPr>
      <w:hyperlink r:id="rId10" w:history="1">
        <w:r w:rsidR="00DC3041" w:rsidRPr="00DC3041">
          <w:rPr>
            <w:rStyle w:val="Hyperlink"/>
          </w:rPr>
          <w:t>Amazon</w:t>
        </w:r>
      </w:hyperlink>
      <w:r w:rsidR="009A215C" w:rsidRPr="003C7BC7">
        <w:rPr>
          <w:bCs/>
          <w:color w:val="000000"/>
        </w:rPr>
        <w:br/>
      </w:r>
    </w:p>
    <w:p w14:paraId="2A100F05" w14:textId="77777777" w:rsidR="00A44723" w:rsidRDefault="009B1E0C" w:rsidP="00A44723">
      <w:pPr>
        <w:numPr>
          <w:ilvl w:val="0"/>
          <w:numId w:val="1"/>
        </w:numPr>
        <w:pBdr>
          <w:top w:val="nil"/>
          <w:left w:val="nil"/>
          <w:bottom w:val="nil"/>
          <w:right w:val="nil"/>
          <w:between w:val="nil"/>
        </w:pBdr>
        <w:spacing w:line="276" w:lineRule="auto"/>
      </w:pPr>
      <w:r>
        <w:rPr>
          <w:b/>
          <w:color w:val="000000"/>
        </w:rPr>
        <w:t>Transportation to and from field sites</w:t>
      </w:r>
    </w:p>
    <w:p w14:paraId="1F7A80DD" w14:textId="10D3D7F2" w:rsidR="00A44723" w:rsidRDefault="00A44723" w:rsidP="00A44723">
      <w:pPr>
        <w:pBdr>
          <w:top w:val="nil"/>
          <w:left w:val="nil"/>
          <w:bottom w:val="nil"/>
          <w:right w:val="nil"/>
          <w:between w:val="nil"/>
        </w:pBdr>
        <w:spacing w:line="276" w:lineRule="auto"/>
        <w:ind w:left="720" w:firstLine="720"/>
      </w:pPr>
      <w:r>
        <w:rPr>
          <w:bCs/>
        </w:rPr>
        <w:t xml:space="preserve">FCR and BVR: </w:t>
      </w:r>
      <w:r w:rsidR="009B1E0C" w:rsidRPr="009B1E0C">
        <w:rPr>
          <w:bCs/>
        </w:rPr>
        <w:t>$0.</w:t>
      </w:r>
      <w:r w:rsidR="009B1E0C">
        <w:rPr>
          <w:bCs/>
        </w:rPr>
        <w:t>4</w:t>
      </w:r>
      <w:r w:rsidR="009B1E0C" w:rsidRPr="009B1E0C">
        <w:rPr>
          <w:bCs/>
        </w:rPr>
        <w:t>0 per mile * 150 miles * 1</w:t>
      </w:r>
      <w:r>
        <w:rPr>
          <w:bCs/>
        </w:rPr>
        <w:t xml:space="preserve">0 </w:t>
      </w:r>
      <w:r w:rsidR="009B1E0C" w:rsidRPr="009B1E0C">
        <w:rPr>
          <w:bCs/>
        </w:rPr>
        <w:t>sampling dates</w:t>
      </w:r>
      <w:r w:rsidR="009B1E0C">
        <w:rPr>
          <w:b/>
        </w:rPr>
        <w:t xml:space="preserve"> = $</w:t>
      </w:r>
      <w:r>
        <w:rPr>
          <w:b/>
        </w:rPr>
        <w:t>600</w:t>
      </w:r>
    </w:p>
    <w:p w14:paraId="3AB3F9B3" w14:textId="267DD92E" w:rsidR="00A85ACF" w:rsidRPr="00A44723" w:rsidRDefault="00A44723" w:rsidP="00A44723">
      <w:pPr>
        <w:pBdr>
          <w:top w:val="nil"/>
          <w:left w:val="nil"/>
          <w:bottom w:val="nil"/>
          <w:right w:val="nil"/>
          <w:between w:val="nil"/>
        </w:pBdr>
        <w:spacing w:line="276" w:lineRule="auto"/>
        <w:ind w:left="720" w:firstLine="720"/>
      </w:pPr>
      <w:r w:rsidRPr="00A44723">
        <w:rPr>
          <w:bCs/>
          <w:color w:val="000000"/>
        </w:rPr>
        <w:t>FCR only</w:t>
      </w:r>
      <w:r>
        <w:rPr>
          <w:bCs/>
          <w:color w:val="000000"/>
        </w:rPr>
        <w:t xml:space="preserve">: </w:t>
      </w:r>
      <w:r w:rsidRPr="009B1E0C">
        <w:rPr>
          <w:bCs/>
        </w:rPr>
        <w:t>$0.</w:t>
      </w:r>
      <w:r>
        <w:rPr>
          <w:bCs/>
        </w:rPr>
        <w:t>4</w:t>
      </w:r>
      <w:r w:rsidRPr="009B1E0C">
        <w:rPr>
          <w:bCs/>
        </w:rPr>
        <w:t>0 per mile * 1</w:t>
      </w:r>
      <w:r>
        <w:rPr>
          <w:bCs/>
        </w:rPr>
        <w:t>0</w:t>
      </w:r>
      <w:r w:rsidRPr="009B1E0C">
        <w:rPr>
          <w:bCs/>
        </w:rPr>
        <w:t>0 miles * 1</w:t>
      </w:r>
      <w:r>
        <w:rPr>
          <w:bCs/>
        </w:rPr>
        <w:t xml:space="preserve"> </w:t>
      </w:r>
      <w:r w:rsidRPr="009B1E0C">
        <w:rPr>
          <w:bCs/>
        </w:rPr>
        <w:t>sampling date</w:t>
      </w:r>
      <w:r>
        <w:rPr>
          <w:bCs/>
        </w:rPr>
        <w:t xml:space="preserve"> = $40</w:t>
      </w:r>
      <w:r w:rsidR="00A85ACF" w:rsidRPr="00A44723">
        <w:rPr>
          <w:b/>
        </w:rPr>
        <w:br/>
      </w:r>
      <w:r>
        <w:t xml:space="preserve">Sampling both BVR and FCR requires driving 150 miles round-trip, and only sampling FCR requires driving 100 miles. This project will require one sampling date at FCR to collect sediment and water for experimental incubations and 10 sampling dates at both FCR and BVR to conduct whole-ecosystem oxygenation experiments and </w:t>
      </w:r>
      <w:r w:rsidR="00550219">
        <w:t>collect samples for</w:t>
      </w:r>
      <w:r>
        <w:t xml:space="preserve"> Fe, OC, and </w:t>
      </w:r>
      <w:r w:rsidR="00550219">
        <w:t xml:space="preserve">sediment </w:t>
      </w:r>
      <w:r>
        <w:t>Fe-OC.</w:t>
      </w:r>
      <w:r w:rsidR="00A85ACF" w:rsidRPr="003C7BC7">
        <w:rPr>
          <w:b/>
          <w:bCs/>
        </w:rPr>
        <w:br/>
      </w:r>
    </w:p>
    <w:p w14:paraId="6679BB9F" w14:textId="77777777" w:rsidR="00AB1783" w:rsidRPr="003C7BC7" w:rsidRDefault="00942A22" w:rsidP="003C7BC7">
      <w:pPr>
        <w:spacing w:line="276" w:lineRule="auto"/>
      </w:pPr>
      <w:r>
        <w:rPr>
          <w:noProof/>
        </w:rPr>
        <w:pict w14:anchorId="50E56098">
          <v:rect id="_x0000_i1025" alt="" style="width:468pt;height:.05pt;mso-width-percent:0;mso-height-percent:0;mso-width-percent:0;mso-height-percent:0" o:hralign="center" o:hrstd="t" o:hr="t" fillcolor="#a0a0a0" stroked="f"/>
        </w:pict>
      </w:r>
    </w:p>
    <w:p w14:paraId="671FB16E" w14:textId="056E8624" w:rsidR="00AB1783" w:rsidRPr="003C7BC7" w:rsidRDefault="005518B2" w:rsidP="003C7BC7">
      <w:pPr>
        <w:spacing w:line="276" w:lineRule="auto"/>
        <w:ind w:left="360"/>
      </w:pPr>
      <w:r w:rsidRPr="003C7BC7">
        <w:tab/>
      </w:r>
      <w:r w:rsidRPr="003C7BC7">
        <w:rPr>
          <w:b/>
        </w:rPr>
        <w:t>Total:</w:t>
      </w:r>
      <w:r w:rsidRPr="003C7BC7">
        <w:rPr>
          <w:b/>
        </w:rPr>
        <w:tab/>
      </w:r>
      <w:r w:rsidRPr="003C7BC7">
        <w:rPr>
          <w:b/>
        </w:rPr>
        <w:tab/>
      </w:r>
      <w:r w:rsidRPr="003C7BC7">
        <w:rPr>
          <w:b/>
        </w:rPr>
        <w:tab/>
      </w:r>
      <w:r w:rsidRPr="003C7BC7">
        <w:rPr>
          <w:b/>
        </w:rPr>
        <w:tab/>
      </w:r>
      <w:r w:rsidRPr="003C7BC7">
        <w:rPr>
          <w:b/>
        </w:rPr>
        <w:tab/>
      </w:r>
      <w:r w:rsidRPr="003C7BC7">
        <w:rPr>
          <w:b/>
        </w:rPr>
        <w:tab/>
      </w:r>
      <w:r w:rsidRPr="003C7BC7">
        <w:rPr>
          <w:b/>
        </w:rPr>
        <w:tab/>
      </w:r>
      <w:r w:rsidRPr="003C7BC7">
        <w:rPr>
          <w:b/>
        </w:rPr>
        <w:tab/>
      </w:r>
      <w:r w:rsidRPr="003C7BC7">
        <w:rPr>
          <w:b/>
        </w:rPr>
        <w:tab/>
      </w:r>
      <w:r w:rsidRPr="003C7BC7">
        <w:rPr>
          <w:b/>
        </w:rPr>
        <w:tab/>
        <w:t>$</w:t>
      </w:r>
      <w:r w:rsidR="00A44723">
        <w:rPr>
          <w:b/>
        </w:rPr>
        <w:t>799.95</w:t>
      </w:r>
    </w:p>
    <w:p w14:paraId="45E6ADAA" w14:textId="77777777" w:rsidR="00AB1783" w:rsidRPr="003C7BC7" w:rsidRDefault="00AB1783" w:rsidP="003C7BC7">
      <w:pPr>
        <w:spacing w:line="276" w:lineRule="auto"/>
        <w:ind w:left="360"/>
      </w:pPr>
    </w:p>
    <w:p w14:paraId="3DA13165" w14:textId="6888960B" w:rsidR="00AB1783" w:rsidRPr="003C7BC7" w:rsidRDefault="001A5E97" w:rsidP="003C7BC7">
      <w:pPr>
        <w:pStyle w:val="Heading1"/>
        <w:spacing w:line="276" w:lineRule="auto"/>
        <w:rPr>
          <w:rFonts w:cs="Times New Roman"/>
          <w:sz w:val="24"/>
          <w:szCs w:val="24"/>
        </w:rPr>
      </w:pPr>
      <w:r>
        <w:rPr>
          <w:rFonts w:cs="Times New Roman"/>
          <w:sz w:val="24"/>
          <w:szCs w:val="24"/>
        </w:rPr>
        <w:t>External Funding</w:t>
      </w:r>
    </w:p>
    <w:p w14:paraId="2859DF8E" w14:textId="19D820A4" w:rsidR="00AB1783" w:rsidRPr="001A5E97" w:rsidRDefault="00EC669B" w:rsidP="001A5E97">
      <w:pPr>
        <w:spacing w:line="276" w:lineRule="auto"/>
      </w:pPr>
      <w:r w:rsidRPr="003C7BC7">
        <w:t xml:space="preserve">This project is partially supported by additional external funding </w:t>
      </w:r>
      <w:r w:rsidR="00550219">
        <w:t>(</w:t>
      </w:r>
      <w:r w:rsidR="00550219" w:rsidRPr="00A44723">
        <w:t>NSF DEB-1753639</w:t>
      </w:r>
      <w:r w:rsidR="00550219">
        <w:t xml:space="preserve">) </w:t>
      </w:r>
      <w:r w:rsidRPr="003C7BC7">
        <w:t xml:space="preserve">which will </w:t>
      </w:r>
      <w:r w:rsidR="00550219">
        <w:t xml:space="preserve">provide bottles, centrifuge tubes, and GF/F filters for sample collection, as well as chemicals and glassware for laboratory analyses. External funding will also provide funding for one undergraduate researcher to assist with the laboratory experiment and chemical analyses. The full project budget is $4000, $799.95 of which is requested from Sigma Xi. </w:t>
      </w:r>
    </w:p>
    <w:sectPr w:rsidR="00AB1783" w:rsidRPr="001A5E97">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4808" w14:textId="77777777" w:rsidR="00942A22" w:rsidRDefault="00942A22">
      <w:r>
        <w:separator/>
      </w:r>
    </w:p>
  </w:endnote>
  <w:endnote w:type="continuationSeparator" w:id="0">
    <w:p w14:paraId="49C832FE" w14:textId="77777777" w:rsidR="00942A22" w:rsidRDefault="00942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06F9" w14:textId="77777777" w:rsidR="00942A22" w:rsidRDefault="00942A22">
      <w:r>
        <w:separator/>
      </w:r>
    </w:p>
  </w:footnote>
  <w:footnote w:type="continuationSeparator" w:id="0">
    <w:p w14:paraId="6089DE6C" w14:textId="77777777" w:rsidR="00942A22" w:rsidRDefault="00942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30D9" w14:textId="5D92CCF0" w:rsidR="00AB1783" w:rsidRDefault="00C75CE6">
    <w:pPr>
      <w:pBdr>
        <w:top w:val="nil"/>
        <w:left w:val="nil"/>
        <w:bottom w:val="single" w:sz="4" w:space="1" w:color="000000"/>
        <w:right w:val="nil"/>
        <w:between w:val="nil"/>
      </w:pBdr>
      <w:tabs>
        <w:tab w:val="center" w:pos="4680"/>
        <w:tab w:val="right" w:pos="9360"/>
      </w:tabs>
      <w:jc w:val="center"/>
      <w:rPr>
        <w:b/>
        <w:color w:val="000000"/>
      </w:rPr>
    </w:pPr>
    <w:r>
      <w:rPr>
        <w:b/>
        <w:color w:val="000000"/>
      </w:rPr>
      <w:t>Effect of changing oxygen conditions on iron-bound organic carbon in lake sediment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BDB"/>
    <w:multiLevelType w:val="hybridMultilevel"/>
    <w:tmpl w:val="1A8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A7CA4"/>
    <w:multiLevelType w:val="hybridMultilevel"/>
    <w:tmpl w:val="175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303CA"/>
    <w:multiLevelType w:val="multilevel"/>
    <w:tmpl w:val="FAE484F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BC7787"/>
    <w:multiLevelType w:val="hybridMultilevel"/>
    <w:tmpl w:val="3660545A"/>
    <w:lvl w:ilvl="0" w:tplc="2C4A81E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83"/>
    <w:rsid w:val="000810DC"/>
    <w:rsid w:val="000B7A49"/>
    <w:rsid w:val="00194932"/>
    <w:rsid w:val="001A5E97"/>
    <w:rsid w:val="001B26B5"/>
    <w:rsid w:val="001F3B15"/>
    <w:rsid w:val="00263D08"/>
    <w:rsid w:val="002878CE"/>
    <w:rsid w:val="00294A0C"/>
    <w:rsid w:val="002974BA"/>
    <w:rsid w:val="002A4C76"/>
    <w:rsid w:val="002E6AA8"/>
    <w:rsid w:val="00394544"/>
    <w:rsid w:val="00396CCD"/>
    <w:rsid w:val="003B3116"/>
    <w:rsid w:val="003C7BC7"/>
    <w:rsid w:val="00425150"/>
    <w:rsid w:val="00435151"/>
    <w:rsid w:val="004775E7"/>
    <w:rsid w:val="004A3BA6"/>
    <w:rsid w:val="004A5006"/>
    <w:rsid w:val="004B6EEA"/>
    <w:rsid w:val="005379DD"/>
    <w:rsid w:val="00550219"/>
    <w:rsid w:val="005518B2"/>
    <w:rsid w:val="00552EB2"/>
    <w:rsid w:val="006061D8"/>
    <w:rsid w:val="006063F0"/>
    <w:rsid w:val="00655259"/>
    <w:rsid w:val="00683C68"/>
    <w:rsid w:val="00717734"/>
    <w:rsid w:val="007659F0"/>
    <w:rsid w:val="007C36C1"/>
    <w:rsid w:val="00842048"/>
    <w:rsid w:val="008654EE"/>
    <w:rsid w:val="00880D3C"/>
    <w:rsid w:val="00937516"/>
    <w:rsid w:val="00942419"/>
    <w:rsid w:val="00942A22"/>
    <w:rsid w:val="00981F86"/>
    <w:rsid w:val="009A215C"/>
    <w:rsid w:val="009B1E0C"/>
    <w:rsid w:val="009E0A22"/>
    <w:rsid w:val="00A44723"/>
    <w:rsid w:val="00A53800"/>
    <w:rsid w:val="00A8530D"/>
    <w:rsid w:val="00A85ACF"/>
    <w:rsid w:val="00AB1783"/>
    <w:rsid w:val="00AD6FF3"/>
    <w:rsid w:val="00C75CE6"/>
    <w:rsid w:val="00CD73A5"/>
    <w:rsid w:val="00CF657E"/>
    <w:rsid w:val="00D12E6A"/>
    <w:rsid w:val="00D12E77"/>
    <w:rsid w:val="00D37D30"/>
    <w:rsid w:val="00D37DDE"/>
    <w:rsid w:val="00DC3041"/>
    <w:rsid w:val="00DD4076"/>
    <w:rsid w:val="00E2202E"/>
    <w:rsid w:val="00E64B78"/>
    <w:rsid w:val="00E93EE5"/>
    <w:rsid w:val="00EC669B"/>
    <w:rsid w:val="00ED124A"/>
    <w:rsid w:val="00EE6D1C"/>
    <w:rsid w:val="00F059C5"/>
    <w:rsid w:val="00F309B4"/>
    <w:rsid w:val="00F515EF"/>
    <w:rsid w:val="00FB6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6753"/>
  <w15:docId w15:val="{04A3E793-046C-4405-A6AC-32EC6342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F0"/>
    <w:pPr>
      <w:spacing w:after="0" w:line="240" w:lineRule="auto"/>
      <w:jc w:val="left"/>
    </w:pPr>
    <w:rPr>
      <w:sz w:val="24"/>
      <w:szCs w:val="24"/>
    </w:rPr>
  </w:style>
  <w:style w:type="paragraph" w:styleId="Heading1">
    <w:name w:val="heading 1"/>
    <w:basedOn w:val="Normal"/>
    <w:next w:val="Normal"/>
    <w:link w:val="Heading1Char"/>
    <w:uiPriority w:val="9"/>
    <w:qFormat/>
    <w:rsid w:val="00F530CE"/>
    <w:pPr>
      <w:keepNext/>
      <w:keepLines/>
      <w:spacing w:before="240" w:line="259" w:lineRule="auto"/>
      <w:jc w:val="both"/>
      <w:outlineLvl w:val="0"/>
    </w:pPr>
    <w:rPr>
      <w:rFonts w:eastAsiaTheme="majorEastAsia" w:cstheme="majorBidi"/>
      <w:b/>
      <w:sz w:val="22"/>
      <w:szCs w:val="32"/>
    </w:rPr>
  </w:style>
  <w:style w:type="paragraph" w:styleId="Heading2">
    <w:name w:val="heading 2"/>
    <w:basedOn w:val="Normal"/>
    <w:next w:val="Normal"/>
    <w:pPr>
      <w:keepNext/>
      <w:keepLines/>
      <w:spacing w:before="360" w:after="80" w:line="259" w:lineRule="auto"/>
      <w:jc w:val="both"/>
      <w:outlineLvl w:val="1"/>
    </w:pPr>
    <w:rPr>
      <w:b/>
      <w:sz w:val="36"/>
      <w:szCs w:val="36"/>
    </w:rPr>
  </w:style>
  <w:style w:type="paragraph" w:styleId="Heading3">
    <w:name w:val="heading 3"/>
    <w:basedOn w:val="Normal"/>
    <w:next w:val="Normal"/>
    <w:pPr>
      <w:keepNext/>
      <w:keepLines/>
      <w:spacing w:before="280" w:after="80" w:line="259" w:lineRule="auto"/>
      <w:jc w:val="both"/>
      <w:outlineLvl w:val="2"/>
    </w:pPr>
    <w:rPr>
      <w:b/>
      <w:sz w:val="28"/>
      <w:szCs w:val="28"/>
    </w:rPr>
  </w:style>
  <w:style w:type="paragraph" w:styleId="Heading4">
    <w:name w:val="heading 4"/>
    <w:basedOn w:val="Normal"/>
    <w:next w:val="Normal"/>
    <w:pPr>
      <w:keepNext/>
      <w:keepLines/>
      <w:spacing w:before="240" w:after="40" w:line="259" w:lineRule="auto"/>
      <w:jc w:val="both"/>
      <w:outlineLvl w:val="3"/>
    </w:pPr>
    <w:rPr>
      <w:b/>
    </w:rPr>
  </w:style>
  <w:style w:type="paragraph" w:styleId="Heading5">
    <w:name w:val="heading 5"/>
    <w:basedOn w:val="Normal"/>
    <w:next w:val="Normal"/>
    <w:pPr>
      <w:keepNext/>
      <w:keepLines/>
      <w:spacing w:before="220" w:after="40" w:line="259" w:lineRule="auto"/>
      <w:jc w:val="both"/>
      <w:outlineLvl w:val="4"/>
    </w:pPr>
    <w:rPr>
      <w:b/>
      <w:sz w:val="22"/>
      <w:szCs w:val="22"/>
    </w:rPr>
  </w:style>
  <w:style w:type="paragraph" w:styleId="Heading6">
    <w:name w:val="heading 6"/>
    <w:basedOn w:val="Normal"/>
    <w:next w:val="Normal"/>
    <w:pPr>
      <w:keepNext/>
      <w:keepLines/>
      <w:spacing w:before="200" w:after="40" w:line="259"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59" w:lineRule="auto"/>
      <w:jc w:val="both"/>
    </w:pPr>
    <w:rPr>
      <w:b/>
      <w:sz w:val="72"/>
      <w:szCs w:val="72"/>
    </w:rPr>
  </w:style>
  <w:style w:type="paragraph" w:styleId="Header">
    <w:name w:val="header"/>
    <w:basedOn w:val="Normal"/>
    <w:link w:val="HeaderChar"/>
    <w:uiPriority w:val="99"/>
    <w:unhideWhenUsed/>
    <w:rsid w:val="00F530CE"/>
    <w:pPr>
      <w:tabs>
        <w:tab w:val="center" w:pos="4680"/>
        <w:tab w:val="right" w:pos="9360"/>
      </w:tabs>
      <w:jc w:val="both"/>
    </w:pPr>
    <w:rPr>
      <w:sz w:val="22"/>
      <w:szCs w:val="22"/>
    </w:rPr>
  </w:style>
  <w:style w:type="character" w:customStyle="1" w:styleId="HeaderChar">
    <w:name w:val="Header Char"/>
    <w:basedOn w:val="DefaultParagraphFont"/>
    <w:link w:val="Header"/>
    <w:uiPriority w:val="99"/>
    <w:rsid w:val="00F530CE"/>
  </w:style>
  <w:style w:type="paragraph" w:styleId="Footer">
    <w:name w:val="footer"/>
    <w:basedOn w:val="Normal"/>
    <w:link w:val="FooterChar"/>
    <w:uiPriority w:val="99"/>
    <w:unhideWhenUsed/>
    <w:rsid w:val="00F530CE"/>
    <w:pPr>
      <w:tabs>
        <w:tab w:val="center" w:pos="4680"/>
        <w:tab w:val="right" w:pos="9360"/>
      </w:tabs>
      <w:jc w:val="both"/>
    </w:pPr>
    <w:rPr>
      <w:sz w:val="22"/>
      <w:szCs w:val="22"/>
    </w:rPr>
  </w:style>
  <w:style w:type="character" w:customStyle="1" w:styleId="FooterChar">
    <w:name w:val="Footer Char"/>
    <w:basedOn w:val="DefaultParagraphFont"/>
    <w:link w:val="Footer"/>
    <w:uiPriority w:val="99"/>
    <w:rsid w:val="00F530CE"/>
  </w:style>
  <w:style w:type="paragraph" w:customStyle="1" w:styleId="Abstract">
    <w:name w:val="Abstract"/>
    <w:basedOn w:val="Normal"/>
    <w:next w:val="Normal"/>
    <w:link w:val="AbstractChar"/>
    <w:qFormat/>
    <w:rsid w:val="00F530CE"/>
    <w:pPr>
      <w:spacing w:after="160"/>
      <w:ind w:left="720" w:right="720"/>
      <w:jc w:val="both"/>
    </w:pPr>
    <w:rPr>
      <w:sz w:val="22"/>
      <w:szCs w:val="22"/>
    </w:rPr>
  </w:style>
  <w:style w:type="character" w:customStyle="1" w:styleId="Heading1Char">
    <w:name w:val="Heading 1 Char"/>
    <w:basedOn w:val="DefaultParagraphFont"/>
    <w:link w:val="Heading1"/>
    <w:uiPriority w:val="9"/>
    <w:rsid w:val="00F530CE"/>
    <w:rPr>
      <w:rFonts w:ascii="Times New Roman" w:eastAsiaTheme="majorEastAsia" w:hAnsi="Times New Roman" w:cstheme="majorBidi"/>
      <w:b/>
      <w:szCs w:val="32"/>
    </w:rPr>
  </w:style>
  <w:style w:type="character" w:customStyle="1" w:styleId="AbstractChar">
    <w:name w:val="Abstract Char"/>
    <w:basedOn w:val="DefaultParagraphFont"/>
    <w:link w:val="Abstract"/>
    <w:rsid w:val="00F530CE"/>
  </w:style>
  <w:style w:type="paragraph" w:customStyle="1" w:styleId="BudgetTimelineHeading">
    <w:name w:val="Budget/Timeline Heading"/>
    <w:basedOn w:val="Normal"/>
    <w:link w:val="BudgetTimelineHeadingChar"/>
    <w:qFormat/>
    <w:rsid w:val="00F530CE"/>
    <w:pPr>
      <w:spacing w:after="160" w:line="259" w:lineRule="auto"/>
      <w:jc w:val="center"/>
    </w:pPr>
    <w:rPr>
      <w:b/>
      <w:sz w:val="22"/>
      <w:szCs w:val="22"/>
    </w:rPr>
  </w:style>
  <w:style w:type="paragraph" w:styleId="ListParagraph">
    <w:name w:val="List Paragraph"/>
    <w:basedOn w:val="Normal"/>
    <w:uiPriority w:val="34"/>
    <w:qFormat/>
    <w:rsid w:val="00F530CE"/>
    <w:pPr>
      <w:spacing w:after="160" w:line="259" w:lineRule="auto"/>
      <w:ind w:left="720"/>
      <w:contextualSpacing/>
      <w:jc w:val="both"/>
    </w:pPr>
    <w:rPr>
      <w:sz w:val="22"/>
      <w:szCs w:val="22"/>
    </w:rPr>
  </w:style>
  <w:style w:type="character" w:customStyle="1" w:styleId="BudgetTimelineHeadingChar">
    <w:name w:val="Budget/Timeline Heading Char"/>
    <w:basedOn w:val="DefaultParagraphFont"/>
    <w:link w:val="BudgetTimelineHeading"/>
    <w:rsid w:val="00F530CE"/>
    <w:rPr>
      <w:rFonts w:ascii="Times New Roman" w:hAnsi="Times New Roman"/>
      <w:b/>
    </w:rPr>
  </w:style>
  <w:style w:type="table" w:styleId="TableGrid">
    <w:name w:val="Table Grid"/>
    <w:basedOn w:val="TableNormal"/>
    <w:uiPriority w:val="39"/>
    <w:rsid w:val="006B3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7F9E"/>
    <w:pPr>
      <w:spacing w:after="200"/>
      <w:jc w:val="both"/>
    </w:pPr>
    <w:rPr>
      <w:i/>
      <w:iCs/>
      <w:color w:val="44546A" w:themeColor="text2"/>
      <w:sz w:val="18"/>
      <w:szCs w:val="18"/>
    </w:rPr>
  </w:style>
  <w:style w:type="paragraph" w:customStyle="1" w:styleId="References">
    <w:name w:val="References"/>
    <w:basedOn w:val="Heading1"/>
    <w:link w:val="ReferencesChar"/>
    <w:qFormat/>
    <w:rsid w:val="00DD7F9E"/>
    <w:rPr>
      <w:sz w:val="18"/>
    </w:rPr>
  </w:style>
  <w:style w:type="character" w:customStyle="1" w:styleId="ReferencesChar">
    <w:name w:val="References Char"/>
    <w:basedOn w:val="Heading1Char"/>
    <w:link w:val="References"/>
    <w:rsid w:val="00DD7F9E"/>
    <w:rPr>
      <w:rFonts w:ascii="Times New Roman" w:eastAsiaTheme="majorEastAsia" w:hAnsi="Times New Roman" w:cstheme="majorBidi"/>
      <w:b/>
      <w:sz w:val="18"/>
      <w:szCs w:val="32"/>
    </w:rPr>
  </w:style>
  <w:style w:type="paragraph" w:styleId="Subtitle">
    <w:name w:val="Subtitle"/>
    <w:basedOn w:val="Normal"/>
    <w:next w:val="Normal"/>
    <w:pPr>
      <w:keepNext/>
      <w:keepLines/>
      <w:spacing w:before="360" w:after="80" w:line="259"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8654EE"/>
    <w:rPr>
      <w:color w:val="0563C1" w:themeColor="hyperlink"/>
      <w:u w:val="single"/>
    </w:rPr>
  </w:style>
  <w:style w:type="character" w:styleId="UnresolvedMention">
    <w:name w:val="Unresolved Mention"/>
    <w:basedOn w:val="DefaultParagraphFont"/>
    <w:uiPriority w:val="99"/>
    <w:semiHidden/>
    <w:unhideWhenUsed/>
    <w:rsid w:val="008654EE"/>
    <w:rPr>
      <w:color w:val="605E5C"/>
      <w:shd w:val="clear" w:color="auto" w:fill="E1DFDD"/>
    </w:rPr>
  </w:style>
  <w:style w:type="character" w:styleId="FollowedHyperlink">
    <w:name w:val="FollowedHyperlink"/>
    <w:basedOn w:val="DefaultParagraphFont"/>
    <w:uiPriority w:val="99"/>
    <w:semiHidden/>
    <w:unhideWhenUsed/>
    <w:rsid w:val="008654EE"/>
    <w:rPr>
      <w:color w:val="954F72" w:themeColor="followedHyperlink"/>
      <w:u w:val="single"/>
    </w:rPr>
  </w:style>
  <w:style w:type="paragraph" w:styleId="Bibliography">
    <w:name w:val="Bibliography"/>
    <w:basedOn w:val="Normal"/>
    <w:next w:val="Normal"/>
    <w:uiPriority w:val="37"/>
    <w:unhideWhenUsed/>
    <w:rsid w:val="00D37D30"/>
    <w:pPr>
      <w:tabs>
        <w:tab w:val="left" w:pos="380"/>
        <w:tab w:val="left" w:pos="500"/>
      </w:tabs>
      <w:spacing w:after="240"/>
      <w:ind w:left="504" w:hanging="504"/>
      <w:jc w:val="both"/>
    </w:pPr>
    <w:rPr>
      <w:sz w:val="22"/>
      <w:szCs w:val="22"/>
    </w:rPr>
  </w:style>
  <w:style w:type="paragraph" w:styleId="Revision">
    <w:name w:val="Revision"/>
    <w:hidden/>
    <w:uiPriority w:val="99"/>
    <w:semiHidden/>
    <w:rsid w:val="000B7A49"/>
    <w:pPr>
      <w:spacing w:after="0" w:line="240" w:lineRule="auto"/>
      <w:jc w:val="left"/>
    </w:pPr>
    <w:rPr>
      <w:sz w:val="24"/>
      <w:szCs w:val="24"/>
    </w:rPr>
  </w:style>
  <w:style w:type="character" w:styleId="CommentReference">
    <w:name w:val="annotation reference"/>
    <w:basedOn w:val="DefaultParagraphFont"/>
    <w:uiPriority w:val="99"/>
    <w:semiHidden/>
    <w:unhideWhenUsed/>
    <w:rsid w:val="000B7A49"/>
    <w:rPr>
      <w:sz w:val="16"/>
      <w:szCs w:val="16"/>
    </w:rPr>
  </w:style>
  <w:style w:type="paragraph" w:styleId="CommentText">
    <w:name w:val="annotation text"/>
    <w:basedOn w:val="Normal"/>
    <w:link w:val="CommentTextChar"/>
    <w:uiPriority w:val="99"/>
    <w:semiHidden/>
    <w:unhideWhenUsed/>
    <w:rsid w:val="000B7A49"/>
    <w:rPr>
      <w:sz w:val="20"/>
      <w:szCs w:val="20"/>
    </w:rPr>
  </w:style>
  <w:style w:type="character" w:customStyle="1" w:styleId="CommentTextChar">
    <w:name w:val="Comment Text Char"/>
    <w:basedOn w:val="DefaultParagraphFont"/>
    <w:link w:val="CommentText"/>
    <w:uiPriority w:val="99"/>
    <w:semiHidden/>
    <w:rsid w:val="000B7A49"/>
    <w:rPr>
      <w:sz w:val="20"/>
      <w:szCs w:val="20"/>
    </w:rPr>
  </w:style>
  <w:style w:type="paragraph" w:styleId="CommentSubject">
    <w:name w:val="annotation subject"/>
    <w:basedOn w:val="CommentText"/>
    <w:next w:val="CommentText"/>
    <w:link w:val="CommentSubjectChar"/>
    <w:uiPriority w:val="99"/>
    <w:semiHidden/>
    <w:unhideWhenUsed/>
    <w:rsid w:val="000B7A49"/>
    <w:rPr>
      <w:b/>
      <w:bCs/>
    </w:rPr>
  </w:style>
  <w:style w:type="character" w:customStyle="1" w:styleId="CommentSubjectChar">
    <w:name w:val="Comment Subject Char"/>
    <w:basedOn w:val="CommentTextChar"/>
    <w:link w:val="CommentSubject"/>
    <w:uiPriority w:val="99"/>
    <w:semiHidden/>
    <w:rsid w:val="000B7A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0440">
      <w:bodyDiv w:val="1"/>
      <w:marLeft w:val="0"/>
      <w:marRight w:val="0"/>
      <w:marTop w:val="0"/>
      <w:marBottom w:val="0"/>
      <w:divBdr>
        <w:top w:val="none" w:sz="0" w:space="0" w:color="auto"/>
        <w:left w:val="none" w:sz="0" w:space="0" w:color="auto"/>
        <w:bottom w:val="none" w:sz="0" w:space="0" w:color="auto"/>
        <w:right w:val="none" w:sz="0" w:space="0" w:color="auto"/>
      </w:divBdr>
    </w:div>
    <w:div w:id="655378816">
      <w:bodyDiv w:val="1"/>
      <w:marLeft w:val="0"/>
      <w:marRight w:val="0"/>
      <w:marTop w:val="0"/>
      <w:marBottom w:val="0"/>
      <w:divBdr>
        <w:top w:val="none" w:sz="0" w:space="0" w:color="auto"/>
        <w:left w:val="none" w:sz="0" w:space="0" w:color="auto"/>
        <w:bottom w:val="none" w:sz="0" w:space="0" w:color="auto"/>
        <w:right w:val="none" w:sz="0" w:space="0" w:color="auto"/>
      </w:divBdr>
    </w:div>
    <w:div w:id="770468036">
      <w:bodyDiv w:val="1"/>
      <w:marLeft w:val="0"/>
      <w:marRight w:val="0"/>
      <w:marTop w:val="0"/>
      <w:marBottom w:val="0"/>
      <w:divBdr>
        <w:top w:val="none" w:sz="0" w:space="0" w:color="auto"/>
        <w:left w:val="none" w:sz="0" w:space="0" w:color="auto"/>
        <w:bottom w:val="none" w:sz="0" w:space="0" w:color="auto"/>
        <w:right w:val="none" w:sz="0" w:space="0" w:color="auto"/>
      </w:divBdr>
    </w:div>
    <w:div w:id="827673324">
      <w:bodyDiv w:val="1"/>
      <w:marLeft w:val="0"/>
      <w:marRight w:val="0"/>
      <w:marTop w:val="0"/>
      <w:marBottom w:val="0"/>
      <w:divBdr>
        <w:top w:val="none" w:sz="0" w:space="0" w:color="auto"/>
        <w:left w:val="none" w:sz="0" w:space="0" w:color="auto"/>
        <w:bottom w:val="none" w:sz="0" w:space="0" w:color="auto"/>
        <w:right w:val="none" w:sz="0" w:space="0" w:color="auto"/>
      </w:divBdr>
    </w:div>
    <w:div w:id="935359470">
      <w:bodyDiv w:val="1"/>
      <w:marLeft w:val="0"/>
      <w:marRight w:val="0"/>
      <w:marTop w:val="0"/>
      <w:marBottom w:val="0"/>
      <w:divBdr>
        <w:top w:val="none" w:sz="0" w:space="0" w:color="auto"/>
        <w:left w:val="none" w:sz="0" w:space="0" w:color="auto"/>
        <w:bottom w:val="none" w:sz="0" w:space="0" w:color="auto"/>
        <w:right w:val="none" w:sz="0" w:space="0" w:color="auto"/>
      </w:divBdr>
    </w:div>
    <w:div w:id="1057165754">
      <w:bodyDiv w:val="1"/>
      <w:marLeft w:val="0"/>
      <w:marRight w:val="0"/>
      <w:marTop w:val="0"/>
      <w:marBottom w:val="0"/>
      <w:divBdr>
        <w:top w:val="none" w:sz="0" w:space="0" w:color="auto"/>
        <w:left w:val="none" w:sz="0" w:space="0" w:color="auto"/>
        <w:bottom w:val="none" w:sz="0" w:space="0" w:color="auto"/>
        <w:right w:val="none" w:sz="0" w:space="0" w:color="auto"/>
      </w:divBdr>
    </w:div>
    <w:div w:id="1215460351">
      <w:bodyDiv w:val="1"/>
      <w:marLeft w:val="0"/>
      <w:marRight w:val="0"/>
      <w:marTop w:val="0"/>
      <w:marBottom w:val="0"/>
      <w:divBdr>
        <w:top w:val="none" w:sz="0" w:space="0" w:color="auto"/>
        <w:left w:val="none" w:sz="0" w:space="0" w:color="auto"/>
        <w:bottom w:val="none" w:sz="0" w:space="0" w:color="auto"/>
        <w:right w:val="none" w:sz="0" w:space="0" w:color="auto"/>
      </w:divBdr>
    </w:div>
    <w:div w:id="1327437272">
      <w:bodyDiv w:val="1"/>
      <w:marLeft w:val="0"/>
      <w:marRight w:val="0"/>
      <w:marTop w:val="0"/>
      <w:marBottom w:val="0"/>
      <w:divBdr>
        <w:top w:val="none" w:sz="0" w:space="0" w:color="auto"/>
        <w:left w:val="none" w:sz="0" w:space="0" w:color="auto"/>
        <w:bottom w:val="none" w:sz="0" w:space="0" w:color="auto"/>
        <w:right w:val="none" w:sz="0" w:space="0" w:color="auto"/>
      </w:divBdr>
    </w:div>
    <w:div w:id="1444039030">
      <w:bodyDiv w:val="1"/>
      <w:marLeft w:val="0"/>
      <w:marRight w:val="0"/>
      <w:marTop w:val="0"/>
      <w:marBottom w:val="0"/>
      <w:divBdr>
        <w:top w:val="none" w:sz="0" w:space="0" w:color="auto"/>
        <w:left w:val="none" w:sz="0" w:space="0" w:color="auto"/>
        <w:bottom w:val="none" w:sz="0" w:space="0" w:color="auto"/>
        <w:right w:val="none" w:sz="0" w:space="0" w:color="auto"/>
      </w:divBdr>
    </w:div>
    <w:div w:id="1539970740">
      <w:bodyDiv w:val="1"/>
      <w:marLeft w:val="0"/>
      <w:marRight w:val="0"/>
      <w:marTop w:val="0"/>
      <w:marBottom w:val="0"/>
      <w:divBdr>
        <w:top w:val="none" w:sz="0" w:space="0" w:color="auto"/>
        <w:left w:val="none" w:sz="0" w:space="0" w:color="auto"/>
        <w:bottom w:val="none" w:sz="0" w:space="0" w:color="auto"/>
        <w:right w:val="none" w:sz="0" w:space="0" w:color="auto"/>
      </w:divBdr>
    </w:div>
    <w:div w:id="1780642617">
      <w:bodyDiv w:val="1"/>
      <w:marLeft w:val="0"/>
      <w:marRight w:val="0"/>
      <w:marTop w:val="0"/>
      <w:marBottom w:val="0"/>
      <w:divBdr>
        <w:top w:val="none" w:sz="0" w:space="0" w:color="auto"/>
        <w:left w:val="none" w:sz="0" w:space="0" w:color="auto"/>
        <w:bottom w:val="none" w:sz="0" w:space="0" w:color="auto"/>
        <w:right w:val="none" w:sz="0" w:space="0" w:color="auto"/>
      </w:divBdr>
    </w:div>
    <w:div w:id="1800800092">
      <w:bodyDiv w:val="1"/>
      <w:marLeft w:val="0"/>
      <w:marRight w:val="0"/>
      <w:marTop w:val="0"/>
      <w:marBottom w:val="0"/>
      <w:divBdr>
        <w:top w:val="none" w:sz="0" w:space="0" w:color="auto"/>
        <w:left w:val="none" w:sz="0" w:space="0" w:color="auto"/>
        <w:bottom w:val="none" w:sz="0" w:space="0" w:color="auto"/>
        <w:right w:val="none" w:sz="0" w:space="0" w:color="auto"/>
      </w:divBdr>
    </w:div>
    <w:div w:id="1837500351">
      <w:bodyDiv w:val="1"/>
      <w:marLeft w:val="0"/>
      <w:marRight w:val="0"/>
      <w:marTop w:val="0"/>
      <w:marBottom w:val="0"/>
      <w:divBdr>
        <w:top w:val="none" w:sz="0" w:space="0" w:color="auto"/>
        <w:left w:val="none" w:sz="0" w:space="0" w:color="auto"/>
        <w:bottom w:val="none" w:sz="0" w:space="0" w:color="auto"/>
        <w:right w:val="none" w:sz="0" w:space="0" w:color="auto"/>
      </w:divBdr>
    </w:div>
    <w:div w:id="198045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mazon.com/VERONES-Canning-Wedding-Favors-Shower/dp/B07LD6XPBB/ref=sr_1_1?crid=36XP999SVE5DX&amp;dchild=1&amp;keywords=6%2Boz%2Bcanning%2Bjars&amp;qid=1623277670&amp;sprefix=6%2Boz%2Bcann%2Caps%2C513&amp;sr=8-1&amp;th=1"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LB9rT7mXOZ8CfcbFk0s+KOQJRg==">AMUW2mV5tmO5d8GHHgvZjX0u/3wUlaL4k6bQgHeLtkMrojlcZH+AYOwaYpTOcISZNYvV54gXmoc+aCS6XWqk881Avc+UwMu+l/P1inq+H2TBxXXXCVeZvLeIg7wMuKsFcVtSps1o/MhX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5337</Words>
  <Characters>30426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Nave</dc:creator>
  <cp:lastModifiedBy>Abby Lewis</cp:lastModifiedBy>
  <cp:revision>3</cp:revision>
  <dcterms:created xsi:type="dcterms:W3CDTF">2021-09-30T15:15:00Z</dcterms:created>
  <dcterms:modified xsi:type="dcterms:W3CDTF">2021-09-30T15:29:00Z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id="cu8YiaPg"/&gt;&lt;style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