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834F" w14:textId="77777777" w:rsidR="007857CC" w:rsidRDefault="007857CC" w:rsidP="007857CC">
      <w:pPr>
        <w:spacing w:after="120"/>
        <w:rPr>
          <w:rFonts w:ascii="Times New Roman" w:hAnsi="Times New Roman" w:cs="Times New Roman"/>
          <w:i/>
          <w:iCs/>
        </w:rPr>
      </w:pPr>
      <w:r w:rsidRPr="00334BA4">
        <w:rPr>
          <w:rFonts w:ascii="Times New Roman" w:hAnsi="Times New Roman" w:cs="Times New Roman"/>
        </w:rPr>
        <w:t xml:space="preserve">Lewis, A. S. L., W. M. </w:t>
      </w:r>
      <w:proofErr w:type="spellStart"/>
      <w:r w:rsidRPr="00334BA4">
        <w:rPr>
          <w:rFonts w:ascii="Times New Roman" w:hAnsi="Times New Roman" w:cs="Times New Roman"/>
        </w:rPr>
        <w:t>Woelmer</w:t>
      </w:r>
      <w:proofErr w:type="spellEnd"/>
      <w:r w:rsidRPr="00334BA4">
        <w:rPr>
          <w:rFonts w:ascii="Times New Roman" w:hAnsi="Times New Roman" w:cs="Times New Roman"/>
        </w:rPr>
        <w:t xml:space="preserve">, H. L. Wander, D. W. Howard, J. W. Smith, R. P. McClure, M. E. Lofton, N. W. Hammond, R. S. Corrigan, R. Q. Thomas, </w:t>
      </w:r>
      <w:r>
        <w:rPr>
          <w:rFonts w:ascii="Times New Roman" w:hAnsi="Times New Roman" w:cs="Times New Roman"/>
        </w:rPr>
        <w:t xml:space="preserve">and </w:t>
      </w:r>
      <w:r w:rsidRPr="00334BA4">
        <w:rPr>
          <w:rFonts w:ascii="Times New Roman" w:hAnsi="Times New Roman" w:cs="Times New Roman"/>
        </w:rPr>
        <w:t xml:space="preserve">C. C. Carey. 2021. Increased adoption of best practices in ecological forecasting enables comparisons of forecastability. </w:t>
      </w:r>
      <w:r w:rsidRPr="00334BA4">
        <w:rPr>
          <w:rFonts w:ascii="Times New Roman" w:hAnsi="Times New Roman" w:cs="Times New Roman"/>
          <w:i/>
          <w:iCs/>
        </w:rPr>
        <w:t>Ecological Applications.</w:t>
      </w:r>
    </w:p>
    <w:p w14:paraId="7A6350AD" w14:textId="77777777" w:rsidR="007857CC" w:rsidRDefault="007857CC" w:rsidP="003E66D0">
      <w:pPr>
        <w:rPr>
          <w:rFonts w:ascii="Times New Roman" w:eastAsia="Times New Roman" w:hAnsi="Times New Roman" w:cs="Times New Roman"/>
          <w:color w:val="222222"/>
        </w:rPr>
      </w:pPr>
    </w:p>
    <w:p w14:paraId="4F1AFB07" w14:textId="77777777" w:rsidR="007857CC" w:rsidRPr="007857CC" w:rsidRDefault="007857CC" w:rsidP="003E66D0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7857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Appendix S1: Table of best practices referenced in previous publications</w:t>
      </w:r>
    </w:p>
    <w:p w14:paraId="591D10E3" w14:textId="77777777" w:rsidR="007857CC" w:rsidRDefault="007857CC" w:rsidP="003E66D0">
      <w:pPr>
        <w:rPr>
          <w:rFonts w:ascii="Times New Roman" w:eastAsia="Times New Roman" w:hAnsi="Times New Roman" w:cs="Times New Roman"/>
          <w:color w:val="222222"/>
        </w:rPr>
      </w:pPr>
    </w:p>
    <w:p w14:paraId="4B1DAA08" w14:textId="2C988F4C" w:rsidR="003E66D0" w:rsidRDefault="003E66D0" w:rsidP="003E66D0">
      <w:pPr>
        <w:rPr>
          <w:rFonts w:ascii="Times New Roman" w:eastAsia="Times New Roman" w:hAnsi="Times New Roman" w:cs="Times New Roman"/>
          <w:color w:val="222222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Table </w:t>
      </w:r>
      <w:r w:rsidR="008E0C75">
        <w:rPr>
          <w:rFonts w:ascii="Times New Roman" w:eastAsia="Times New Roman" w:hAnsi="Times New Roman" w:cs="Times New Roman"/>
          <w:color w:val="222222"/>
        </w:rPr>
        <w:t>S</w:t>
      </w:r>
      <w:r w:rsidRPr="003E66D0">
        <w:rPr>
          <w:rFonts w:ascii="Times New Roman" w:eastAsia="Times New Roman" w:hAnsi="Times New Roman" w:cs="Times New Roman"/>
          <w:color w:val="222222"/>
        </w:rPr>
        <w:t xml:space="preserve">1: Proposed best practices for ecological forecasting. Each column lists the practices </w:t>
      </w:r>
      <w:r w:rsidR="005740E5">
        <w:rPr>
          <w:rFonts w:ascii="Times New Roman" w:eastAsia="Times New Roman" w:hAnsi="Times New Roman" w:cs="Times New Roman"/>
          <w:color w:val="222222"/>
        </w:rPr>
        <w:t>that are specifically outlined</w:t>
      </w:r>
      <w:r w:rsidRPr="003E66D0">
        <w:rPr>
          <w:rFonts w:ascii="Times New Roman" w:eastAsia="Times New Roman" w:hAnsi="Times New Roman" w:cs="Times New Roman"/>
          <w:color w:val="222222"/>
        </w:rPr>
        <w:t xml:space="preserve"> in a given paper</w:t>
      </w:r>
      <w:r w:rsidR="005740E5">
        <w:rPr>
          <w:rFonts w:ascii="Times New Roman" w:eastAsia="Times New Roman" w:hAnsi="Times New Roman" w:cs="Times New Roman"/>
          <w:color w:val="222222"/>
        </w:rPr>
        <w:t xml:space="preserve">, and practices are aligned into rows with the same or similar proposed practices. </w:t>
      </w:r>
      <w:r w:rsidR="00416B1C">
        <w:rPr>
          <w:rFonts w:ascii="Times New Roman" w:eastAsia="Times New Roman" w:hAnsi="Times New Roman" w:cs="Times New Roman"/>
          <w:color w:val="222222"/>
        </w:rPr>
        <w:t xml:space="preserve">We note that White et al. (2019) synthesized many of the best practices mentioned by </w:t>
      </w:r>
      <w:proofErr w:type="spellStart"/>
      <w:r w:rsidR="005740E5">
        <w:rPr>
          <w:rFonts w:ascii="Times New Roman" w:eastAsia="Times New Roman" w:hAnsi="Times New Roman" w:cs="Times New Roman"/>
          <w:color w:val="222222"/>
        </w:rPr>
        <w:t>Dietze</w:t>
      </w:r>
      <w:proofErr w:type="spellEnd"/>
      <w:r w:rsidR="005740E5">
        <w:rPr>
          <w:rFonts w:ascii="Times New Roman" w:eastAsia="Times New Roman" w:hAnsi="Times New Roman" w:cs="Times New Roman"/>
          <w:color w:val="222222"/>
        </w:rPr>
        <w:t xml:space="preserve"> et al. (2018)</w:t>
      </w:r>
      <w:r w:rsidR="00416B1C">
        <w:rPr>
          <w:rFonts w:ascii="Times New Roman" w:eastAsia="Times New Roman" w:hAnsi="Times New Roman" w:cs="Times New Roman"/>
          <w:color w:val="222222"/>
        </w:rPr>
        <w:t xml:space="preserve">. The </w:t>
      </w:r>
      <w:proofErr w:type="spellStart"/>
      <w:r w:rsidR="00416B1C">
        <w:rPr>
          <w:rFonts w:ascii="Times New Roman" w:eastAsia="Times New Roman" w:hAnsi="Times New Roman" w:cs="Times New Roman"/>
          <w:color w:val="222222"/>
        </w:rPr>
        <w:t>Dietze</w:t>
      </w:r>
      <w:proofErr w:type="spellEnd"/>
      <w:r w:rsidR="00416B1C">
        <w:rPr>
          <w:rFonts w:ascii="Times New Roman" w:eastAsia="Times New Roman" w:hAnsi="Times New Roman" w:cs="Times New Roman"/>
          <w:color w:val="222222"/>
        </w:rPr>
        <w:t xml:space="preserve"> et al. (2018) paper is not included here because it did not provide a defined list of practices (as provided by the four other papers in this table). </w:t>
      </w:r>
    </w:p>
    <w:p w14:paraId="4C10DF61" w14:textId="77777777" w:rsidR="007857CC" w:rsidRPr="003E66D0" w:rsidRDefault="007857CC" w:rsidP="003E66D0">
      <w:pPr>
        <w:rPr>
          <w:rFonts w:ascii="Times New Roman" w:eastAsia="Times New Roman" w:hAnsi="Times New Roman" w:cs="Times New Roman"/>
        </w:rPr>
      </w:pPr>
    </w:p>
    <w:tbl>
      <w:tblPr>
        <w:tblW w:w="129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320"/>
        <w:gridCol w:w="2307"/>
        <w:gridCol w:w="2324"/>
        <w:gridCol w:w="2325"/>
        <w:gridCol w:w="2355"/>
      </w:tblGrid>
      <w:tr w:rsidR="00C919FF" w:rsidRPr="003E66D0" w14:paraId="19E7CDC3" w14:textId="77777777" w:rsidTr="00C919FF">
        <w:tc>
          <w:tcPr>
            <w:tcW w:w="1347" w:type="dxa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14:paraId="3E566A5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B79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This manuscript</w:t>
            </w:r>
          </w:p>
          <w:p w14:paraId="2BA10A5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6B58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Harris et al. (2018)</w:t>
            </w:r>
          </w:p>
          <w:p w14:paraId="6E3FA50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0B31" w14:textId="0C3CFC84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White et al. (201</w:t>
            </w:r>
            <w:r w:rsidR="0057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) </w:t>
            </w:r>
          </w:p>
          <w:p w14:paraId="5536091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198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Hobday et al. (2019)</w:t>
            </w:r>
          </w:p>
          <w:p w14:paraId="4C6B6B5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E3B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Carey et al. (2021)</w:t>
            </w:r>
          </w:p>
        </w:tc>
      </w:tr>
      <w:tr w:rsidR="00C919FF" w:rsidRPr="003E66D0" w14:paraId="1A8EE6E8" w14:textId="77777777" w:rsidTr="00C919FF">
        <w:tc>
          <w:tcPr>
            <w:tcW w:w="1347" w:type="dxa"/>
            <w:tcBorders>
              <w:top w:val="nil"/>
              <w:bottom w:val="nil"/>
              <w:right w:val="single" w:sz="2" w:space="0" w:color="auto"/>
            </w:tcBorders>
          </w:tcPr>
          <w:p w14:paraId="6CCD6E3B" w14:textId="77777777" w:rsidR="007857CC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Title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B6B6" w14:textId="77777777" w:rsidR="007857CC" w:rsidRPr="003E66D0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919FF">
              <w:rPr>
                <w:rFonts w:ascii="Times New Roman" w:eastAsia="Times New Roman" w:hAnsi="Times New Roman" w:cs="Times New Roman"/>
                <w:color w:val="000000"/>
              </w:rPr>
              <w:t>Increased adoption of best practices in ecological forecasting enables comparisons of forecastabilit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1F89" w14:textId="77777777" w:rsidR="007857CC" w:rsidRPr="003E66D0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Forecasting biodiversity in breeding birds using best practices.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A62F" w14:textId="26FE5B2B" w:rsidR="007857CC" w:rsidRPr="003E66D0" w:rsidRDefault="00416B1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222222"/>
              </w:rPr>
              <w:t>Developing an automated iterative near-term forecasting system for an ecological study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23A2" w14:textId="77777777" w:rsidR="007857CC" w:rsidRPr="003E66D0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Ethical considerations and unanticipated consequences associated with ecological forecasting for marine resources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A711" w14:textId="77777777" w:rsidR="007857CC" w:rsidRPr="003E66D0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Advancing lake and reservoir water quality management with near-term, iterative ecological forecasting</w:t>
            </w:r>
          </w:p>
        </w:tc>
      </w:tr>
      <w:tr w:rsidR="00C919FF" w:rsidRPr="003E66D0" w14:paraId="15705786" w14:textId="77777777" w:rsidTr="00C919FF">
        <w:tc>
          <w:tcPr>
            <w:tcW w:w="1347" w:type="dxa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14:paraId="773D20CE" w14:textId="77777777" w:rsidR="007857CC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667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Proposed best practices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9EC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Best practices for making and evaluating ecological forecasts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E188" w14:textId="1AB000C3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Key practices for automated iterative near-term ecological forecasting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0E0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Principles for ethical forecasting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D4E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Lessons learned from iterative near-term forecasting for management</w:t>
            </w:r>
          </w:p>
        </w:tc>
      </w:tr>
      <w:tr w:rsidR="007857CC" w:rsidRPr="003E66D0" w14:paraId="70E141BA" w14:textId="77777777" w:rsidTr="00C919FF">
        <w:tc>
          <w:tcPr>
            <w:tcW w:w="1347" w:type="dxa"/>
            <w:tcBorders>
              <w:top w:val="single" w:sz="2" w:space="0" w:color="auto"/>
              <w:left w:val="nil"/>
              <w:bottom w:val="nil"/>
            </w:tcBorders>
          </w:tcPr>
          <w:p w14:paraId="11DA77D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238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Include uncertainty</w:t>
            </w: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3191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Pay attention to uncertainty</w:t>
            </w: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6E35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Focus on uncertainty</w:t>
            </w: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8C3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Representation of uncertainty</w:t>
            </w: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434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418C4307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0CA3603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F5B0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Assess and report forecast skill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D9B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Validate using hindcasting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4D22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AEE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Skill assessment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8CF7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4001F9DC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3CF436D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9958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Identify an end user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A1C5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BD0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9685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Engagement and education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D7A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Human-centered design improves the utility of forecasts for managers</w:t>
            </w:r>
          </w:p>
        </w:tc>
      </w:tr>
      <w:tr w:rsidR="007857CC" w:rsidRPr="003E66D0" w14:paraId="565E10C3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6DB3EB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2E65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Make iterative forecasts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BD0A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16FB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7846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Delivery failures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B48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Sustainability plans are needed for short- and long-term forecasting system maintenance</w:t>
            </w:r>
          </w:p>
        </w:tc>
      </w:tr>
      <w:tr w:rsidR="007857CC" w:rsidRPr="003E66D0" w14:paraId="4009E8F2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71B5E1A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DC0B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Automate forecasting workflows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6330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0362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Automated end-to-end reproducibility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999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Ongoing delivery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EF7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Cyberinfrastructure is not trivial</w:t>
            </w:r>
          </w:p>
        </w:tc>
      </w:tr>
      <w:tr w:rsidR="007857CC" w:rsidRPr="003E66D0" w14:paraId="0B3A2682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73A6CA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E2E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Make data available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AFC5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FD31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Rapid data release under open licenses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4E1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59F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Forecasts should be reproducible and archived</w:t>
            </w:r>
          </w:p>
        </w:tc>
      </w:tr>
      <w:tr w:rsidR="007857CC" w:rsidRPr="003E66D0" w14:paraId="0E02748C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0E4118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1731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Archive forecasts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D7C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Publicly archive forecasts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8E37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Publicly archive forecasts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EA6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7F6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Forecasts should be reproducible and archived</w:t>
            </w:r>
          </w:p>
        </w:tc>
      </w:tr>
      <w:tr w:rsidR="007857CC" w:rsidRPr="003E66D0" w14:paraId="6931490A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0F3DDD3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CC2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Use null model comparisons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42A8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multiple modeling approaches (specifically mentions null models)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F4A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forecasts to simple baselines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9D6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EBC0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2E29AA78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2CBEA5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C53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modeling approaches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E99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multiple modeling approaches 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9C0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and combine multiple modelling approaches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C8AC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5123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5480CDC6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0F7D7E2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9A9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D00E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Use time-series data when possible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546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F15F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977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34D8670E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C630B3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1C7C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9B06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Use predictors related to the question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1F1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337E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9F9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2624DFEE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CF65FF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BB4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701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Address unknown or unmeasured predictors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48E9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E790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6541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683E3482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FAF84A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1CB2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273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Include an observation model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9F0E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B7B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AD8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10054B44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357148B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D7D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75B5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Assess how forecast accuracy changes with time-lag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91B4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990B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0E53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6EB720D9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3625279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D05C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898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3577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Frequent data collection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2C0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8BA1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14C55622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02741CA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AA8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D21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F66F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Best practices in data structure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B93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689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570C143A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71861D0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3BA9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AC7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B006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Best practices in software development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D30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E46B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33F1A386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0570D9E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1F4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ED4B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45BF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Support easy inclusion of new models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8A52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0A1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0FAA3950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81B0CD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97B8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1D4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0CC7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1AAF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Conflicts of interest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840C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16D0C8FF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106560D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018F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A191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24A8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BA1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Ecosystem health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DD6A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6CAF4B78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2BB899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82F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1871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9070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05B4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Equity for end users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BBA8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289F88D2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1BEF1BA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ABA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206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D71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9B9F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Unintended consequences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522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5CC2796B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0B50B44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1FC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BCA5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D366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DEBD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Review of performance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1ED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348D7DBD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BB8F13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986D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EB9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272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78D9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0969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Uncertainty partitioning informs forecast interpretation and forecast improvement</w:t>
            </w:r>
          </w:p>
        </w:tc>
      </w:tr>
      <w:tr w:rsidR="007857CC" w:rsidRPr="003E66D0" w14:paraId="23028BA8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331D8AB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33C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DE1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09E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8B70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3B9F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Building and maintaining a forecasting system takes an interdisciplinary, highly coordinated team</w:t>
            </w:r>
          </w:p>
        </w:tc>
      </w:tr>
      <w:tr w:rsidR="00C919FF" w:rsidRPr="003E66D0" w14:paraId="5ACA551E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33B46BB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55AD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F02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BA3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B6F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4721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Let your forecasting goals guide your modeling approach</w:t>
            </w:r>
          </w:p>
        </w:tc>
      </w:tr>
    </w:tbl>
    <w:p w14:paraId="1F30528B" w14:textId="77777777" w:rsidR="003E66D0" w:rsidRPr="003E66D0" w:rsidRDefault="003E66D0" w:rsidP="003E66D0">
      <w:pPr>
        <w:rPr>
          <w:rFonts w:ascii="Times New Roman" w:eastAsia="Times New Roman" w:hAnsi="Times New Roman" w:cs="Times New Roman"/>
        </w:rPr>
      </w:pPr>
    </w:p>
    <w:p w14:paraId="1BDB4E87" w14:textId="77777777" w:rsidR="005740E5" w:rsidRDefault="005740E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br w:type="page"/>
      </w:r>
    </w:p>
    <w:p w14:paraId="47605514" w14:textId="77777777" w:rsidR="003E66D0" w:rsidRPr="004E715A" w:rsidRDefault="003E66D0" w:rsidP="005740E5">
      <w:pPr>
        <w:spacing w:line="480" w:lineRule="auto"/>
        <w:rPr>
          <w:rFonts w:ascii="Times New Roman" w:eastAsia="Times New Roman" w:hAnsi="Times New Roman" w:cs="Times New Roman"/>
          <w:b/>
        </w:rPr>
      </w:pPr>
      <w:r w:rsidRPr="004E715A">
        <w:rPr>
          <w:rFonts w:ascii="Times New Roman" w:eastAsia="Times New Roman" w:hAnsi="Times New Roman" w:cs="Times New Roman"/>
          <w:b/>
          <w:color w:val="222222"/>
        </w:rPr>
        <w:lastRenderedPageBreak/>
        <w:t>References</w:t>
      </w:r>
    </w:p>
    <w:p w14:paraId="55ACB768" w14:textId="77777777" w:rsidR="003E66D0" w:rsidRPr="003E66D0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Carey, C. C., W. M.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Woelmer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M. E. Lofton, R. J.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Figueiredo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B. J.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Bookout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R. S. Corrigan, V.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Daneshmand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A. G.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Hounshell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D. W. Howard, A. S. L. Lewis, R. P. McClure, H. L. Wander, N. K. Ward, and R. Q. Thomas. 2021. Advancing lake and reservoir water quality management with near-term, iterative ecological forecasting. Inland Waters.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doi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>: 10.1080/20442041.2020.1816421</w:t>
      </w:r>
    </w:p>
    <w:p w14:paraId="5E04F422" w14:textId="77777777" w:rsidR="003E66D0" w:rsidRPr="003E66D0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Dietze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M. C., A. Fox, L. M. Beck-Johnson, J. L. Betancourt, M. B. Hooten, C. S.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Jarnevich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T. H.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Keitt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M. A. Kenney, C. M. Laney, L. G. Larsen, H. W.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Loescher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C. K. Lunch, B. C.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Pijanowski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J. T.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Randerson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E. K. Read, A. T.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Tredennick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>, R. Vargas, K. C. Weathers, and E. P. White. 2018. Iterative near-term ecological forecasting: Needs, opportunities, and challenges. Proceedings of the National Academy of Sciences 115:1424–1432.</w:t>
      </w:r>
    </w:p>
    <w:p w14:paraId="7F16B701" w14:textId="77777777" w:rsidR="003E66D0" w:rsidRPr="003E66D0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Harris, D. J., S. D. Taylor, and E. P. White. 2018. Forecasting biodiversity in breeding birds using best practices.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PeerJ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 6:e4278.</w:t>
      </w:r>
    </w:p>
    <w:p w14:paraId="2577AED4" w14:textId="77777777" w:rsidR="003E66D0" w:rsidRPr="003E66D0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Hobday, A. J., J. R. Hartog, J. P.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Manderson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K. E. Mills, M. J. Oliver, A. J. Pershing, and S.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Siedlecki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>. 2019. Ethical considerations and unanticipated consequences associated with ecological forecasting for marine resources. ICES Journal of Marine Science 76:1244–1256.</w:t>
      </w:r>
    </w:p>
    <w:p w14:paraId="7B7AD274" w14:textId="77777777" w:rsidR="004328AE" w:rsidRPr="00C919FF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White, E. P., G. M.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Yenni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S. D. Taylor, E. M. Christensen, E. K. Bledsoe, J. L.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Simonis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>, and S. K. M. Ernest. 2019. Developing an automated iterative near-term forecasting system for an ecological study. Methods in Ecology and Evolution 10:332–344.</w:t>
      </w:r>
    </w:p>
    <w:sectPr w:rsidR="004328AE" w:rsidRPr="00C919FF" w:rsidSect="007857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8D"/>
    <w:rsid w:val="00301425"/>
    <w:rsid w:val="00304A79"/>
    <w:rsid w:val="003E66D0"/>
    <w:rsid w:val="00416B1C"/>
    <w:rsid w:val="004328AE"/>
    <w:rsid w:val="004E715A"/>
    <w:rsid w:val="005740E5"/>
    <w:rsid w:val="007857CC"/>
    <w:rsid w:val="007F4991"/>
    <w:rsid w:val="008E0C75"/>
    <w:rsid w:val="009C459C"/>
    <w:rsid w:val="00C43554"/>
    <w:rsid w:val="00C919FF"/>
    <w:rsid w:val="00F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476F7"/>
  <w15:chartTrackingRefBased/>
  <w15:docId w15:val="{C41902CA-BFAA-964A-AA50-743901DE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6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E7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1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15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15A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1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5A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Lewis</dc:creator>
  <cp:keywords/>
  <dc:description/>
  <cp:lastModifiedBy>Abby Lewis</cp:lastModifiedBy>
  <cp:revision>3</cp:revision>
  <dcterms:created xsi:type="dcterms:W3CDTF">2021-07-09T13:32:00Z</dcterms:created>
  <dcterms:modified xsi:type="dcterms:W3CDTF">2021-07-21T13:31:00Z</dcterms:modified>
</cp:coreProperties>
</file>