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Implementando Padrões de Teste</w:t>
      </w:r>
    </w:p>
    <w:tbl>
      <w:tblPr>
        <w:tblStyle w:val="Table1"/>
        <w:tblW w:w="9360.0" w:type="dxa"/>
        <w:jc w:val="left"/>
        <w:tblInd w:w="-108.0" w:type="dxa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3024"/>
        <w:gridCol w:w="6336"/>
        <w:tblGridChange w:id="0">
          <w:tblGrid>
            <w:gridCol w:w="3024"/>
            <w:gridCol w:w="63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2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4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Testes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2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Implementando Padrões de Teste (Test Patterns)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2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Aluno(a)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Amanda Bueno Campos Peixoto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before="0" w:line="240" w:lineRule="auto"/>
        <w:ind w:left="72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.9999999999990905" w:tblpY="2237.1406249999995"/>
        <w:tblW w:w="9297.0" w:type="dxa"/>
        <w:jc w:val="left"/>
        <w:tblInd w:w="-108.0" w:type="dxa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3099"/>
        <w:gridCol w:w="3099"/>
        <w:gridCol w:w="3099"/>
        <w:tblGridChange w:id="0">
          <w:tblGrid>
            <w:gridCol w:w="3099"/>
            <w:gridCol w:w="3099"/>
            <w:gridCol w:w="30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2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2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2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Papel na suíte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 Mother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__tests__/builders/UserMother.js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Cria usuários padrão e premium com valores previsíveis.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__tests__/builders/CarrinhoBuilder.js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Monta carrinhos flexíveis com usuário e itens específicos para cada cenário.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Stubs e Mocks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__tests__/CheckoutService.test.js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Controlam retornos externos e verificam chamadas importantes.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O objetivo deste trabalho foi construir uma suíte de testes de unidade para o serviço CheckoutService, responsável por processar pedidos de um carrinho de compras. A solução aplicou padrões de teste para criar dados de forma clara, isolar dependências externas e validar tanto o estado retornado quanto as interações relevantes do sistema.Foram implementados o Object Mother para usuários, o Data Builder para carrinhos e Test Doubles com jest.fn() para substituir GatewayPagamento, PedidoRepository e EmailService. Os testes seguem a organização Arrange, Act, Assert, mantendo cada cenário focado em uma regra observável do checkout.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Padrões de criação de dados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Mother para usuários</w:t>
      </w:r>
    </w:p>
    <w:p w:rsidR="00000000" w:rsidDel="00000000" w:rsidP="00000000" w:rsidRDefault="00000000" w:rsidRPr="00000000" w14:paraId="00000019">
      <w:pPr>
        <w:spacing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UserMother foi usado porque User é uma entidade simples, com poucos atributos e variações bem conhecidas. Na suíte, os métodos clientePadrao() e clientePremium() centralizam dados recorrentes, como tipo de usuário e e-mail, evitando repetição nos testes.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24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que CarrinhoBuilder em vez de CarrinhoMother</w:t>
      </w:r>
    </w:p>
    <w:p w:rsidR="00000000" w:rsidDel="00000000" w:rsidP="00000000" w:rsidRDefault="00000000" w:rsidRPr="00000000" w14:paraId="0000001B">
      <w:pPr>
        <w:spacing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O Carrinho é mais variável do que o usuário: pode estar vazio, conter um ou vários itens, pertencer a um cliente padrão ou premium e representar totais diferentes. Se fosse usado um CarrinhoMother, seria necessário criar muitos métodos para cada combinação, como carrinhoPremiumComDoisItens(), carrinhoPadraoVazio() e carrinhoComTotalEspecifico(). Esse crescimento torna o setup mais rígido e difícil de manter.</w:t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jc w:val="both"/>
        <w:rPr/>
      </w:pPr>
      <w:r w:rsidDel="00000000" w:rsidR="00000000" w:rsidRPr="00000000">
        <w:rPr>
          <w:rtl w:val="0"/>
        </w:rPr>
        <w:t xml:space="preserve">Com o CarrinhoBuilder, cada teste declara apenas a diferença importante para o cenário. Os valores padrão ficam no construtor e os métodos fluentes, como comUsuario(), comItens() e vazio(), permitem adaptar o objeto sem esconder a intenção do teste.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240" w:lineRule="auto"/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Antes e depois do Builder</w:t>
      </w:r>
    </w:p>
    <w:p w:rsidR="00000000" w:rsidDel="00000000" w:rsidP="00000000" w:rsidRDefault="00000000" w:rsidRPr="00000000" w14:paraId="0000001E">
      <w:pPr>
        <w:spacing w:line="240" w:lineRule="auto"/>
        <w:ind w:left="1440" w:firstLine="0"/>
        <w:jc w:val="both"/>
        <w:rPr/>
        <w:sectPr>
          <w:headerReference r:id="rId6" w:type="default"/>
          <w:pgSz w:h="16838" w:w="11906" w:orient="portrait"/>
          <w:pgMar w:bottom="1134" w:top="1247" w:left="1304" w:right="1304" w:header="720" w:footer="720"/>
          <w:pgNumType w:start="1"/>
        </w:sectPr>
      </w:pPr>
      <w:r w:rsidDel="00000000" w:rsidR="00000000" w:rsidRPr="00000000">
        <w:rPr>
          <w:rtl w:val="0"/>
        </w:rPr>
        <w:t xml:space="preserve">Antes: setup manual com muitos detalhes que não são o foco do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980.0" w:type="dxa"/>
        <w:jc w:val="left"/>
        <w:tblInd w:w="1265.0" w:type="dxa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b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ind w:left="1417.3228346456694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const user = new User(2, 'Cliente Premium', 'cliente.premium@email.com', 'PREMIUM');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const itens = 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new Item('Teclado', 100),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new Item('Monitor', 200)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const carrinho = new Carrinho(user, itens);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ind w:left="1417.3228346456694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Depois: setup expressivo, concentrado no comportamento que será validado.</w:t>
      </w:r>
      <w:r w:rsidDel="00000000" w:rsidR="00000000" w:rsidRPr="00000000">
        <w:rPr>
          <w:rtl w:val="0"/>
        </w:rPr>
      </w:r>
    </w:p>
    <w:tbl>
      <w:tblPr>
        <w:tblStyle w:val="Table4"/>
        <w:tblW w:w="7980.0" w:type="dxa"/>
        <w:jc w:val="left"/>
        <w:tblInd w:w="1265.0" w:type="dxa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7f9fb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ind w:left="1417.3228346456694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const carrinho = new CarrinhoBuilder()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.comUsuario(UserMother.clientePremium())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.comItens([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{ nome: 'Teclado', preco: 100 },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    { nome: 'Monitor', preco: 200 }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])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    .build();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40" w:lineRule="auto"/>
        <w:ind w:left="1417.3228346456694" w:firstLine="0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versão com Builder melhora a legibilidade porque remove ruído de construção e deixa explícito que o cenário importante é um cliente premium com R$300,00 em itens. Também melhora a manutenção: se a estrutura interna de Carrinho ou Item mudar, a alteração tende a ficar concentrada no Builder, não espalhada por todos os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Doubles: Stubs vs. Mocks</w:t>
      </w:r>
      <w:r w:rsidDel="00000000" w:rsidR="00000000" w:rsidRPr="00000000">
        <w:rPr>
          <w:rtl w:val="0"/>
        </w:rPr>
      </w:r>
    </w:p>
    <w:tbl>
      <w:tblPr>
        <w:tblStyle w:val="Table5"/>
        <w:tblpPr w:leftFromText="0" w:rightFromText="0" w:topFromText="0" w:bottomFromText="113.38582677165356" w:vertAnchor="text" w:horzAnchor="text" w:tblpX="345.99999999999994" w:tblpY="0"/>
        <w:tblW w:w="9296.0" w:type="dxa"/>
        <w:jc w:val="left"/>
        <w:tblInd w:w="-108.0" w:type="dxa"/>
        <w:tblBorders>
          <w:top w:color="b7c9d6" w:space="0" w:sz="6" w:val="single"/>
          <w:left w:color="b7c9d6" w:space="0" w:sz="6" w:val="single"/>
          <w:bottom w:color="b7c9d6" w:space="0" w:sz="6" w:val="single"/>
          <w:right w:color="b7c9d6" w:space="0" w:sz="6" w:val="single"/>
          <w:insideH w:color="b7c9d6" w:space="0" w:sz="6" w:val="single"/>
          <w:insideV w:color="b7c9d6" w:space="0" w:sz="6" w:val="single"/>
        </w:tblBorders>
        <w:tblLayout w:type="fixed"/>
        <w:tblLook w:val="0400"/>
      </w:tblPr>
      <w:tblGrid>
        <w:gridCol w:w="2324"/>
        <w:gridCol w:w="2324"/>
        <w:gridCol w:w="2324"/>
        <w:gridCol w:w="2324"/>
        <w:tblGridChange w:id="0">
          <w:tblGrid>
            <w:gridCol w:w="2324"/>
            <w:gridCol w:w="2324"/>
            <w:gridCol w:w="2324"/>
            <w:gridCol w:w="23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2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2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2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Uso no teste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2f8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de 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Stub + verificação de chamada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Retorna { success: true } para simular pagamento aprovado e recebe o total com desconto.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e comportamento pontual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PedidoRepository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Retorna um pedido salvo com id, evitando qualquer banco de dados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Permite verificar se enviarEmail foi chamado com destinatário, assunto e corpo corretos.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40" w:line="2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No teste de sucesso para cliente premium, as dependências externas do CheckoutService foram substituídas por dublês de teste. A diferença principal está no motivo do uso: Stubs fornecem respostas controladas para permitir que o fluxo avance; Mocks registram chamadas para que o teste verifique interações</w:t>
      </w:r>
    </w:p>
    <w:p w:rsidR="00000000" w:rsidDel="00000000" w:rsidP="00000000" w:rsidRDefault="00000000" w:rsidRPr="00000000" w14:paraId="00000038">
      <w:pPr>
        <w:spacing w:after="120"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GatewayPagamento como Stub</w:t>
      </w:r>
    </w:p>
    <w:p w:rsidR="00000000" w:rsidDel="00000000" w:rsidP="00000000" w:rsidRDefault="00000000" w:rsidRPr="00000000" w14:paraId="00000039">
      <w:pPr>
        <w:spacing w:after="120" w:line="240" w:lineRule="auto"/>
        <w:jc w:val="both"/>
        <w:rPr/>
      </w:pPr>
      <w:r w:rsidDel="00000000" w:rsidR="00000000" w:rsidRPr="00000000">
        <w:rPr>
          <w:rtl w:val="0"/>
        </w:rPr>
        <w:t xml:space="preserve">O GatewayPagamento é principalmente um Stub porque o teste não deve depender de um gateway real nem de qualquer instabilidade externa. Ao configurar cobrar() para retornar { success: true }, o teste controla o fluxo e permite observar a lógica interna do serviço: cálculo do desconto, criação do pedido, salvamento e envio do e-mail.</w:t>
      </w:r>
    </w:p>
    <w:p w:rsidR="00000000" w:rsidDel="00000000" w:rsidP="00000000" w:rsidRDefault="00000000" w:rsidRPr="00000000" w14:paraId="0000003A">
      <w:pPr>
        <w:spacing w:after="120" w:line="240" w:lineRule="auto"/>
        <w:jc w:val="both"/>
        <w:rPr/>
        <w:sectPr>
          <w:type w:val="nextPage"/>
          <w:pgSz w:h="16838" w:w="11906" w:orient="portrait"/>
          <w:pgMar w:bottom="1134" w:top="1247" w:left="1304" w:right="1304" w:header="720" w:footer="720"/>
        </w:sectPr>
      </w:pPr>
      <w:r w:rsidDel="00000000" w:rsidR="00000000" w:rsidRPr="00000000">
        <w:rPr>
          <w:rtl w:val="0"/>
        </w:rPr>
        <w:t xml:space="preserve">No cenário premium também foi verificado que cobrar() recebeu R$270,00 para um carrinho de R$300,00. Essa checagem confirma a regra de 10% de desconto no ponto em que ela realmente impacta a integração com pagamento.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line="240" w:lineRule="auto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3.2 EmailService como Mock</w:t>
      </w:r>
    </w:p>
    <w:p w:rsidR="00000000" w:rsidDel="00000000" w:rsidP="00000000" w:rsidRDefault="00000000" w:rsidRPr="00000000" w14:paraId="0000003C">
      <w:pPr>
        <w:spacing w:after="12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EmailService foi tratado como Mock porque o objetivo do teste não é obter um retorno útil do envio de e-mail, mas verificar o efeito colateral esperado após um pagamento aprovado. Por isso, o teste valida que enviarEmail() foi chamado com o e-mail do usuário, o assunto "Seu Pedido foi Aprovado!" e uma mensagem contendo o id do pedido salvo e o valor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Essa é uma verificação de comportamento: o resultado principal não está no objeto retornado, mas na interação correta com uma dependência externa. Em contrapartida, nos cenários de falha de pagamento, o teste garante que EmailService e PedidoRepository não são chamados, evitando efeitos colaterais indevidos.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line="24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4. Cenários testados e resultado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73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Retorno null quando o GatewayPagamento recusa a cobrança.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73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Pedido salvo com totalFinal correto para cliente padrão.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73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Desconto de 10% aplicado para cliente PREMIUM ao chamar o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173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Envio de e-mail com destinatário, assunto e corpo corretos após pagamento aprovado.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173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Ausência de chamadas ao EmailService e ao PedidoRepository quando o pagamento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validação final foi executada com npm test -- --runInBand. O resultado obtido foi: 1 suíte de testes aprovada, 5 testes aprovados e 0 falhas.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line="24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uso deliberado de padrões de teste ajudou a prevenir Test Smells desde a criação da suíte. O Object Mother reduziu repetição em objetos simples; o Data Builder tornou explícitas as variações relevantes do Carrinho; e os Test Doubles isolaram o CheckoutService de serviços externos. Com isso, os testes ficaram mais legíveis, rápidos, determinísticos e menos frágeis.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separação entre Stubs e Mocks também fortaleceu a intenção de cada teste: quando o foco era o estado final, foram usados retornos controlados; quando o foco era o comportamento, foram verificadas as chamadas realizadas. Essa clareza contribui para uma suíte sustentável, capaz de evoluir junto com o código de produção sem se tornar um obstáculo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manutenção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247" w:left="1304" w:right="130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