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黑体" w:eastAsia="黑体" w:hAnsi="宋体" w:cs="黑体" w:hint="eastAsia"/>
          <w:color w:val="FF0000"/>
          <w:sz w:val="32"/>
          <w:szCs w:val="32"/>
          <w:lang w:eastAsia="zh-CN" w:bidi="ar"/>
        </w:rPr>
        <w:id w:val="962935187"/>
      </w:sdtPr>
      <w:sdtEndPr>
        <w:rPr>
          <w:rFonts w:ascii="Times New Roman" w:eastAsia="宋体" w:hAnsi="Times New Roman" w:cstheme="minorBidi" w:hint="default"/>
          <w:color w:val="auto"/>
          <w:sz w:val="24"/>
          <w:szCs w:val="22"/>
          <w:lang w:eastAsia="en-US" w:bidi="ar-SA"/>
        </w:rPr>
      </w:sdtEndPr>
      <w:sdtContent>
        <w:p w14:paraId="18B264A8" w14:textId="77777777" w:rsidR="00B84757" w:rsidRDefault="00000000">
          <w:pPr>
            <w:spacing w:line="600" w:lineRule="exact"/>
            <w:ind w:right="-94"/>
            <w:rPr>
              <w:rFonts w:ascii="隶书" w:eastAsia="黑体" w:hAnsi="宋体"/>
              <w:sz w:val="32"/>
              <w:szCs w:val="32"/>
              <w:lang w:val="en" w:eastAsia="zh-CN"/>
            </w:rPr>
          </w:pPr>
          <w:r>
            <w:rPr>
              <w:rFonts w:ascii="黑体" w:eastAsia="黑体" w:hAnsi="黑体" w:hint="eastAsia"/>
              <w:sz w:val="32"/>
              <w:szCs w:val="32"/>
              <w:lang w:eastAsia="zh-CN"/>
            </w:rPr>
            <w:t>作品编号：TJJM20260419281026</w:t>
          </w:r>
        </w:p>
        <w:p w14:paraId="0ECC4931" w14:textId="77777777" w:rsidR="00B84757" w:rsidRDefault="00000000">
          <w:pPr>
            <w:spacing w:line="20" w:lineRule="atLeast"/>
            <w:rPr>
              <w:rFonts w:ascii="方正小标宋简体" w:eastAsia="方正小标宋简体" w:hAnsi="等线" w:cs="方正小标宋_GBK"/>
              <w:w w:val="95"/>
              <w:sz w:val="44"/>
              <w:szCs w:val="44"/>
              <w:lang w:eastAsia="zh-CN" w:bidi="ar"/>
            </w:rPr>
          </w:pPr>
          <w:r>
            <w:rPr>
              <w:rFonts w:ascii="方正小标宋简体" w:eastAsia="方正小标宋简体" w:hAnsi="等线" w:cs="方正小标宋_GBK" w:hint="eastAsia"/>
              <w:w w:val="95"/>
              <w:sz w:val="44"/>
              <w:szCs w:val="44"/>
              <w:lang w:eastAsia="zh-CN" w:bidi="ar"/>
            </w:rPr>
            <w:t>2026年（第十二届）全国大学生统计建模大赛</w:t>
          </w:r>
        </w:p>
        <w:p w14:paraId="4E208D34" w14:textId="77777777" w:rsidR="00B84757" w:rsidRDefault="00000000">
          <w:pPr>
            <w:spacing w:line="900" w:lineRule="atLeast"/>
            <w:jc w:val="center"/>
            <w:rPr>
              <w:sz w:val="52"/>
              <w:szCs w:val="52"/>
              <w:lang w:eastAsia="zh-CN"/>
            </w:rPr>
          </w:pPr>
          <w:r>
            <w:rPr>
              <w:rFonts w:ascii="方正小标宋简体" w:eastAsia="方正小标宋简体" w:hAnsi="等线" w:cs="方正小标宋_GBK" w:hint="eastAsia"/>
              <w:sz w:val="52"/>
              <w:szCs w:val="52"/>
              <w:lang w:bidi="ar"/>
            </w:rPr>
            <w:t>参 赛 作 品</w:t>
          </w:r>
        </w:p>
        <w:tbl>
          <w:tblPr>
            <w:tblW w:w="4999" w:type="pct"/>
            <w:jc w:val="center"/>
            <w:tblLook w:val="04A0" w:firstRow="1" w:lastRow="0" w:firstColumn="1" w:lastColumn="0" w:noHBand="0" w:noVBand="1"/>
          </w:tblPr>
          <w:tblGrid>
            <w:gridCol w:w="2159"/>
            <w:gridCol w:w="6485"/>
          </w:tblGrid>
          <w:tr w:rsidR="00B84757" w14:paraId="04D3ACAD" w14:textId="77777777">
            <w:trPr>
              <w:trHeight w:val="1285"/>
              <w:jc w:val="center"/>
            </w:trPr>
            <w:tc>
              <w:tcPr>
                <w:tcW w:w="1249" w:type="pct"/>
                <w:vAlign w:val="center"/>
              </w:tcPr>
              <w:p w14:paraId="51D5EAC4" w14:textId="77777777" w:rsidR="00B84757" w:rsidRDefault="00000000">
                <w:pPr>
                  <w:spacing w:line="240" w:lineRule="auto"/>
                  <w:jc w:val="center"/>
                  <w:textAlignment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lang w:eastAsia="zh-CN"/>
                  </w:rPr>
                  <w:t>参赛学校：</w:t>
                </w:r>
              </w:p>
            </w:tc>
            <w:tc>
              <w:tcPr>
                <w:tcW w:w="3750" w:type="pct"/>
                <w:tcBorders>
                  <w:top w:val="nil"/>
                  <w:left w:val="nil"/>
                  <w:bottom w:val="single" w:sz="12" w:space="0" w:color="auto"/>
                  <w:right w:val="nil"/>
                </w:tcBorders>
                <w:vAlign w:val="center"/>
              </w:tcPr>
              <w:p w14:paraId="169C4A1B" w14:textId="77777777" w:rsidR="00B84757" w:rsidRDefault="00000000">
                <w:pPr>
                  <w:spacing w:line="240" w:lineRule="auto"/>
                  <w:jc w:val="center"/>
                  <w:textAlignment w:val="center"/>
                  <w:rPr>
                    <w:rFonts w:ascii="方正小标宋_GBK" w:eastAsia="方正小标宋_GBK" w:hAnsi="方正小标宋_GBK" w:cs="方正小标宋_GBK"/>
                    <w:bCs/>
                    <w:sz w:val="36"/>
                    <w:szCs w:val="36"/>
                  </w:rPr>
                </w:pPr>
                <w:r>
                  <w:rPr>
                    <w:rFonts w:ascii="仿宋_GB2312" w:eastAsia="仿宋_GB2312" w:hAnsi="仿宋_GB2312" w:cs="仿宋_GB2312" w:hint="eastAsia"/>
                    <w:bCs/>
                    <w:sz w:val="36"/>
                    <w:szCs w:val="36"/>
                    <w:lang w:eastAsia="zh-CN"/>
                  </w:rPr>
                  <w:t>中南林业科技大学</w:t>
                </w:r>
              </w:p>
            </w:tc>
          </w:tr>
          <w:tr w:rsidR="00B84757" w14:paraId="14CB08D9" w14:textId="77777777">
            <w:trPr>
              <w:trHeight w:val="1207"/>
              <w:jc w:val="center"/>
            </w:trPr>
            <w:tc>
              <w:tcPr>
                <w:tcW w:w="1249" w:type="pct"/>
                <w:vAlign w:val="center"/>
              </w:tcPr>
              <w:p w14:paraId="47942B89" w14:textId="77777777" w:rsidR="00B84757" w:rsidRDefault="00000000">
                <w:pPr>
                  <w:spacing w:line="240" w:lineRule="auto"/>
                  <w:jc w:val="center"/>
                  <w:textAlignment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lang w:eastAsia="zh-CN"/>
                  </w:rPr>
                  <w:t>论文题目：</w:t>
                </w:r>
              </w:p>
            </w:tc>
            <w:tc>
              <w:tcPr>
                <w:tcW w:w="3750" w:type="pct"/>
                <w:tcBorders>
                  <w:top w:val="single" w:sz="12" w:space="0" w:color="auto"/>
                  <w:left w:val="nil"/>
                  <w:bottom w:val="single" w:sz="12" w:space="0" w:color="auto"/>
                  <w:right w:val="nil"/>
                </w:tcBorders>
                <w:vAlign w:val="center"/>
              </w:tcPr>
              <w:p w14:paraId="1A56F393" w14:textId="77777777" w:rsidR="00B84757" w:rsidRDefault="00000000">
                <w:pPr>
                  <w:spacing w:line="240" w:lineRule="auto"/>
                  <w:jc w:val="center"/>
                  <w:textAlignment w:val="center"/>
                  <w:rPr>
                    <w:rFonts w:ascii="方正小标宋_GBK" w:eastAsia="方正小标宋_GBK" w:hAnsi="方正小标宋_GBK" w:cs="方正小标宋_GBK"/>
                    <w:bCs/>
                    <w:sz w:val="36"/>
                    <w:szCs w:val="36"/>
                    <w:lang w:eastAsia="zh-CN"/>
                  </w:rPr>
                </w:pPr>
                <w:r>
                  <w:rPr>
                    <w:rFonts w:ascii="仿宋_GB2312" w:eastAsia="仿宋_GB2312" w:hAnsi="仿宋_GB2312" w:cs="仿宋_GB2312"/>
                    <w:bCs/>
                    <w:sz w:val="36"/>
                    <w:szCs w:val="36"/>
                    <w:lang w:eastAsia="zh-CN"/>
                  </w:rPr>
                  <w:t>基于夜间灯光遥感数据的中国省际碳排放效率测度及影响因素研究</w:t>
                </w:r>
              </w:p>
            </w:tc>
          </w:tr>
          <w:tr w:rsidR="00B84757" w14:paraId="22C82FDB" w14:textId="77777777">
            <w:trPr>
              <w:trHeight w:val="1030"/>
              <w:jc w:val="center"/>
            </w:trPr>
            <w:tc>
              <w:tcPr>
                <w:tcW w:w="1249" w:type="pct"/>
                <w:vAlign w:val="center"/>
              </w:tcPr>
              <w:p w14:paraId="4C1F3A62" w14:textId="77777777" w:rsidR="00B84757" w:rsidRDefault="00000000">
                <w:pPr>
                  <w:spacing w:line="240" w:lineRule="auto"/>
                  <w:jc w:val="center"/>
                  <w:textAlignment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lang w:eastAsia="zh-CN"/>
                  </w:rPr>
                  <w:t>参赛队员：</w:t>
                </w:r>
              </w:p>
            </w:tc>
            <w:tc>
              <w:tcPr>
                <w:tcW w:w="3750" w:type="pct"/>
                <w:tcBorders>
                  <w:top w:val="single" w:sz="12" w:space="0" w:color="auto"/>
                  <w:left w:val="nil"/>
                  <w:bottom w:val="single" w:sz="12" w:space="0" w:color="auto"/>
                  <w:right w:val="nil"/>
                </w:tcBorders>
                <w:vAlign w:val="center"/>
              </w:tcPr>
              <w:p w14:paraId="650F9B5D" w14:textId="77777777" w:rsidR="00B84757" w:rsidRDefault="00000000">
                <w:pPr>
                  <w:spacing w:line="240" w:lineRule="auto"/>
                  <w:jc w:val="center"/>
                  <w:textAlignment w:val="center"/>
                  <w:rPr>
                    <w:rFonts w:ascii="宋体" w:hAnsi="宋体" w:cs="宋体"/>
                    <w:bCs/>
                    <w:sz w:val="36"/>
                    <w:szCs w:val="36"/>
                  </w:rPr>
                </w:pPr>
                <w:r>
                  <w:rPr>
                    <w:rFonts w:ascii="仿宋_GB2312" w:eastAsia="仿宋_GB2312" w:hAnsi="仿宋_GB2312" w:cs="仿宋_GB2312" w:hint="eastAsia"/>
                    <w:bCs/>
                    <w:sz w:val="36"/>
                    <w:szCs w:val="36"/>
                    <w:lang w:eastAsia="zh-CN"/>
                  </w:rPr>
                  <w:t>赵静怡 杨诗萤 周子未</w:t>
                </w:r>
              </w:p>
            </w:tc>
          </w:tr>
          <w:tr w:rsidR="00B84757" w14:paraId="219BD5A9" w14:textId="77777777">
            <w:trPr>
              <w:trHeight w:val="1190"/>
              <w:jc w:val="center"/>
            </w:trPr>
            <w:tc>
              <w:tcPr>
                <w:tcW w:w="1249" w:type="pct"/>
                <w:vAlign w:val="center"/>
              </w:tcPr>
              <w:p w14:paraId="74E09BB4" w14:textId="77777777" w:rsidR="00B84757" w:rsidRDefault="00000000">
                <w:pPr>
                  <w:spacing w:line="240" w:lineRule="auto"/>
                  <w:jc w:val="center"/>
                  <w:textAlignment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lang w:eastAsia="zh-CN"/>
                  </w:rPr>
                  <w:t>指导老师：</w:t>
                </w:r>
              </w:p>
            </w:tc>
            <w:tc>
              <w:tcPr>
                <w:tcW w:w="3750" w:type="pct"/>
                <w:tcBorders>
                  <w:top w:val="single" w:sz="12" w:space="0" w:color="auto"/>
                  <w:left w:val="nil"/>
                  <w:bottom w:val="single" w:sz="12" w:space="0" w:color="auto"/>
                  <w:right w:val="nil"/>
                </w:tcBorders>
                <w:vAlign w:val="center"/>
              </w:tcPr>
              <w:p w14:paraId="67C23C9A" w14:textId="77777777" w:rsidR="00B84757" w:rsidRDefault="00000000">
                <w:pPr>
                  <w:spacing w:line="240" w:lineRule="auto"/>
                  <w:jc w:val="center"/>
                  <w:textAlignment w:val="center"/>
                  <w:rPr>
                    <w:rFonts w:ascii="宋体" w:hAnsi="宋体" w:cs="宋体"/>
                    <w:bCs/>
                    <w:sz w:val="36"/>
                    <w:szCs w:val="36"/>
                  </w:rPr>
                </w:pPr>
                <w:r>
                  <w:rPr>
                    <w:rFonts w:ascii="仿宋_GB2312" w:eastAsia="仿宋_GB2312" w:hAnsi="仿宋_GB2312" w:cs="仿宋_GB2312" w:hint="eastAsia"/>
                    <w:bCs/>
                    <w:sz w:val="36"/>
                    <w:szCs w:val="36"/>
                    <w:lang w:eastAsia="zh-CN"/>
                  </w:rPr>
                  <w:t>朱颖芳</w:t>
                </w:r>
              </w:p>
            </w:tc>
          </w:tr>
        </w:tbl>
        <w:p w14:paraId="72607594" w14:textId="77777777" w:rsidR="00B84757" w:rsidRDefault="00000000">
          <w:pPr>
            <w:spacing w:line="276" w:lineRule="auto"/>
          </w:pPr>
          <w:r>
            <w:br w:type="page"/>
          </w:r>
        </w:p>
      </w:sdtContent>
    </w:sdt>
    <w:p w14:paraId="798BB004" w14:textId="77777777" w:rsidR="00B84757" w:rsidRDefault="00000000">
      <w:pPr>
        <w:spacing w:line="480" w:lineRule="exact"/>
        <w:jc w:val="center"/>
        <w:rPr>
          <w:sz w:val="28"/>
          <w:szCs w:val="28"/>
        </w:rPr>
      </w:pPr>
      <w:r>
        <w:rPr>
          <w:rFonts w:eastAsia="黑体"/>
          <w:b/>
          <w:sz w:val="28"/>
          <w:szCs w:val="28"/>
        </w:rPr>
        <w:lastRenderedPageBreak/>
        <w:t>目</w:t>
      </w:r>
      <w:r>
        <w:rPr>
          <w:rFonts w:eastAsia="黑体"/>
          <w:b/>
          <w:sz w:val="28"/>
          <w:szCs w:val="28"/>
        </w:rPr>
        <w:t xml:space="preserve"> </w:t>
      </w:r>
      <w:r>
        <w:rPr>
          <w:rFonts w:eastAsia="黑体"/>
          <w:b/>
          <w:sz w:val="28"/>
          <w:szCs w:val="28"/>
        </w:rPr>
        <w:t>录</w:t>
      </w:r>
    </w:p>
    <w:p w14:paraId="7EEC7007" w14:textId="77777777" w:rsidR="00B84757" w:rsidRDefault="00000000">
      <w:pPr>
        <w:pStyle w:val="TOC1"/>
        <w:tabs>
          <w:tab w:val="right" w:leader="dot" w:pos="8646"/>
        </w:tabs>
      </w:pPr>
      <w:r>
        <w:rPr>
          <w:lang w:eastAsia="zh-CN"/>
        </w:rPr>
        <w:fldChar w:fldCharType="begin"/>
      </w:r>
      <w:r>
        <w:rPr>
          <w:lang w:eastAsia="zh-CN"/>
        </w:rPr>
        <w:instrText xml:space="preserve"> TOC \o "1-3" \h \z \u </w:instrText>
      </w:r>
      <w:r>
        <w:rPr>
          <w:lang w:eastAsia="zh-CN"/>
        </w:rPr>
        <w:fldChar w:fldCharType="separate"/>
      </w:r>
      <w:hyperlink w:anchor="_Toc28946" w:history="1">
        <w:r w:rsidR="00B84757">
          <w:rPr>
            <w:rFonts w:eastAsia="黑体"/>
            <w:szCs w:val="30"/>
            <w:lang w:eastAsia="zh-CN"/>
          </w:rPr>
          <w:t>一、引言</w:t>
        </w:r>
        <w:r w:rsidR="00B84757">
          <w:tab/>
        </w:r>
        <w:r w:rsidR="00B84757">
          <w:fldChar w:fldCharType="begin"/>
        </w:r>
        <w:r w:rsidR="00B84757">
          <w:instrText xml:space="preserve"> PAGEREF _Toc28946 \h </w:instrText>
        </w:r>
        <w:r w:rsidR="00B84757">
          <w:fldChar w:fldCharType="separate"/>
        </w:r>
        <w:r w:rsidR="00B84757">
          <w:t>1</w:t>
        </w:r>
        <w:r w:rsidR="00B84757">
          <w:fldChar w:fldCharType="end"/>
        </w:r>
      </w:hyperlink>
    </w:p>
    <w:p w14:paraId="4F92B002" w14:textId="77777777" w:rsidR="00B84757" w:rsidRDefault="00B84757">
      <w:pPr>
        <w:pStyle w:val="TOC2"/>
        <w:tabs>
          <w:tab w:val="right" w:leader="dot" w:pos="8646"/>
        </w:tabs>
        <w:ind w:left="480"/>
      </w:pPr>
      <w:hyperlink w:anchor="_Toc13232" w:history="1">
        <w:r>
          <w:rPr>
            <w:rFonts w:ascii="楷体" w:eastAsia="楷体" w:hAnsi="楷体"/>
            <w:lang w:eastAsia="zh-CN"/>
          </w:rPr>
          <w:t>（一）研究背景与问题提出</w:t>
        </w:r>
        <w:r>
          <w:tab/>
        </w:r>
        <w:r>
          <w:fldChar w:fldCharType="begin"/>
        </w:r>
        <w:r>
          <w:instrText xml:space="preserve"> PAGEREF _Toc13232 \h </w:instrText>
        </w:r>
        <w:r>
          <w:fldChar w:fldCharType="separate"/>
        </w:r>
        <w:r>
          <w:t>1</w:t>
        </w:r>
        <w:r>
          <w:fldChar w:fldCharType="end"/>
        </w:r>
      </w:hyperlink>
    </w:p>
    <w:p w14:paraId="4977131E" w14:textId="77777777" w:rsidR="00B84757" w:rsidRDefault="00B84757">
      <w:pPr>
        <w:pStyle w:val="TOC2"/>
        <w:tabs>
          <w:tab w:val="right" w:leader="dot" w:pos="8646"/>
        </w:tabs>
        <w:ind w:left="480"/>
      </w:pPr>
      <w:hyperlink w:anchor="_Toc8452" w:history="1">
        <w:r>
          <w:rPr>
            <w:rFonts w:ascii="楷体" w:eastAsia="楷体" w:hAnsi="楷体"/>
            <w:lang w:eastAsia="zh-CN"/>
          </w:rPr>
          <w:t>（二）研究问题与研究价值</w:t>
        </w:r>
        <w:r>
          <w:tab/>
        </w:r>
        <w:r>
          <w:fldChar w:fldCharType="begin"/>
        </w:r>
        <w:r>
          <w:instrText xml:space="preserve"> PAGEREF _Toc8452 \h </w:instrText>
        </w:r>
        <w:r>
          <w:fldChar w:fldCharType="separate"/>
        </w:r>
        <w:r>
          <w:t>1</w:t>
        </w:r>
        <w:r>
          <w:fldChar w:fldCharType="end"/>
        </w:r>
      </w:hyperlink>
    </w:p>
    <w:p w14:paraId="7825504B" w14:textId="77777777" w:rsidR="00B84757" w:rsidRDefault="00B84757">
      <w:pPr>
        <w:pStyle w:val="TOC2"/>
        <w:tabs>
          <w:tab w:val="right" w:leader="dot" w:pos="8646"/>
        </w:tabs>
        <w:ind w:left="480"/>
      </w:pPr>
      <w:hyperlink w:anchor="_Toc23724" w:history="1">
        <w:r>
          <w:rPr>
            <w:rFonts w:ascii="楷体" w:eastAsia="楷体" w:hAnsi="楷体"/>
            <w:lang w:eastAsia="zh-CN"/>
          </w:rPr>
          <w:t>（三）研究思路与核心内容</w:t>
        </w:r>
        <w:r>
          <w:tab/>
        </w:r>
        <w:r>
          <w:fldChar w:fldCharType="begin"/>
        </w:r>
        <w:r>
          <w:instrText xml:space="preserve"> PAGEREF _Toc23724 \h </w:instrText>
        </w:r>
        <w:r>
          <w:fldChar w:fldCharType="separate"/>
        </w:r>
        <w:r>
          <w:t>1</w:t>
        </w:r>
        <w:r>
          <w:fldChar w:fldCharType="end"/>
        </w:r>
      </w:hyperlink>
    </w:p>
    <w:p w14:paraId="4A864AC0" w14:textId="77777777" w:rsidR="00B84757" w:rsidRDefault="00B84757">
      <w:pPr>
        <w:pStyle w:val="TOC2"/>
        <w:tabs>
          <w:tab w:val="right" w:leader="dot" w:pos="8646"/>
        </w:tabs>
        <w:ind w:left="480"/>
      </w:pPr>
      <w:hyperlink w:anchor="_Toc30010" w:history="1">
        <w:r>
          <w:rPr>
            <w:rFonts w:ascii="楷体" w:eastAsia="楷体" w:hAnsi="楷体"/>
            <w:lang w:eastAsia="zh-CN"/>
          </w:rPr>
          <w:t>（四）可能的边际贡献</w:t>
        </w:r>
        <w:r>
          <w:tab/>
        </w:r>
        <w:r>
          <w:fldChar w:fldCharType="begin"/>
        </w:r>
        <w:r>
          <w:instrText xml:space="preserve"> PAGEREF _Toc30010 \h </w:instrText>
        </w:r>
        <w:r>
          <w:fldChar w:fldCharType="separate"/>
        </w:r>
        <w:r>
          <w:t>2</w:t>
        </w:r>
        <w:r>
          <w:fldChar w:fldCharType="end"/>
        </w:r>
      </w:hyperlink>
    </w:p>
    <w:p w14:paraId="1CEE8B2F" w14:textId="77777777" w:rsidR="00B84757" w:rsidRDefault="00B84757">
      <w:pPr>
        <w:pStyle w:val="TOC1"/>
        <w:tabs>
          <w:tab w:val="right" w:leader="dot" w:pos="8646"/>
        </w:tabs>
      </w:pPr>
      <w:hyperlink w:anchor="_Toc1450" w:history="1">
        <w:r>
          <w:rPr>
            <w:rFonts w:eastAsia="黑体"/>
            <w:szCs w:val="30"/>
            <w:lang w:eastAsia="zh-CN"/>
          </w:rPr>
          <w:t>二、文献综述与理论分析</w:t>
        </w:r>
        <w:r>
          <w:tab/>
        </w:r>
        <w:r>
          <w:fldChar w:fldCharType="begin"/>
        </w:r>
        <w:r>
          <w:instrText xml:space="preserve"> PAGEREF _Toc1450 \h </w:instrText>
        </w:r>
        <w:r>
          <w:fldChar w:fldCharType="separate"/>
        </w:r>
        <w:r>
          <w:t>3</w:t>
        </w:r>
        <w:r>
          <w:fldChar w:fldCharType="end"/>
        </w:r>
      </w:hyperlink>
    </w:p>
    <w:p w14:paraId="065E3EFA" w14:textId="77777777" w:rsidR="00B84757" w:rsidRDefault="00B84757">
      <w:pPr>
        <w:pStyle w:val="TOC2"/>
        <w:tabs>
          <w:tab w:val="right" w:leader="dot" w:pos="8646"/>
        </w:tabs>
        <w:ind w:left="480"/>
      </w:pPr>
      <w:hyperlink w:anchor="_Toc20477" w:history="1">
        <w:r>
          <w:rPr>
            <w:rFonts w:ascii="楷体" w:eastAsia="楷体" w:hAnsi="楷体"/>
            <w:lang w:eastAsia="zh-CN"/>
          </w:rPr>
          <w:t>（一）碳排放效率测度研究</w:t>
        </w:r>
        <w:r>
          <w:tab/>
        </w:r>
        <w:r>
          <w:fldChar w:fldCharType="begin"/>
        </w:r>
        <w:r>
          <w:instrText xml:space="preserve"> PAGEREF _Toc20477 \h </w:instrText>
        </w:r>
        <w:r>
          <w:fldChar w:fldCharType="separate"/>
        </w:r>
        <w:r>
          <w:t>3</w:t>
        </w:r>
        <w:r>
          <w:fldChar w:fldCharType="end"/>
        </w:r>
      </w:hyperlink>
    </w:p>
    <w:p w14:paraId="68A2B96F" w14:textId="77777777" w:rsidR="00B84757" w:rsidRDefault="00B84757">
      <w:pPr>
        <w:pStyle w:val="TOC2"/>
        <w:tabs>
          <w:tab w:val="right" w:leader="dot" w:pos="8646"/>
        </w:tabs>
        <w:ind w:left="480"/>
      </w:pPr>
      <w:hyperlink w:anchor="_Toc8269" w:history="1">
        <w:r>
          <w:rPr>
            <w:rFonts w:ascii="楷体" w:eastAsia="楷体" w:hAnsi="楷体"/>
            <w:lang w:eastAsia="zh-CN"/>
          </w:rPr>
          <w:t>（二）夜间灯光遥感数据应用研究</w:t>
        </w:r>
        <w:r>
          <w:tab/>
        </w:r>
        <w:r>
          <w:fldChar w:fldCharType="begin"/>
        </w:r>
        <w:r>
          <w:instrText xml:space="preserve"> PAGEREF _Toc8269 \h </w:instrText>
        </w:r>
        <w:r>
          <w:fldChar w:fldCharType="separate"/>
        </w:r>
        <w:r>
          <w:t>3</w:t>
        </w:r>
        <w:r>
          <w:fldChar w:fldCharType="end"/>
        </w:r>
      </w:hyperlink>
    </w:p>
    <w:p w14:paraId="45B0D581" w14:textId="77777777" w:rsidR="00B84757" w:rsidRDefault="00B84757">
      <w:pPr>
        <w:pStyle w:val="TOC2"/>
        <w:tabs>
          <w:tab w:val="right" w:leader="dot" w:pos="8646"/>
        </w:tabs>
        <w:ind w:left="480"/>
      </w:pPr>
      <w:hyperlink w:anchor="_Toc31478" w:history="1">
        <w:r>
          <w:rPr>
            <w:rFonts w:ascii="楷体" w:eastAsia="楷体" w:hAnsi="楷体"/>
            <w:lang w:eastAsia="zh-CN"/>
          </w:rPr>
          <w:t>（三）影响因素与空间效应研究</w:t>
        </w:r>
        <w:r>
          <w:tab/>
        </w:r>
        <w:r>
          <w:fldChar w:fldCharType="begin"/>
        </w:r>
        <w:r>
          <w:instrText xml:space="preserve"> PAGEREF _Toc31478 \h </w:instrText>
        </w:r>
        <w:r>
          <w:fldChar w:fldCharType="separate"/>
        </w:r>
        <w:r>
          <w:t>3</w:t>
        </w:r>
        <w:r>
          <w:fldChar w:fldCharType="end"/>
        </w:r>
      </w:hyperlink>
    </w:p>
    <w:p w14:paraId="2BFB8B35" w14:textId="77777777" w:rsidR="00B84757" w:rsidRDefault="00B84757">
      <w:pPr>
        <w:pStyle w:val="TOC2"/>
        <w:tabs>
          <w:tab w:val="right" w:leader="dot" w:pos="8646"/>
        </w:tabs>
        <w:ind w:left="480"/>
      </w:pPr>
      <w:hyperlink w:anchor="_Toc15326" w:history="1">
        <w:r>
          <w:rPr>
            <w:rFonts w:ascii="楷体" w:eastAsia="楷体" w:hAnsi="楷体"/>
            <w:lang w:eastAsia="zh-CN"/>
          </w:rPr>
          <w:t>（四）理论机制与研究假设</w:t>
        </w:r>
        <w:r>
          <w:tab/>
        </w:r>
        <w:r>
          <w:fldChar w:fldCharType="begin"/>
        </w:r>
        <w:r>
          <w:instrText xml:space="preserve"> PAGEREF _Toc15326 \h </w:instrText>
        </w:r>
        <w:r>
          <w:fldChar w:fldCharType="separate"/>
        </w:r>
        <w:r>
          <w:t>4</w:t>
        </w:r>
        <w:r>
          <w:fldChar w:fldCharType="end"/>
        </w:r>
      </w:hyperlink>
    </w:p>
    <w:p w14:paraId="6C1845D2" w14:textId="77777777" w:rsidR="00B84757" w:rsidRDefault="00B84757">
      <w:pPr>
        <w:pStyle w:val="TOC1"/>
        <w:tabs>
          <w:tab w:val="right" w:leader="dot" w:pos="8646"/>
        </w:tabs>
      </w:pPr>
      <w:hyperlink w:anchor="_Toc11113" w:history="1">
        <w:r>
          <w:rPr>
            <w:rFonts w:eastAsia="黑体"/>
            <w:szCs w:val="30"/>
            <w:lang w:eastAsia="zh-CN"/>
          </w:rPr>
          <w:t>三、研究设计</w:t>
        </w:r>
        <w:r>
          <w:tab/>
        </w:r>
        <w:r>
          <w:fldChar w:fldCharType="begin"/>
        </w:r>
        <w:r>
          <w:instrText xml:space="preserve"> PAGEREF _Toc11113 \h </w:instrText>
        </w:r>
        <w:r>
          <w:fldChar w:fldCharType="separate"/>
        </w:r>
        <w:r>
          <w:t>5</w:t>
        </w:r>
        <w:r>
          <w:fldChar w:fldCharType="end"/>
        </w:r>
      </w:hyperlink>
    </w:p>
    <w:p w14:paraId="7A3B73C2" w14:textId="77777777" w:rsidR="00B84757" w:rsidRDefault="00B84757">
      <w:pPr>
        <w:pStyle w:val="TOC2"/>
        <w:tabs>
          <w:tab w:val="right" w:leader="dot" w:pos="8646"/>
        </w:tabs>
        <w:ind w:left="480"/>
      </w:pPr>
      <w:hyperlink w:anchor="_Toc5936" w:history="1">
        <w:r>
          <w:rPr>
            <w:rFonts w:ascii="楷体" w:eastAsia="楷体" w:hAnsi="楷体"/>
            <w:lang w:eastAsia="zh-CN"/>
          </w:rPr>
          <w:t>（一）研究对象与样本范围</w:t>
        </w:r>
        <w:r>
          <w:tab/>
        </w:r>
        <w:r>
          <w:fldChar w:fldCharType="begin"/>
        </w:r>
        <w:r>
          <w:instrText xml:space="preserve"> PAGEREF _Toc5936 \h </w:instrText>
        </w:r>
        <w:r>
          <w:fldChar w:fldCharType="separate"/>
        </w:r>
        <w:r>
          <w:t>5</w:t>
        </w:r>
        <w:r>
          <w:fldChar w:fldCharType="end"/>
        </w:r>
      </w:hyperlink>
    </w:p>
    <w:p w14:paraId="55D4DE06" w14:textId="77777777" w:rsidR="00B84757" w:rsidRDefault="00B84757">
      <w:pPr>
        <w:pStyle w:val="TOC2"/>
        <w:tabs>
          <w:tab w:val="right" w:leader="dot" w:pos="8646"/>
        </w:tabs>
        <w:ind w:left="480"/>
      </w:pPr>
      <w:hyperlink w:anchor="_Toc28948" w:history="1">
        <w:r>
          <w:rPr>
            <w:rFonts w:ascii="楷体" w:eastAsia="楷体" w:hAnsi="楷体"/>
            <w:lang w:eastAsia="zh-CN"/>
          </w:rPr>
          <w:t>（二）三阶段研究框架</w:t>
        </w:r>
        <w:r>
          <w:tab/>
        </w:r>
        <w:r>
          <w:fldChar w:fldCharType="begin"/>
        </w:r>
        <w:r>
          <w:instrText xml:space="preserve"> PAGEREF _Toc28948 \h </w:instrText>
        </w:r>
        <w:r>
          <w:fldChar w:fldCharType="separate"/>
        </w:r>
        <w:r>
          <w:t>6</w:t>
        </w:r>
        <w:r>
          <w:fldChar w:fldCharType="end"/>
        </w:r>
      </w:hyperlink>
    </w:p>
    <w:p w14:paraId="62567274" w14:textId="77777777" w:rsidR="00B84757" w:rsidRDefault="00B84757">
      <w:pPr>
        <w:pStyle w:val="TOC2"/>
        <w:tabs>
          <w:tab w:val="right" w:leader="dot" w:pos="8646"/>
        </w:tabs>
        <w:ind w:left="480"/>
      </w:pPr>
      <w:hyperlink w:anchor="_Toc26226" w:history="1">
        <w:r>
          <w:rPr>
            <w:rFonts w:ascii="楷体" w:eastAsia="楷体" w:hAnsi="楷体"/>
            <w:lang w:eastAsia="zh-CN"/>
          </w:rPr>
          <w:t>（三）第一阶段碳排放效率测度指标体系</w:t>
        </w:r>
        <w:r>
          <w:tab/>
        </w:r>
        <w:r>
          <w:fldChar w:fldCharType="begin"/>
        </w:r>
        <w:r>
          <w:instrText xml:space="preserve"> PAGEREF _Toc26226 \h </w:instrText>
        </w:r>
        <w:r>
          <w:fldChar w:fldCharType="separate"/>
        </w:r>
        <w:r>
          <w:t>6</w:t>
        </w:r>
        <w:r>
          <w:fldChar w:fldCharType="end"/>
        </w:r>
      </w:hyperlink>
    </w:p>
    <w:p w14:paraId="2971CA06" w14:textId="77777777" w:rsidR="00B84757" w:rsidRDefault="00B84757">
      <w:pPr>
        <w:pStyle w:val="TOC2"/>
        <w:tabs>
          <w:tab w:val="right" w:leader="dot" w:pos="8646"/>
        </w:tabs>
        <w:ind w:left="480"/>
      </w:pPr>
      <w:hyperlink w:anchor="_Toc11559" w:history="1">
        <w:r>
          <w:rPr>
            <w:rFonts w:ascii="楷体" w:eastAsia="楷体" w:hAnsi="楷体"/>
            <w:lang w:eastAsia="zh-CN"/>
          </w:rPr>
          <w:t>（四）第二阶段回归变量与模型设定</w:t>
        </w:r>
        <w:r>
          <w:tab/>
        </w:r>
        <w:r>
          <w:fldChar w:fldCharType="begin"/>
        </w:r>
        <w:r>
          <w:instrText xml:space="preserve"> PAGEREF _Toc11559 \h </w:instrText>
        </w:r>
        <w:r>
          <w:fldChar w:fldCharType="separate"/>
        </w:r>
        <w:r>
          <w:t>7</w:t>
        </w:r>
        <w:r>
          <w:fldChar w:fldCharType="end"/>
        </w:r>
      </w:hyperlink>
    </w:p>
    <w:p w14:paraId="0D6001A7" w14:textId="77777777" w:rsidR="00B84757" w:rsidRDefault="00B84757">
      <w:pPr>
        <w:pStyle w:val="TOC2"/>
        <w:tabs>
          <w:tab w:val="right" w:leader="dot" w:pos="8646"/>
        </w:tabs>
        <w:ind w:left="480"/>
      </w:pPr>
      <w:hyperlink w:anchor="_Toc5326" w:history="1">
        <w:r>
          <w:rPr>
            <w:rFonts w:ascii="楷体" w:eastAsia="楷体" w:hAnsi="楷体"/>
            <w:lang w:eastAsia="zh-CN"/>
          </w:rPr>
          <w:t>（五）第三阶段空间相关性与空间分析思路</w:t>
        </w:r>
        <w:r>
          <w:tab/>
        </w:r>
        <w:r>
          <w:fldChar w:fldCharType="begin"/>
        </w:r>
        <w:r>
          <w:instrText xml:space="preserve"> PAGEREF _Toc5326 \h </w:instrText>
        </w:r>
        <w:r>
          <w:fldChar w:fldCharType="separate"/>
        </w:r>
        <w:r>
          <w:t>7</w:t>
        </w:r>
        <w:r>
          <w:fldChar w:fldCharType="end"/>
        </w:r>
      </w:hyperlink>
    </w:p>
    <w:p w14:paraId="372C235C" w14:textId="77777777" w:rsidR="00B84757" w:rsidRDefault="00B84757">
      <w:pPr>
        <w:pStyle w:val="TOC1"/>
        <w:tabs>
          <w:tab w:val="right" w:leader="dot" w:pos="8646"/>
        </w:tabs>
      </w:pPr>
      <w:hyperlink w:anchor="_Toc23033" w:history="1">
        <w:r>
          <w:rPr>
            <w:rFonts w:eastAsia="黑体"/>
            <w:szCs w:val="30"/>
            <w:lang w:eastAsia="zh-CN"/>
          </w:rPr>
          <w:t>四、数据来源、预处理与变量构造</w:t>
        </w:r>
        <w:r>
          <w:tab/>
        </w:r>
        <w:r>
          <w:fldChar w:fldCharType="begin"/>
        </w:r>
        <w:r>
          <w:instrText xml:space="preserve"> PAGEREF _Toc23033 \h </w:instrText>
        </w:r>
        <w:r>
          <w:fldChar w:fldCharType="separate"/>
        </w:r>
        <w:r>
          <w:t>8</w:t>
        </w:r>
        <w:r>
          <w:fldChar w:fldCharType="end"/>
        </w:r>
      </w:hyperlink>
    </w:p>
    <w:p w14:paraId="33554309" w14:textId="77777777" w:rsidR="00B84757" w:rsidRDefault="00B84757">
      <w:pPr>
        <w:pStyle w:val="TOC2"/>
        <w:tabs>
          <w:tab w:val="right" w:leader="dot" w:pos="8646"/>
        </w:tabs>
        <w:ind w:left="480"/>
      </w:pPr>
      <w:hyperlink w:anchor="_Toc18375" w:history="1">
        <w:r>
          <w:rPr>
            <w:rFonts w:ascii="楷体" w:eastAsia="楷体" w:hAnsi="楷体"/>
            <w:lang w:eastAsia="zh-CN"/>
          </w:rPr>
          <w:t>（一）数据来源与单位说明</w:t>
        </w:r>
        <w:r>
          <w:tab/>
        </w:r>
        <w:r>
          <w:fldChar w:fldCharType="begin"/>
        </w:r>
        <w:r>
          <w:instrText xml:space="preserve"> PAGEREF _Toc18375 \h </w:instrText>
        </w:r>
        <w:r>
          <w:fldChar w:fldCharType="separate"/>
        </w:r>
        <w:r>
          <w:t>8</w:t>
        </w:r>
        <w:r>
          <w:fldChar w:fldCharType="end"/>
        </w:r>
      </w:hyperlink>
    </w:p>
    <w:p w14:paraId="68F9761A" w14:textId="77777777" w:rsidR="00B84757" w:rsidRDefault="00B84757">
      <w:pPr>
        <w:pStyle w:val="TOC2"/>
        <w:tabs>
          <w:tab w:val="right" w:leader="dot" w:pos="8646"/>
        </w:tabs>
        <w:ind w:left="480"/>
      </w:pPr>
      <w:hyperlink w:anchor="_Toc29026" w:history="1">
        <w:r>
          <w:rPr>
            <w:rFonts w:ascii="楷体" w:eastAsia="楷体" w:hAnsi="楷体"/>
            <w:lang w:eastAsia="zh-CN"/>
          </w:rPr>
          <w:t>（二）样本构建与清洗处理</w:t>
        </w:r>
        <w:r>
          <w:tab/>
        </w:r>
        <w:r>
          <w:fldChar w:fldCharType="begin"/>
        </w:r>
        <w:r>
          <w:instrText xml:space="preserve"> PAGEREF _Toc29026 \h </w:instrText>
        </w:r>
        <w:r>
          <w:fldChar w:fldCharType="separate"/>
        </w:r>
        <w:r>
          <w:t>9</w:t>
        </w:r>
        <w:r>
          <w:fldChar w:fldCharType="end"/>
        </w:r>
      </w:hyperlink>
    </w:p>
    <w:p w14:paraId="4534A860" w14:textId="77777777" w:rsidR="00B84757" w:rsidRDefault="00B84757">
      <w:pPr>
        <w:pStyle w:val="TOC2"/>
        <w:tabs>
          <w:tab w:val="right" w:leader="dot" w:pos="8646"/>
        </w:tabs>
        <w:ind w:left="480"/>
      </w:pPr>
      <w:hyperlink w:anchor="_Toc23213" w:history="1">
        <w:r>
          <w:rPr>
            <w:rFonts w:ascii="楷体" w:eastAsia="楷体" w:hAnsi="楷体"/>
            <w:lang w:eastAsia="zh-CN"/>
          </w:rPr>
          <w:t>（三）缺失值、异常值与变量分布检验</w:t>
        </w:r>
        <w:r>
          <w:tab/>
        </w:r>
        <w:r>
          <w:fldChar w:fldCharType="begin"/>
        </w:r>
        <w:r>
          <w:instrText xml:space="preserve"> PAGEREF _Toc23213 \h </w:instrText>
        </w:r>
        <w:r>
          <w:fldChar w:fldCharType="separate"/>
        </w:r>
        <w:r>
          <w:t>9</w:t>
        </w:r>
        <w:r>
          <w:fldChar w:fldCharType="end"/>
        </w:r>
      </w:hyperlink>
    </w:p>
    <w:p w14:paraId="102C380E" w14:textId="77777777" w:rsidR="00B84757" w:rsidRDefault="00B84757">
      <w:pPr>
        <w:pStyle w:val="TOC2"/>
        <w:tabs>
          <w:tab w:val="right" w:leader="dot" w:pos="8646"/>
        </w:tabs>
        <w:ind w:left="480"/>
      </w:pPr>
      <w:hyperlink w:anchor="_Toc28388" w:history="1">
        <w:r>
          <w:rPr>
            <w:rFonts w:ascii="楷体" w:eastAsia="楷体" w:hAnsi="楷体"/>
            <w:lang w:eastAsia="zh-CN"/>
          </w:rPr>
          <w:t>（四）关键变量构造与口径说明</w:t>
        </w:r>
        <w:r>
          <w:tab/>
        </w:r>
        <w:r>
          <w:fldChar w:fldCharType="begin"/>
        </w:r>
        <w:r>
          <w:instrText xml:space="preserve"> PAGEREF _Toc28388 \h </w:instrText>
        </w:r>
        <w:r>
          <w:fldChar w:fldCharType="separate"/>
        </w:r>
        <w:r>
          <w:t>12</w:t>
        </w:r>
        <w:r>
          <w:fldChar w:fldCharType="end"/>
        </w:r>
      </w:hyperlink>
    </w:p>
    <w:p w14:paraId="0B6F2803" w14:textId="77777777" w:rsidR="00B84757" w:rsidRDefault="00B84757">
      <w:pPr>
        <w:pStyle w:val="TOC2"/>
        <w:tabs>
          <w:tab w:val="right" w:leader="dot" w:pos="8646"/>
        </w:tabs>
        <w:ind w:left="480"/>
      </w:pPr>
      <w:hyperlink w:anchor="_Toc31403" w:history="1">
        <w:r>
          <w:rPr>
            <w:rFonts w:ascii="楷体" w:eastAsia="楷体" w:hAnsi="楷体"/>
            <w:lang w:eastAsia="zh-CN"/>
          </w:rPr>
          <w:t>（五）描述性统计与先验相关关系</w:t>
        </w:r>
        <w:r>
          <w:tab/>
        </w:r>
        <w:r>
          <w:fldChar w:fldCharType="begin"/>
        </w:r>
        <w:r>
          <w:instrText xml:space="preserve"> PAGEREF _Toc31403 \h </w:instrText>
        </w:r>
        <w:r>
          <w:fldChar w:fldCharType="separate"/>
        </w:r>
        <w:r>
          <w:t>12</w:t>
        </w:r>
        <w:r>
          <w:fldChar w:fldCharType="end"/>
        </w:r>
      </w:hyperlink>
    </w:p>
    <w:p w14:paraId="425EB409" w14:textId="77777777" w:rsidR="00B84757" w:rsidRDefault="00B84757">
      <w:pPr>
        <w:pStyle w:val="TOC1"/>
        <w:tabs>
          <w:tab w:val="right" w:leader="dot" w:pos="8646"/>
        </w:tabs>
      </w:pPr>
      <w:hyperlink w:anchor="_Toc5121" w:history="1">
        <w:r>
          <w:rPr>
            <w:rFonts w:eastAsia="黑体"/>
            <w:szCs w:val="30"/>
            <w:lang w:eastAsia="zh-CN"/>
          </w:rPr>
          <w:t>五、省际碳排放效率测度结果</w:t>
        </w:r>
        <w:r>
          <w:tab/>
        </w:r>
        <w:r>
          <w:fldChar w:fldCharType="begin"/>
        </w:r>
        <w:r>
          <w:instrText xml:space="preserve"> PAGEREF _Toc5121 \h </w:instrText>
        </w:r>
        <w:r>
          <w:fldChar w:fldCharType="separate"/>
        </w:r>
        <w:r>
          <w:t>15</w:t>
        </w:r>
        <w:r>
          <w:fldChar w:fldCharType="end"/>
        </w:r>
      </w:hyperlink>
    </w:p>
    <w:p w14:paraId="462D98E8" w14:textId="77777777" w:rsidR="00B84757" w:rsidRDefault="00B84757">
      <w:pPr>
        <w:pStyle w:val="TOC2"/>
        <w:tabs>
          <w:tab w:val="right" w:leader="dot" w:pos="8646"/>
        </w:tabs>
        <w:ind w:left="480"/>
      </w:pPr>
      <w:hyperlink w:anchor="_Toc4146" w:history="1">
        <w:r>
          <w:rPr>
            <w:rFonts w:ascii="楷体" w:eastAsia="楷体" w:hAnsi="楷体"/>
            <w:lang w:eastAsia="zh-CN"/>
          </w:rPr>
          <w:t>（一）静态碳排放效率的总体特征</w:t>
        </w:r>
        <w:r>
          <w:tab/>
        </w:r>
        <w:r>
          <w:fldChar w:fldCharType="begin"/>
        </w:r>
        <w:r>
          <w:instrText xml:space="preserve"> PAGEREF _Toc4146 \h </w:instrText>
        </w:r>
        <w:r>
          <w:fldChar w:fldCharType="separate"/>
        </w:r>
        <w:r>
          <w:t>15</w:t>
        </w:r>
        <w:r>
          <w:fldChar w:fldCharType="end"/>
        </w:r>
      </w:hyperlink>
    </w:p>
    <w:p w14:paraId="5E4FDBBD" w14:textId="77777777" w:rsidR="00B84757" w:rsidRDefault="00B84757">
      <w:pPr>
        <w:pStyle w:val="TOC2"/>
        <w:tabs>
          <w:tab w:val="right" w:leader="dot" w:pos="8646"/>
        </w:tabs>
        <w:ind w:left="480"/>
      </w:pPr>
      <w:hyperlink w:anchor="_Toc2167" w:history="1">
        <w:r>
          <w:rPr>
            <w:rFonts w:ascii="楷体" w:eastAsia="楷体" w:hAnsi="楷体"/>
            <w:lang w:eastAsia="zh-CN"/>
          </w:rPr>
          <w:t>（二）高低效率省份的对比分析</w:t>
        </w:r>
        <w:r>
          <w:tab/>
        </w:r>
        <w:r>
          <w:fldChar w:fldCharType="begin"/>
        </w:r>
        <w:r>
          <w:instrText xml:space="preserve"> PAGEREF _Toc2167 \h </w:instrText>
        </w:r>
        <w:r>
          <w:fldChar w:fldCharType="separate"/>
        </w:r>
        <w:r>
          <w:t>18</w:t>
        </w:r>
        <w:r>
          <w:fldChar w:fldCharType="end"/>
        </w:r>
      </w:hyperlink>
    </w:p>
    <w:p w14:paraId="38ADCB3C" w14:textId="77777777" w:rsidR="00B84757" w:rsidRDefault="00B84757">
      <w:pPr>
        <w:pStyle w:val="TOC2"/>
        <w:tabs>
          <w:tab w:val="right" w:leader="dot" w:pos="8646"/>
        </w:tabs>
        <w:ind w:left="480"/>
      </w:pPr>
      <w:hyperlink w:anchor="_Toc18640" w:history="1">
        <w:r>
          <w:rPr>
            <w:rFonts w:ascii="楷体" w:eastAsia="楷体" w:hAnsi="楷体"/>
            <w:lang w:eastAsia="zh-CN"/>
          </w:rPr>
          <w:t>（三）动态演进特征分析</w:t>
        </w:r>
        <w:r>
          <w:tab/>
        </w:r>
        <w:r>
          <w:fldChar w:fldCharType="begin"/>
        </w:r>
        <w:r>
          <w:instrText xml:space="preserve"> PAGEREF _Toc18640 \h </w:instrText>
        </w:r>
        <w:r>
          <w:fldChar w:fldCharType="separate"/>
        </w:r>
        <w:r>
          <w:t>20</w:t>
        </w:r>
        <w:r>
          <w:fldChar w:fldCharType="end"/>
        </w:r>
      </w:hyperlink>
    </w:p>
    <w:p w14:paraId="7E5A9403" w14:textId="77777777" w:rsidR="00B84757" w:rsidRDefault="00B84757">
      <w:pPr>
        <w:pStyle w:val="TOC2"/>
        <w:tabs>
          <w:tab w:val="right" w:leader="dot" w:pos="8646"/>
        </w:tabs>
        <w:ind w:left="480"/>
      </w:pPr>
      <w:hyperlink w:anchor="_Toc32062" w:history="1">
        <w:r>
          <w:rPr>
            <w:rFonts w:ascii="楷体" w:eastAsia="楷体" w:hAnsi="楷体"/>
            <w:lang w:eastAsia="zh-CN"/>
          </w:rPr>
          <w:t>（四）效率分解与成因讨论</w:t>
        </w:r>
        <w:r>
          <w:tab/>
        </w:r>
        <w:r>
          <w:fldChar w:fldCharType="begin"/>
        </w:r>
        <w:r>
          <w:instrText xml:space="preserve"> PAGEREF _Toc32062 \h </w:instrText>
        </w:r>
        <w:r>
          <w:fldChar w:fldCharType="separate"/>
        </w:r>
        <w:r>
          <w:t>21</w:t>
        </w:r>
        <w:r>
          <w:fldChar w:fldCharType="end"/>
        </w:r>
      </w:hyperlink>
    </w:p>
    <w:p w14:paraId="73ED2169" w14:textId="77777777" w:rsidR="00B84757" w:rsidRDefault="00B84757">
      <w:pPr>
        <w:pStyle w:val="TOC1"/>
        <w:tabs>
          <w:tab w:val="right" w:leader="dot" w:pos="8646"/>
        </w:tabs>
      </w:pPr>
      <w:hyperlink w:anchor="_Toc27831" w:history="1">
        <w:r>
          <w:rPr>
            <w:rFonts w:eastAsia="黑体"/>
            <w:szCs w:val="30"/>
            <w:lang w:eastAsia="zh-CN"/>
          </w:rPr>
          <w:t>六、夜间灯光聚合度对碳排放效率的影响</w:t>
        </w:r>
        <w:r>
          <w:tab/>
        </w:r>
        <w:r>
          <w:fldChar w:fldCharType="begin"/>
        </w:r>
        <w:r>
          <w:instrText xml:space="preserve"> PAGEREF _Toc27831 \h </w:instrText>
        </w:r>
        <w:r>
          <w:fldChar w:fldCharType="separate"/>
        </w:r>
        <w:r>
          <w:t>22</w:t>
        </w:r>
        <w:r>
          <w:fldChar w:fldCharType="end"/>
        </w:r>
      </w:hyperlink>
    </w:p>
    <w:p w14:paraId="6B27AFC1" w14:textId="77777777" w:rsidR="00B84757" w:rsidRDefault="00B84757">
      <w:pPr>
        <w:pStyle w:val="TOC2"/>
        <w:tabs>
          <w:tab w:val="right" w:leader="dot" w:pos="8646"/>
        </w:tabs>
        <w:ind w:left="480"/>
      </w:pPr>
      <w:hyperlink w:anchor="_Toc28787" w:history="1">
        <w:r>
          <w:rPr>
            <w:rFonts w:ascii="楷体" w:eastAsia="楷体" w:hAnsi="楷体"/>
            <w:lang w:eastAsia="zh-CN"/>
          </w:rPr>
          <w:t>（一）基准模型设定与估计思路</w:t>
        </w:r>
        <w:r>
          <w:tab/>
        </w:r>
        <w:r>
          <w:fldChar w:fldCharType="begin"/>
        </w:r>
        <w:r>
          <w:instrText xml:space="preserve"> PAGEREF _Toc28787 \h </w:instrText>
        </w:r>
        <w:r>
          <w:fldChar w:fldCharType="separate"/>
        </w:r>
        <w:r>
          <w:t>22</w:t>
        </w:r>
        <w:r>
          <w:fldChar w:fldCharType="end"/>
        </w:r>
      </w:hyperlink>
    </w:p>
    <w:p w14:paraId="6C8E6DA1" w14:textId="77777777" w:rsidR="00B84757" w:rsidRDefault="00B84757">
      <w:pPr>
        <w:pStyle w:val="TOC2"/>
        <w:tabs>
          <w:tab w:val="right" w:leader="dot" w:pos="8646"/>
        </w:tabs>
        <w:ind w:left="480"/>
      </w:pPr>
      <w:hyperlink w:anchor="_Toc17788" w:history="1">
        <w:r>
          <w:rPr>
            <w:rFonts w:ascii="楷体" w:eastAsia="楷体" w:hAnsi="楷体"/>
            <w:lang w:eastAsia="zh-CN"/>
          </w:rPr>
          <w:t>（二）影响因素分析</w:t>
        </w:r>
        <w:r>
          <w:tab/>
        </w:r>
        <w:r>
          <w:fldChar w:fldCharType="begin"/>
        </w:r>
        <w:r>
          <w:instrText xml:space="preserve"> PAGEREF _Toc17788 \h </w:instrText>
        </w:r>
        <w:r>
          <w:fldChar w:fldCharType="separate"/>
        </w:r>
        <w:r>
          <w:t>22</w:t>
        </w:r>
        <w:r>
          <w:fldChar w:fldCharType="end"/>
        </w:r>
      </w:hyperlink>
    </w:p>
    <w:p w14:paraId="2F10B6B2" w14:textId="77777777" w:rsidR="00B84757" w:rsidRDefault="00B84757">
      <w:pPr>
        <w:pStyle w:val="TOC2"/>
        <w:tabs>
          <w:tab w:val="right" w:leader="dot" w:pos="8646"/>
        </w:tabs>
        <w:ind w:left="480"/>
      </w:pPr>
      <w:hyperlink w:anchor="_Toc24980" w:history="1">
        <w:r>
          <w:rPr>
            <w:rFonts w:ascii="楷体" w:eastAsia="楷体" w:hAnsi="楷体"/>
            <w:lang w:eastAsia="zh-CN"/>
          </w:rPr>
          <w:t>（三）基准回归结果与可视化表达</w:t>
        </w:r>
        <w:r>
          <w:tab/>
        </w:r>
        <w:r>
          <w:fldChar w:fldCharType="begin"/>
        </w:r>
        <w:r>
          <w:instrText xml:space="preserve"> PAGEREF _Toc24980 \h </w:instrText>
        </w:r>
        <w:r>
          <w:fldChar w:fldCharType="separate"/>
        </w:r>
        <w:r>
          <w:t>23</w:t>
        </w:r>
        <w:r>
          <w:fldChar w:fldCharType="end"/>
        </w:r>
      </w:hyperlink>
    </w:p>
    <w:p w14:paraId="2F3D9239" w14:textId="77777777" w:rsidR="00B84757" w:rsidRDefault="00B84757">
      <w:pPr>
        <w:pStyle w:val="TOC1"/>
        <w:tabs>
          <w:tab w:val="right" w:leader="dot" w:pos="8646"/>
        </w:tabs>
      </w:pPr>
      <w:hyperlink w:anchor="_Toc18397" w:history="1">
        <w:r>
          <w:rPr>
            <w:rFonts w:eastAsia="黑体"/>
            <w:szCs w:val="30"/>
            <w:lang w:eastAsia="zh-CN"/>
          </w:rPr>
          <w:t>七、空间相关性与空间溢出分析</w:t>
        </w:r>
        <w:r>
          <w:tab/>
        </w:r>
        <w:r>
          <w:fldChar w:fldCharType="begin"/>
        </w:r>
        <w:r>
          <w:instrText xml:space="preserve"> PAGEREF _Toc18397 \h </w:instrText>
        </w:r>
        <w:r>
          <w:fldChar w:fldCharType="separate"/>
        </w:r>
        <w:r>
          <w:t>25</w:t>
        </w:r>
        <w:r>
          <w:fldChar w:fldCharType="end"/>
        </w:r>
      </w:hyperlink>
    </w:p>
    <w:p w14:paraId="681F5A17" w14:textId="77777777" w:rsidR="00B84757" w:rsidRDefault="00B84757">
      <w:pPr>
        <w:pStyle w:val="TOC2"/>
        <w:tabs>
          <w:tab w:val="right" w:leader="dot" w:pos="8646"/>
        </w:tabs>
        <w:ind w:left="480"/>
      </w:pPr>
      <w:hyperlink w:anchor="_Toc195" w:history="1">
        <w:r>
          <w:rPr>
            <w:rFonts w:ascii="楷体" w:eastAsia="楷体" w:hAnsi="楷体"/>
            <w:lang w:eastAsia="zh-CN"/>
          </w:rPr>
          <w:t>（一）Global Moran’s I 检验结果</w:t>
        </w:r>
        <w:r>
          <w:tab/>
        </w:r>
        <w:r>
          <w:fldChar w:fldCharType="begin"/>
        </w:r>
        <w:r>
          <w:instrText xml:space="preserve"> PAGEREF _Toc195 \h </w:instrText>
        </w:r>
        <w:r>
          <w:fldChar w:fldCharType="separate"/>
        </w:r>
        <w:r>
          <w:t>25</w:t>
        </w:r>
        <w:r>
          <w:fldChar w:fldCharType="end"/>
        </w:r>
      </w:hyperlink>
    </w:p>
    <w:p w14:paraId="15D005D7" w14:textId="77777777" w:rsidR="00B84757" w:rsidRDefault="00B84757">
      <w:pPr>
        <w:pStyle w:val="TOC2"/>
        <w:tabs>
          <w:tab w:val="right" w:leader="dot" w:pos="8646"/>
        </w:tabs>
        <w:ind w:left="480"/>
      </w:pPr>
      <w:hyperlink w:anchor="_Toc131" w:history="1">
        <w:r>
          <w:rPr>
            <w:rFonts w:ascii="楷体" w:eastAsia="楷体" w:hAnsi="楷体"/>
            <w:lang w:eastAsia="zh-CN"/>
          </w:rPr>
          <w:t>（二）局部空间聚集与可能的溢出路径</w:t>
        </w:r>
        <w:r>
          <w:tab/>
        </w:r>
        <w:r>
          <w:fldChar w:fldCharType="begin"/>
        </w:r>
        <w:r>
          <w:instrText xml:space="preserve"> PAGEREF _Toc131 \h </w:instrText>
        </w:r>
        <w:r>
          <w:fldChar w:fldCharType="separate"/>
        </w:r>
        <w:r>
          <w:t>26</w:t>
        </w:r>
        <w:r>
          <w:fldChar w:fldCharType="end"/>
        </w:r>
      </w:hyperlink>
    </w:p>
    <w:p w14:paraId="687CC8A4" w14:textId="77777777" w:rsidR="00B84757" w:rsidRDefault="00B84757">
      <w:pPr>
        <w:pStyle w:val="TOC1"/>
        <w:tabs>
          <w:tab w:val="right" w:leader="dot" w:pos="8646"/>
        </w:tabs>
      </w:pPr>
      <w:hyperlink w:anchor="_Toc30943" w:history="1">
        <w:r>
          <w:rPr>
            <w:rFonts w:eastAsia="黑体"/>
            <w:szCs w:val="30"/>
            <w:lang w:eastAsia="zh-CN"/>
          </w:rPr>
          <w:t>八、稳健性、异质性与扩展分析</w:t>
        </w:r>
        <w:r>
          <w:tab/>
        </w:r>
        <w:r>
          <w:fldChar w:fldCharType="begin"/>
        </w:r>
        <w:r>
          <w:instrText xml:space="preserve"> PAGEREF _Toc30943 \h </w:instrText>
        </w:r>
        <w:r>
          <w:fldChar w:fldCharType="separate"/>
        </w:r>
        <w:r>
          <w:t>28</w:t>
        </w:r>
        <w:r>
          <w:fldChar w:fldCharType="end"/>
        </w:r>
      </w:hyperlink>
    </w:p>
    <w:p w14:paraId="162A3CFB" w14:textId="77777777" w:rsidR="00B84757" w:rsidRDefault="00B84757">
      <w:pPr>
        <w:pStyle w:val="TOC2"/>
        <w:tabs>
          <w:tab w:val="right" w:leader="dot" w:pos="8646"/>
        </w:tabs>
        <w:ind w:left="480"/>
      </w:pPr>
      <w:hyperlink w:anchor="_Toc1059" w:history="1">
        <w:r>
          <w:rPr>
            <w:rFonts w:ascii="楷体" w:eastAsia="楷体" w:hAnsi="楷体"/>
            <w:lang w:eastAsia="zh-CN"/>
          </w:rPr>
          <w:t>（一）替换效率测度口径与模型诊断</w:t>
        </w:r>
        <w:r>
          <w:tab/>
        </w:r>
        <w:r>
          <w:fldChar w:fldCharType="begin"/>
        </w:r>
        <w:r>
          <w:instrText xml:space="preserve"> PAGEREF _Toc1059 \h </w:instrText>
        </w:r>
        <w:r>
          <w:fldChar w:fldCharType="separate"/>
        </w:r>
        <w:r>
          <w:t>28</w:t>
        </w:r>
        <w:r>
          <w:fldChar w:fldCharType="end"/>
        </w:r>
      </w:hyperlink>
    </w:p>
    <w:p w14:paraId="6D723742" w14:textId="77777777" w:rsidR="00B84757" w:rsidRDefault="00B84757">
      <w:pPr>
        <w:pStyle w:val="TOC2"/>
        <w:tabs>
          <w:tab w:val="right" w:leader="dot" w:pos="8646"/>
        </w:tabs>
        <w:ind w:left="480"/>
      </w:pPr>
      <w:hyperlink w:anchor="_Toc13244" w:history="1">
        <w:r>
          <w:rPr>
            <w:rFonts w:ascii="楷体" w:eastAsia="楷体" w:hAnsi="楷体"/>
            <w:lang w:eastAsia="zh-CN"/>
          </w:rPr>
          <w:t>（二）非线性、滞后项与扩展分析</w:t>
        </w:r>
        <w:r>
          <w:tab/>
        </w:r>
        <w:r>
          <w:fldChar w:fldCharType="begin"/>
        </w:r>
        <w:r>
          <w:instrText xml:space="preserve"> PAGEREF _Toc13244 \h </w:instrText>
        </w:r>
        <w:r>
          <w:fldChar w:fldCharType="separate"/>
        </w:r>
        <w:r>
          <w:t>29</w:t>
        </w:r>
        <w:r>
          <w:fldChar w:fldCharType="end"/>
        </w:r>
      </w:hyperlink>
    </w:p>
    <w:p w14:paraId="51BEC328" w14:textId="77777777" w:rsidR="00B84757" w:rsidRDefault="00B84757">
      <w:pPr>
        <w:pStyle w:val="TOC2"/>
        <w:tabs>
          <w:tab w:val="right" w:leader="dot" w:pos="8646"/>
        </w:tabs>
        <w:ind w:left="480"/>
      </w:pPr>
      <w:hyperlink w:anchor="_Toc25971" w:history="1">
        <w:r>
          <w:rPr>
            <w:rFonts w:ascii="楷体" w:eastAsia="楷体" w:hAnsi="楷体"/>
            <w:lang w:eastAsia="zh-CN"/>
          </w:rPr>
          <w:t>（三）区域异质性分析框架</w:t>
        </w:r>
        <w:r>
          <w:tab/>
        </w:r>
        <w:r>
          <w:fldChar w:fldCharType="begin"/>
        </w:r>
        <w:r>
          <w:instrText xml:space="preserve"> PAGEREF _Toc25971 \h </w:instrText>
        </w:r>
        <w:r>
          <w:fldChar w:fldCharType="separate"/>
        </w:r>
        <w:r>
          <w:t>30</w:t>
        </w:r>
        <w:r>
          <w:fldChar w:fldCharType="end"/>
        </w:r>
      </w:hyperlink>
    </w:p>
    <w:p w14:paraId="1E51A9D4" w14:textId="77777777" w:rsidR="00B84757" w:rsidRDefault="00B84757">
      <w:pPr>
        <w:pStyle w:val="TOC1"/>
        <w:tabs>
          <w:tab w:val="right" w:leader="dot" w:pos="8646"/>
        </w:tabs>
      </w:pPr>
      <w:hyperlink w:anchor="_Toc12479" w:history="1">
        <w:r>
          <w:rPr>
            <w:rFonts w:eastAsia="黑体"/>
            <w:szCs w:val="30"/>
            <w:lang w:eastAsia="zh-CN"/>
          </w:rPr>
          <w:t>九、研究结论与政策建议</w:t>
        </w:r>
        <w:r>
          <w:tab/>
        </w:r>
        <w:r>
          <w:fldChar w:fldCharType="begin"/>
        </w:r>
        <w:r>
          <w:instrText xml:space="preserve"> PAGEREF _Toc12479 \h </w:instrText>
        </w:r>
        <w:r>
          <w:fldChar w:fldCharType="separate"/>
        </w:r>
        <w:r>
          <w:t>31</w:t>
        </w:r>
        <w:r>
          <w:fldChar w:fldCharType="end"/>
        </w:r>
      </w:hyperlink>
    </w:p>
    <w:p w14:paraId="3DECEAC1" w14:textId="77777777" w:rsidR="00B84757" w:rsidRDefault="00B84757">
      <w:pPr>
        <w:pStyle w:val="TOC2"/>
        <w:tabs>
          <w:tab w:val="right" w:leader="dot" w:pos="8646"/>
        </w:tabs>
        <w:ind w:left="480"/>
      </w:pPr>
      <w:hyperlink w:anchor="_Toc1976" w:history="1">
        <w:r>
          <w:rPr>
            <w:rFonts w:ascii="楷体" w:eastAsia="楷体" w:hAnsi="楷体"/>
            <w:lang w:eastAsia="zh-CN"/>
          </w:rPr>
          <w:t>（一）研究结论</w:t>
        </w:r>
        <w:r>
          <w:tab/>
        </w:r>
        <w:r>
          <w:fldChar w:fldCharType="begin"/>
        </w:r>
        <w:r>
          <w:instrText xml:space="preserve"> PAGEREF _Toc1976 \h </w:instrText>
        </w:r>
        <w:r>
          <w:fldChar w:fldCharType="separate"/>
        </w:r>
        <w:r>
          <w:t>31</w:t>
        </w:r>
        <w:r>
          <w:fldChar w:fldCharType="end"/>
        </w:r>
      </w:hyperlink>
    </w:p>
    <w:p w14:paraId="44F6C58E" w14:textId="77777777" w:rsidR="00B84757" w:rsidRDefault="00B84757">
      <w:pPr>
        <w:pStyle w:val="TOC2"/>
        <w:tabs>
          <w:tab w:val="right" w:leader="dot" w:pos="8646"/>
        </w:tabs>
        <w:ind w:left="480"/>
      </w:pPr>
      <w:hyperlink w:anchor="_Toc2467" w:history="1">
        <w:r>
          <w:rPr>
            <w:rFonts w:ascii="楷体" w:eastAsia="楷体" w:hAnsi="楷体"/>
            <w:lang w:eastAsia="zh-CN"/>
          </w:rPr>
          <w:t>（二）政策建议</w:t>
        </w:r>
        <w:r>
          <w:tab/>
        </w:r>
        <w:r>
          <w:fldChar w:fldCharType="begin"/>
        </w:r>
        <w:r>
          <w:instrText xml:space="preserve"> PAGEREF _Toc2467 \h </w:instrText>
        </w:r>
        <w:r>
          <w:fldChar w:fldCharType="separate"/>
        </w:r>
        <w:r>
          <w:t>31</w:t>
        </w:r>
        <w:r>
          <w:fldChar w:fldCharType="end"/>
        </w:r>
      </w:hyperlink>
    </w:p>
    <w:p w14:paraId="4A05B173" w14:textId="77777777" w:rsidR="00B84757" w:rsidRDefault="00B84757">
      <w:pPr>
        <w:pStyle w:val="TOC1"/>
        <w:tabs>
          <w:tab w:val="right" w:leader="dot" w:pos="8646"/>
        </w:tabs>
      </w:pPr>
      <w:hyperlink w:anchor="_Toc6926" w:history="1">
        <w:r>
          <w:rPr>
            <w:rFonts w:eastAsia="黑体"/>
          </w:rPr>
          <w:t>参考文献</w:t>
        </w:r>
        <w:r>
          <w:tab/>
        </w:r>
        <w:r>
          <w:fldChar w:fldCharType="begin"/>
        </w:r>
        <w:r>
          <w:instrText xml:space="preserve"> PAGEREF _Toc6926 \h </w:instrText>
        </w:r>
        <w:r>
          <w:fldChar w:fldCharType="separate"/>
        </w:r>
        <w:r>
          <w:t>33</w:t>
        </w:r>
        <w:r>
          <w:fldChar w:fldCharType="end"/>
        </w:r>
      </w:hyperlink>
    </w:p>
    <w:p w14:paraId="577572F3" w14:textId="77777777" w:rsidR="00B84757" w:rsidRDefault="00B84757">
      <w:pPr>
        <w:pStyle w:val="TOC1"/>
        <w:tabs>
          <w:tab w:val="right" w:leader="dot" w:pos="8646"/>
        </w:tabs>
      </w:pPr>
      <w:hyperlink w:anchor="_Toc24125" w:history="1">
        <w:r>
          <w:rPr>
            <w:rFonts w:eastAsia="黑体"/>
            <w:lang w:eastAsia="zh-CN"/>
          </w:rPr>
          <w:t>致谢</w:t>
        </w:r>
        <w:r>
          <w:tab/>
        </w:r>
        <w:r>
          <w:fldChar w:fldCharType="begin"/>
        </w:r>
        <w:r>
          <w:instrText xml:space="preserve"> PAGEREF _Toc24125 \h </w:instrText>
        </w:r>
        <w:r>
          <w:fldChar w:fldCharType="separate"/>
        </w:r>
        <w:r>
          <w:t>36</w:t>
        </w:r>
        <w:r>
          <w:fldChar w:fldCharType="end"/>
        </w:r>
      </w:hyperlink>
    </w:p>
    <w:p w14:paraId="4FC7BCE0" w14:textId="77777777" w:rsidR="00B84757" w:rsidRDefault="00000000">
      <w:pPr>
        <w:jc w:val="both"/>
        <w:rPr>
          <w:lang w:eastAsia="zh-CN"/>
        </w:rPr>
      </w:pPr>
      <w:r>
        <w:rPr>
          <w:lang w:eastAsia="zh-CN"/>
        </w:rPr>
        <w:fldChar w:fldCharType="end"/>
      </w:r>
    </w:p>
    <w:p w14:paraId="3CA5CD18" w14:textId="77777777" w:rsidR="00B84757" w:rsidRDefault="00000000">
      <w:pPr>
        <w:jc w:val="both"/>
        <w:rPr>
          <w:lang w:eastAsia="zh-CN"/>
        </w:rPr>
      </w:pPr>
      <w:r>
        <w:rPr>
          <w:lang w:eastAsia="zh-CN"/>
        </w:rPr>
        <w:br w:type="page"/>
      </w:r>
    </w:p>
    <w:p w14:paraId="3FB9E4E4" w14:textId="77777777" w:rsidR="00B84757" w:rsidRDefault="00000000">
      <w:pPr>
        <w:spacing w:line="480" w:lineRule="exact"/>
        <w:jc w:val="center"/>
        <w:rPr>
          <w:sz w:val="28"/>
          <w:szCs w:val="28"/>
          <w:lang w:eastAsia="zh-CN"/>
        </w:rPr>
      </w:pPr>
      <w:r>
        <w:rPr>
          <w:rFonts w:eastAsia="黑体"/>
          <w:b/>
          <w:sz w:val="28"/>
          <w:szCs w:val="28"/>
          <w:lang w:eastAsia="zh-CN"/>
        </w:rPr>
        <w:lastRenderedPageBreak/>
        <w:t>图目录</w:t>
      </w:r>
    </w:p>
    <w:p w14:paraId="598ECA21" w14:textId="77777777" w:rsidR="00B84757" w:rsidRDefault="00000000">
      <w:pPr>
        <w:pStyle w:val="af2"/>
        <w:tabs>
          <w:tab w:val="right" w:leader="dot" w:pos="8646"/>
        </w:tabs>
        <w:ind w:left="960" w:hanging="480"/>
      </w:pPr>
      <w:r>
        <w:fldChar w:fldCharType="begin"/>
      </w:r>
      <w:r>
        <w:instrText>TOC \h \c "</w:instrText>
      </w:r>
      <w:r>
        <w:instrText>图</w:instrText>
      </w:r>
      <w:r>
        <w:instrText>"</w:instrText>
      </w:r>
      <w:r>
        <w:fldChar w:fldCharType="separate"/>
      </w:r>
      <w:hyperlink w:anchor="_Toc15666" w:history="1">
        <w:r w:rsidR="00B84757">
          <w:t>图</w:t>
        </w:r>
        <w:r w:rsidR="00B84757">
          <w:t xml:space="preserve"> 1 </w:t>
        </w:r>
        <w:r w:rsidR="00B84757">
          <w:rPr>
            <w:rFonts w:hint="eastAsia"/>
            <w:lang w:eastAsia="zh-CN"/>
          </w:rPr>
          <w:t xml:space="preserve"> </w:t>
        </w:r>
        <w:r w:rsidR="00B84757">
          <w:t>研究技术路线图</w:t>
        </w:r>
        <w:r w:rsidR="00B84757">
          <w:tab/>
        </w:r>
        <w:r w:rsidR="00B84757">
          <w:fldChar w:fldCharType="begin"/>
        </w:r>
        <w:r w:rsidR="00B84757">
          <w:instrText xml:space="preserve"> PAGEREF _Toc15666 \h </w:instrText>
        </w:r>
        <w:r w:rsidR="00B84757">
          <w:fldChar w:fldCharType="separate"/>
        </w:r>
        <w:r w:rsidR="00B84757">
          <w:t>2</w:t>
        </w:r>
        <w:r w:rsidR="00B84757">
          <w:fldChar w:fldCharType="end"/>
        </w:r>
      </w:hyperlink>
    </w:p>
    <w:p w14:paraId="55ED42E2" w14:textId="77777777" w:rsidR="00B84757" w:rsidRDefault="00B84757">
      <w:pPr>
        <w:pStyle w:val="af2"/>
        <w:tabs>
          <w:tab w:val="right" w:leader="dot" w:pos="8646"/>
        </w:tabs>
        <w:ind w:left="960" w:hanging="480"/>
      </w:pPr>
      <w:hyperlink w:anchor="_Toc11826" w:history="1">
        <w:r>
          <w:t>图</w:t>
        </w:r>
        <w:r>
          <w:t xml:space="preserve"> 2 </w:t>
        </w:r>
        <w:r>
          <w:rPr>
            <w:rFonts w:hint="eastAsia"/>
            <w:lang w:eastAsia="zh-CN"/>
          </w:rPr>
          <w:t xml:space="preserve"> </w:t>
        </w:r>
        <w:r>
          <w:t>夜间灯光聚合度影响碳排放效率的理论机制图</w:t>
        </w:r>
        <w:r>
          <w:tab/>
        </w:r>
        <w:r>
          <w:fldChar w:fldCharType="begin"/>
        </w:r>
        <w:r>
          <w:instrText xml:space="preserve"> PAGEREF _Toc11826 \h </w:instrText>
        </w:r>
        <w:r>
          <w:fldChar w:fldCharType="separate"/>
        </w:r>
        <w:r>
          <w:t>5</w:t>
        </w:r>
        <w:r>
          <w:fldChar w:fldCharType="end"/>
        </w:r>
      </w:hyperlink>
    </w:p>
    <w:p w14:paraId="0A2BAB5A" w14:textId="77777777" w:rsidR="00B84757" w:rsidRDefault="00B84757">
      <w:pPr>
        <w:pStyle w:val="af2"/>
        <w:tabs>
          <w:tab w:val="right" w:leader="dot" w:pos="8646"/>
        </w:tabs>
        <w:ind w:left="960" w:hanging="480"/>
      </w:pPr>
      <w:hyperlink w:anchor="_Toc4330" w:history="1">
        <w:r>
          <w:t>图</w:t>
        </w:r>
        <w:r>
          <w:t xml:space="preserve"> 3 </w:t>
        </w:r>
        <w:r>
          <w:rPr>
            <w:rFonts w:hint="eastAsia"/>
            <w:lang w:eastAsia="zh-CN"/>
          </w:rPr>
          <w:t xml:space="preserve"> </w:t>
        </w:r>
        <w:r>
          <w:t>样本构建流程图</w:t>
        </w:r>
        <w:r>
          <w:tab/>
        </w:r>
        <w:r>
          <w:fldChar w:fldCharType="begin"/>
        </w:r>
        <w:r>
          <w:instrText xml:space="preserve"> PAGEREF _Toc4330 \h </w:instrText>
        </w:r>
        <w:r>
          <w:fldChar w:fldCharType="separate"/>
        </w:r>
        <w:r>
          <w:t>9</w:t>
        </w:r>
        <w:r>
          <w:fldChar w:fldCharType="end"/>
        </w:r>
      </w:hyperlink>
    </w:p>
    <w:p w14:paraId="4859479A" w14:textId="77777777" w:rsidR="00B84757" w:rsidRDefault="00B84757">
      <w:pPr>
        <w:pStyle w:val="af2"/>
        <w:tabs>
          <w:tab w:val="right" w:leader="dot" w:pos="8646"/>
        </w:tabs>
        <w:ind w:left="960" w:hanging="480"/>
      </w:pPr>
      <w:hyperlink w:anchor="_Toc385" w:history="1">
        <w:r>
          <w:t>图</w:t>
        </w:r>
        <w:r>
          <w:t xml:space="preserve"> 4 </w:t>
        </w:r>
        <w:r>
          <w:rPr>
            <w:rFonts w:hint="eastAsia"/>
            <w:lang w:eastAsia="zh-CN"/>
          </w:rPr>
          <w:t xml:space="preserve"> </w:t>
        </w:r>
        <w:r>
          <w:t>变量缺失热力图</w:t>
        </w:r>
        <w:r>
          <w:tab/>
        </w:r>
        <w:r>
          <w:fldChar w:fldCharType="begin"/>
        </w:r>
        <w:r>
          <w:instrText xml:space="preserve"> PAGEREF _Toc385 \h </w:instrText>
        </w:r>
        <w:r>
          <w:fldChar w:fldCharType="separate"/>
        </w:r>
        <w:r>
          <w:t>10</w:t>
        </w:r>
        <w:r>
          <w:fldChar w:fldCharType="end"/>
        </w:r>
      </w:hyperlink>
    </w:p>
    <w:p w14:paraId="241CC9B8" w14:textId="77777777" w:rsidR="00B84757" w:rsidRDefault="00B84757">
      <w:pPr>
        <w:pStyle w:val="af2"/>
        <w:tabs>
          <w:tab w:val="right" w:leader="dot" w:pos="8646"/>
        </w:tabs>
        <w:ind w:left="960" w:hanging="480"/>
      </w:pPr>
      <w:hyperlink w:anchor="_Toc29798" w:history="1">
        <w:r>
          <w:t>图</w:t>
        </w:r>
        <w:r>
          <w:t xml:space="preserve"> 5 </w:t>
        </w:r>
        <w:r>
          <w:rPr>
            <w:rFonts w:hint="eastAsia"/>
            <w:lang w:eastAsia="zh-CN"/>
          </w:rPr>
          <w:t xml:space="preserve"> </w:t>
        </w:r>
        <w:r>
          <w:t>核心变量箱线图</w:t>
        </w:r>
        <w:r>
          <w:tab/>
        </w:r>
        <w:r>
          <w:fldChar w:fldCharType="begin"/>
        </w:r>
        <w:r>
          <w:instrText xml:space="preserve"> PAGEREF _Toc29798 \h </w:instrText>
        </w:r>
        <w:r>
          <w:fldChar w:fldCharType="separate"/>
        </w:r>
        <w:r>
          <w:t>11</w:t>
        </w:r>
        <w:r>
          <w:fldChar w:fldCharType="end"/>
        </w:r>
      </w:hyperlink>
    </w:p>
    <w:p w14:paraId="7F736B76" w14:textId="77777777" w:rsidR="00B84757" w:rsidRDefault="00B84757">
      <w:pPr>
        <w:pStyle w:val="af2"/>
        <w:tabs>
          <w:tab w:val="right" w:leader="dot" w:pos="8646"/>
        </w:tabs>
        <w:ind w:left="960" w:hanging="480"/>
      </w:pPr>
      <w:hyperlink w:anchor="_Toc20788" w:history="1">
        <w:r>
          <w:t>图</w:t>
        </w:r>
        <w:r>
          <w:t xml:space="preserve"> 6 </w:t>
        </w:r>
        <w:r>
          <w:rPr>
            <w:rFonts w:hint="eastAsia"/>
            <w:lang w:eastAsia="zh-CN"/>
          </w:rPr>
          <w:t xml:space="preserve"> </w:t>
        </w:r>
        <w:r>
          <w:rPr>
            <w:rFonts w:hint="eastAsia"/>
            <w:lang w:eastAsia="zh-CN"/>
          </w:rPr>
          <w:t>夜间灯光聚合度及其对数化指标分布图</w:t>
        </w:r>
        <w:r>
          <w:tab/>
        </w:r>
        <w:r>
          <w:fldChar w:fldCharType="begin"/>
        </w:r>
        <w:r>
          <w:instrText xml:space="preserve"> PAGEREF _Toc20788 \h </w:instrText>
        </w:r>
        <w:r>
          <w:fldChar w:fldCharType="separate"/>
        </w:r>
        <w:r>
          <w:t>11</w:t>
        </w:r>
        <w:r>
          <w:fldChar w:fldCharType="end"/>
        </w:r>
      </w:hyperlink>
    </w:p>
    <w:p w14:paraId="09EE82FC" w14:textId="77777777" w:rsidR="00B84757" w:rsidRDefault="00B84757">
      <w:pPr>
        <w:pStyle w:val="af2"/>
        <w:tabs>
          <w:tab w:val="right" w:leader="dot" w:pos="8646"/>
        </w:tabs>
        <w:ind w:left="960" w:hanging="480"/>
      </w:pPr>
      <w:hyperlink w:anchor="_Toc10668" w:history="1">
        <w:r>
          <w:t>图</w:t>
        </w:r>
        <w:r>
          <w:t xml:space="preserve"> 7 </w:t>
        </w:r>
        <w:r>
          <w:rPr>
            <w:rFonts w:hint="eastAsia"/>
            <w:lang w:eastAsia="zh-CN"/>
          </w:rPr>
          <w:t xml:space="preserve"> </w:t>
        </w:r>
        <w:r>
          <w:rPr>
            <w:rFonts w:hint="eastAsia"/>
            <w:lang w:eastAsia="zh-CN"/>
          </w:rPr>
          <w:t>核心变量相关关系椭圆矩阵图</w:t>
        </w:r>
        <w:r>
          <w:tab/>
        </w:r>
        <w:r>
          <w:fldChar w:fldCharType="begin"/>
        </w:r>
        <w:r>
          <w:instrText xml:space="preserve"> PAGEREF _Toc10668 \h </w:instrText>
        </w:r>
        <w:r>
          <w:fldChar w:fldCharType="separate"/>
        </w:r>
        <w:r>
          <w:t>13</w:t>
        </w:r>
        <w:r>
          <w:fldChar w:fldCharType="end"/>
        </w:r>
      </w:hyperlink>
    </w:p>
    <w:p w14:paraId="1E23AD6E" w14:textId="77777777" w:rsidR="00B84757" w:rsidRDefault="00B84757">
      <w:pPr>
        <w:pStyle w:val="af2"/>
        <w:tabs>
          <w:tab w:val="right" w:leader="dot" w:pos="8646"/>
        </w:tabs>
        <w:ind w:left="960" w:hanging="480"/>
      </w:pPr>
      <w:hyperlink w:anchor="_Toc5525" w:history="1">
        <w:r>
          <w:t>图</w:t>
        </w:r>
        <w:r>
          <w:t xml:space="preserve"> 8 </w:t>
        </w:r>
        <w:r>
          <w:rPr>
            <w:rFonts w:hint="eastAsia"/>
            <w:lang w:eastAsia="zh-CN"/>
          </w:rPr>
          <w:t xml:space="preserve"> </w:t>
        </w:r>
        <w:r>
          <w:rPr>
            <w:rFonts w:hint="eastAsia"/>
            <w:lang w:eastAsia="zh-CN"/>
          </w:rPr>
          <w:t>核心解释变量</w:t>
        </w:r>
        <w:r>
          <w:rPr>
            <w:rFonts w:hint="eastAsia"/>
            <w:lang w:eastAsia="zh-CN"/>
          </w:rPr>
          <w:t>VIF</w:t>
        </w:r>
        <w:r>
          <w:rPr>
            <w:rFonts w:hint="eastAsia"/>
            <w:lang w:eastAsia="zh-CN"/>
          </w:rPr>
          <w:t>检验图</w:t>
        </w:r>
        <w:r>
          <w:tab/>
        </w:r>
        <w:r>
          <w:fldChar w:fldCharType="begin"/>
        </w:r>
        <w:r>
          <w:instrText xml:space="preserve"> PAGEREF _Toc5525 \h </w:instrText>
        </w:r>
        <w:r>
          <w:fldChar w:fldCharType="separate"/>
        </w:r>
        <w:r>
          <w:t>14</w:t>
        </w:r>
        <w:r>
          <w:fldChar w:fldCharType="end"/>
        </w:r>
      </w:hyperlink>
    </w:p>
    <w:p w14:paraId="59C10B0F" w14:textId="77777777" w:rsidR="00B84757" w:rsidRDefault="00B84757">
      <w:pPr>
        <w:pStyle w:val="af2"/>
        <w:tabs>
          <w:tab w:val="right" w:leader="dot" w:pos="8646"/>
        </w:tabs>
        <w:ind w:left="960" w:hanging="480"/>
      </w:pPr>
      <w:hyperlink w:anchor="_Toc17026" w:history="1">
        <w:r>
          <w:t>图</w:t>
        </w:r>
        <w:r>
          <w:t xml:space="preserve"> 9 </w:t>
        </w:r>
        <w:r>
          <w:rPr>
            <w:rFonts w:hint="eastAsia"/>
            <w:lang w:eastAsia="zh-CN"/>
          </w:rPr>
          <w:t xml:space="preserve"> </w:t>
        </w:r>
        <w:r>
          <w:t>省域碳排放效率空间分布图</w:t>
        </w:r>
        <w:r>
          <w:tab/>
        </w:r>
        <w:r>
          <w:fldChar w:fldCharType="begin"/>
        </w:r>
        <w:r>
          <w:instrText xml:space="preserve"> PAGEREF _Toc17026 \h </w:instrText>
        </w:r>
        <w:r>
          <w:fldChar w:fldCharType="separate"/>
        </w:r>
        <w:r>
          <w:t>16</w:t>
        </w:r>
        <w:r>
          <w:fldChar w:fldCharType="end"/>
        </w:r>
      </w:hyperlink>
    </w:p>
    <w:p w14:paraId="5DD21DD5" w14:textId="77777777" w:rsidR="00B84757" w:rsidRDefault="00B84757">
      <w:pPr>
        <w:pStyle w:val="af2"/>
        <w:tabs>
          <w:tab w:val="right" w:leader="dot" w:pos="8646"/>
        </w:tabs>
        <w:ind w:left="960" w:hanging="480"/>
      </w:pPr>
      <w:hyperlink w:anchor="_Toc32453" w:history="1">
        <w:r>
          <w:t>图</w:t>
        </w:r>
        <w:r>
          <w:t xml:space="preserve"> 10 </w:t>
        </w:r>
        <w:r>
          <w:rPr>
            <w:rFonts w:hint="eastAsia"/>
            <w:lang w:eastAsia="zh-CN"/>
          </w:rPr>
          <w:t xml:space="preserve"> </w:t>
        </w:r>
        <w:r>
          <w:rPr>
            <w:rFonts w:hint="eastAsia"/>
            <w:lang w:eastAsia="zh-CN"/>
          </w:rPr>
          <w:t>全国</w:t>
        </w:r>
        <w:r>
          <w:rPr>
            <w:rFonts w:hint="eastAsia"/>
            <w:lang w:eastAsia="zh-CN"/>
          </w:rPr>
          <w:t>30</w:t>
        </w:r>
        <w:r>
          <w:rPr>
            <w:rFonts w:hint="eastAsia"/>
            <w:lang w:eastAsia="zh-CN"/>
          </w:rPr>
          <w:t>省份超效率演进趋势图</w:t>
        </w:r>
        <w:r>
          <w:tab/>
        </w:r>
        <w:r>
          <w:fldChar w:fldCharType="begin"/>
        </w:r>
        <w:r>
          <w:instrText xml:space="preserve"> PAGEREF _Toc32453 \h </w:instrText>
        </w:r>
        <w:r>
          <w:fldChar w:fldCharType="separate"/>
        </w:r>
        <w:r>
          <w:t>16</w:t>
        </w:r>
        <w:r>
          <w:fldChar w:fldCharType="end"/>
        </w:r>
      </w:hyperlink>
    </w:p>
    <w:p w14:paraId="60CF56FC" w14:textId="77777777" w:rsidR="00B84757" w:rsidRDefault="00B84757">
      <w:pPr>
        <w:pStyle w:val="af2"/>
        <w:tabs>
          <w:tab w:val="right" w:leader="dot" w:pos="8646"/>
        </w:tabs>
        <w:ind w:left="960" w:hanging="480"/>
      </w:pPr>
      <w:hyperlink w:anchor="_Toc294" w:history="1">
        <w:r>
          <w:t>图</w:t>
        </w:r>
        <w:r>
          <w:t xml:space="preserve"> 11 </w:t>
        </w:r>
        <w:r>
          <w:rPr>
            <w:rFonts w:hint="eastAsia"/>
            <w:lang w:eastAsia="zh-CN"/>
          </w:rPr>
          <w:t xml:space="preserve"> </w:t>
        </w:r>
        <w:r>
          <w:rPr>
            <w:rFonts w:hint="eastAsia"/>
            <w:lang w:eastAsia="zh-CN"/>
          </w:rPr>
          <w:t>区域碳排放效率差异箱线图</w:t>
        </w:r>
        <w:r>
          <w:tab/>
        </w:r>
        <w:r>
          <w:fldChar w:fldCharType="begin"/>
        </w:r>
        <w:r>
          <w:instrText xml:space="preserve"> PAGEREF _Toc294 \h </w:instrText>
        </w:r>
        <w:r>
          <w:fldChar w:fldCharType="separate"/>
        </w:r>
        <w:r>
          <w:t>17</w:t>
        </w:r>
        <w:r>
          <w:fldChar w:fldCharType="end"/>
        </w:r>
      </w:hyperlink>
    </w:p>
    <w:p w14:paraId="0D48DCE3" w14:textId="77777777" w:rsidR="00B84757" w:rsidRDefault="00B84757">
      <w:pPr>
        <w:pStyle w:val="af2"/>
        <w:tabs>
          <w:tab w:val="right" w:leader="dot" w:pos="8646"/>
        </w:tabs>
        <w:ind w:left="960" w:hanging="480"/>
      </w:pPr>
      <w:hyperlink w:anchor="_Toc31500" w:history="1">
        <w:r>
          <w:t>图</w:t>
        </w:r>
        <w:r>
          <w:t xml:space="preserve"> 12 </w:t>
        </w:r>
        <w:r>
          <w:rPr>
            <w:rFonts w:hint="eastAsia"/>
            <w:lang w:eastAsia="zh-CN"/>
          </w:rPr>
          <w:t xml:space="preserve"> </w:t>
        </w:r>
        <w:r>
          <w:t>各省平均效率排序图</w:t>
        </w:r>
        <w:r>
          <w:tab/>
        </w:r>
        <w:r>
          <w:fldChar w:fldCharType="begin"/>
        </w:r>
        <w:r>
          <w:instrText xml:space="preserve"> PAGEREF _Toc31500 \h </w:instrText>
        </w:r>
        <w:r>
          <w:fldChar w:fldCharType="separate"/>
        </w:r>
        <w:r>
          <w:t>18</w:t>
        </w:r>
        <w:r>
          <w:fldChar w:fldCharType="end"/>
        </w:r>
      </w:hyperlink>
    </w:p>
    <w:p w14:paraId="3F4EB40D" w14:textId="77777777" w:rsidR="00B84757" w:rsidRDefault="00B84757">
      <w:pPr>
        <w:pStyle w:val="af2"/>
        <w:tabs>
          <w:tab w:val="right" w:leader="dot" w:pos="8646"/>
        </w:tabs>
        <w:ind w:left="960" w:hanging="480"/>
      </w:pPr>
      <w:hyperlink w:anchor="_Toc12607" w:history="1">
        <w:r>
          <w:t>图</w:t>
        </w:r>
        <w:r>
          <w:t xml:space="preserve"> 13 </w:t>
        </w:r>
        <w:r>
          <w:rPr>
            <w:rFonts w:hint="eastAsia"/>
            <w:lang w:eastAsia="zh-CN"/>
          </w:rPr>
          <w:t xml:space="preserve"> </w:t>
        </w:r>
        <w:r>
          <w:rPr>
            <w:rFonts w:hint="eastAsia"/>
            <w:lang w:eastAsia="zh-CN"/>
          </w:rPr>
          <w:t>代表性高低效率省份年际变化对比图</w:t>
        </w:r>
        <w:r>
          <w:tab/>
        </w:r>
        <w:r>
          <w:fldChar w:fldCharType="begin"/>
        </w:r>
        <w:r>
          <w:instrText xml:space="preserve"> PAGEREF _Toc12607 \h </w:instrText>
        </w:r>
        <w:r>
          <w:fldChar w:fldCharType="separate"/>
        </w:r>
        <w:r>
          <w:t>19</w:t>
        </w:r>
        <w:r>
          <w:fldChar w:fldCharType="end"/>
        </w:r>
      </w:hyperlink>
    </w:p>
    <w:p w14:paraId="495E2A6B" w14:textId="77777777" w:rsidR="00B84757" w:rsidRDefault="00B84757">
      <w:pPr>
        <w:pStyle w:val="af2"/>
        <w:tabs>
          <w:tab w:val="right" w:leader="dot" w:pos="8646"/>
        </w:tabs>
        <w:ind w:left="960" w:hanging="480"/>
      </w:pPr>
      <w:hyperlink w:anchor="_Toc30574" w:history="1">
        <w:r>
          <w:t>图</w:t>
        </w:r>
        <w:r>
          <w:t xml:space="preserve"> 14 </w:t>
        </w:r>
        <w:r>
          <w:rPr>
            <w:rFonts w:hint="eastAsia"/>
            <w:lang w:eastAsia="zh-CN"/>
          </w:rPr>
          <w:t xml:space="preserve"> Malmquist</w:t>
        </w:r>
        <w:r>
          <w:rPr>
            <w:rFonts w:hint="eastAsia"/>
            <w:lang w:eastAsia="zh-CN"/>
          </w:rPr>
          <w:t>指数及其分解项年度趋势图</w:t>
        </w:r>
        <w:r>
          <w:tab/>
        </w:r>
        <w:r>
          <w:fldChar w:fldCharType="begin"/>
        </w:r>
        <w:r>
          <w:instrText xml:space="preserve"> PAGEREF _Toc30574 \h </w:instrText>
        </w:r>
        <w:r>
          <w:fldChar w:fldCharType="separate"/>
        </w:r>
        <w:r>
          <w:t>21</w:t>
        </w:r>
        <w:r>
          <w:fldChar w:fldCharType="end"/>
        </w:r>
      </w:hyperlink>
    </w:p>
    <w:p w14:paraId="3C8E2097" w14:textId="77777777" w:rsidR="00B84757" w:rsidRDefault="00B84757">
      <w:pPr>
        <w:pStyle w:val="af2"/>
        <w:tabs>
          <w:tab w:val="right" w:leader="dot" w:pos="8646"/>
        </w:tabs>
        <w:ind w:left="960" w:hanging="480"/>
      </w:pPr>
      <w:hyperlink w:anchor="_Toc3348" w:history="1">
        <w:r>
          <w:t>图</w:t>
        </w:r>
        <w:r>
          <w:t xml:space="preserve"> 15 </w:t>
        </w:r>
        <w:r>
          <w:rPr>
            <w:rFonts w:hint="eastAsia"/>
            <w:lang w:eastAsia="zh-CN"/>
          </w:rPr>
          <w:t xml:space="preserve"> </w:t>
        </w:r>
        <w:r>
          <w:rPr>
            <w:lang w:eastAsia="zh-CN"/>
          </w:rPr>
          <w:t>控制双向固定效应后的夜间灯光聚合度与碳排放效率净关系图</w:t>
        </w:r>
        <w:r>
          <w:tab/>
        </w:r>
        <w:r>
          <w:fldChar w:fldCharType="begin"/>
        </w:r>
        <w:r>
          <w:instrText xml:space="preserve"> PAGEREF _Toc3348 \h </w:instrText>
        </w:r>
        <w:r>
          <w:fldChar w:fldCharType="separate"/>
        </w:r>
        <w:r>
          <w:t>24</w:t>
        </w:r>
        <w:r>
          <w:fldChar w:fldCharType="end"/>
        </w:r>
      </w:hyperlink>
    </w:p>
    <w:p w14:paraId="338512E7" w14:textId="77777777" w:rsidR="00B84757" w:rsidRDefault="00B84757">
      <w:pPr>
        <w:pStyle w:val="af2"/>
        <w:tabs>
          <w:tab w:val="right" w:leader="dot" w:pos="8646"/>
        </w:tabs>
        <w:ind w:left="960" w:hanging="480"/>
      </w:pPr>
      <w:hyperlink w:anchor="_Toc3711" w:history="1">
        <w:r>
          <w:t>图</w:t>
        </w:r>
        <w:r>
          <w:t xml:space="preserve"> 16 </w:t>
        </w:r>
        <w:r>
          <w:rPr>
            <w:rFonts w:hint="eastAsia"/>
            <w:lang w:eastAsia="zh-CN"/>
          </w:rPr>
          <w:t xml:space="preserve"> </w:t>
        </w:r>
        <w:r>
          <w:t>基准回归结果可视化（系数森林图）</w:t>
        </w:r>
        <w:r>
          <w:tab/>
        </w:r>
        <w:r>
          <w:fldChar w:fldCharType="begin"/>
        </w:r>
        <w:r>
          <w:instrText xml:space="preserve"> PAGEREF _Toc3711 \h </w:instrText>
        </w:r>
        <w:r>
          <w:fldChar w:fldCharType="separate"/>
        </w:r>
        <w:r>
          <w:t>24</w:t>
        </w:r>
        <w:r>
          <w:fldChar w:fldCharType="end"/>
        </w:r>
      </w:hyperlink>
    </w:p>
    <w:p w14:paraId="1332FDCA" w14:textId="77777777" w:rsidR="00B84757" w:rsidRDefault="00B84757">
      <w:pPr>
        <w:pStyle w:val="af2"/>
        <w:tabs>
          <w:tab w:val="right" w:leader="dot" w:pos="8646"/>
        </w:tabs>
        <w:ind w:left="960" w:hanging="480"/>
      </w:pPr>
      <w:hyperlink w:anchor="_Toc764" w:history="1">
        <w:r>
          <w:t>图</w:t>
        </w:r>
        <w:r>
          <w:t xml:space="preserve"> 17 </w:t>
        </w:r>
        <w:r>
          <w:rPr>
            <w:rFonts w:hint="eastAsia"/>
            <w:lang w:eastAsia="zh-CN"/>
          </w:rPr>
          <w:t xml:space="preserve"> </w:t>
        </w:r>
        <w:r>
          <w:t>2015—2022</w:t>
        </w:r>
        <w:r>
          <w:t>年省域碳排放效率全局</w:t>
        </w:r>
        <w:r>
          <w:t xml:space="preserve"> Moran’s I </w:t>
        </w:r>
        <w:r>
          <w:t>变化趋势</w:t>
        </w:r>
        <w:r>
          <w:tab/>
        </w:r>
        <w:r>
          <w:fldChar w:fldCharType="begin"/>
        </w:r>
        <w:r>
          <w:instrText xml:space="preserve"> PAGEREF _Toc764 \h </w:instrText>
        </w:r>
        <w:r>
          <w:fldChar w:fldCharType="separate"/>
        </w:r>
        <w:r>
          <w:t>26</w:t>
        </w:r>
        <w:r>
          <w:fldChar w:fldCharType="end"/>
        </w:r>
      </w:hyperlink>
    </w:p>
    <w:p w14:paraId="263EE801" w14:textId="77777777" w:rsidR="00B84757" w:rsidRDefault="00B84757">
      <w:pPr>
        <w:pStyle w:val="af2"/>
        <w:tabs>
          <w:tab w:val="right" w:leader="dot" w:pos="8646"/>
        </w:tabs>
        <w:ind w:left="960" w:hanging="480"/>
      </w:pPr>
      <w:hyperlink w:anchor="_Toc6520" w:history="1">
        <w:r>
          <w:t>图</w:t>
        </w:r>
        <w:r>
          <w:t xml:space="preserve"> 18 </w:t>
        </w:r>
        <w:r>
          <w:rPr>
            <w:rFonts w:hint="eastAsia"/>
            <w:lang w:eastAsia="zh-CN"/>
          </w:rPr>
          <w:t xml:space="preserve"> 2015-2018-2022</w:t>
        </w:r>
        <w:r>
          <w:rPr>
            <w:rFonts w:hint="eastAsia"/>
            <w:lang w:eastAsia="zh-CN"/>
          </w:rPr>
          <w:t>年</w:t>
        </w:r>
        <w:r>
          <w:t>Moran</w:t>
        </w:r>
        <w:r>
          <w:t>散点图</w:t>
        </w:r>
        <w:r>
          <w:tab/>
        </w:r>
        <w:r>
          <w:fldChar w:fldCharType="begin"/>
        </w:r>
        <w:r>
          <w:instrText xml:space="preserve"> PAGEREF _Toc6520 \h </w:instrText>
        </w:r>
        <w:r>
          <w:fldChar w:fldCharType="separate"/>
        </w:r>
        <w:r>
          <w:t>27</w:t>
        </w:r>
        <w:r>
          <w:fldChar w:fldCharType="end"/>
        </w:r>
      </w:hyperlink>
    </w:p>
    <w:p w14:paraId="56573BFD" w14:textId="77777777" w:rsidR="00B84757" w:rsidRDefault="00B84757">
      <w:pPr>
        <w:pStyle w:val="af2"/>
        <w:tabs>
          <w:tab w:val="right" w:leader="dot" w:pos="8646"/>
        </w:tabs>
        <w:ind w:left="960" w:hanging="480"/>
      </w:pPr>
      <w:hyperlink w:anchor="_Toc28437" w:history="1">
        <w:r>
          <w:t>图</w:t>
        </w:r>
        <w:r>
          <w:t xml:space="preserve"> 19 </w:t>
        </w:r>
        <w:r>
          <w:rPr>
            <w:rFonts w:hint="eastAsia"/>
            <w:lang w:eastAsia="zh-CN"/>
          </w:rPr>
          <w:t xml:space="preserve"> 2022</w:t>
        </w:r>
        <w:r>
          <w:rPr>
            <w:rFonts w:hint="eastAsia"/>
            <w:lang w:eastAsia="zh-CN"/>
          </w:rPr>
          <w:t>年</w:t>
        </w:r>
        <w:r>
          <w:t>LISA</w:t>
        </w:r>
        <w:r>
          <w:t>聚类图</w:t>
        </w:r>
        <w:r>
          <w:tab/>
        </w:r>
        <w:r>
          <w:fldChar w:fldCharType="begin"/>
        </w:r>
        <w:r>
          <w:instrText xml:space="preserve"> PAGEREF _Toc28437 \h </w:instrText>
        </w:r>
        <w:r>
          <w:fldChar w:fldCharType="separate"/>
        </w:r>
        <w:r>
          <w:t>27</w:t>
        </w:r>
        <w:r>
          <w:fldChar w:fldCharType="end"/>
        </w:r>
      </w:hyperlink>
    </w:p>
    <w:p w14:paraId="6BA539A4" w14:textId="77777777" w:rsidR="00B84757" w:rsidRDefault="00B84757">
      <w:pPr>
        <w:pStyle w:val="af2"/>
        <w:tabs>
          <w:tab w:val="right" w:leader="dot" w:pos="8646"/>
        </w:tabs>
        <w:ind w:left="960" w:hanging="480"/>
      </w:pPr>
      <w:hyperlink w:anchor="_Toc22409" w:history="1">
        <w:r>
          <w:t>图</w:t>
        </w:r>
        <w:r>
          <w:t xml:space="preserve"> 20 </w:t>
        </w:r>
        <w:r>
          <w:rPr>
            <w:rFonts w:hint="eastAsia"/>
            <w:lang w:eastAsia="zh-CN"/>
          </w:rPr>
          <w:t xml:space="preserve"> </w:t>
        </w:r>
        <w:r>
          <w:rPr>
            <w:rFonts w:hint="eastAsia"/>
            <w:lang w:eastAsia="zh-CN"/>
          </w:rPr>
          <w:t>基准模型拟合与残差诊断图</w:t>
        </w:r>
        <w:r>
          <w:tab/>
        </w:r>
        <w:r>
          <w:fldChar w:fldCharType="begin"/>
        </w:r>
        <w:r>
          <w:instrText xml:space="preserve"> PAGEREF _Toc22409 \h </w:instrText>
        </w:r>
        <w:r>
          <w:fldChar w:fldCharType="separate"/>
        </w:r>
        <w:r>
          <w:t>29</w:t>
        </w:r>
        <w:r>
          <w:fldChar w:fldCharType="end"/>
        </w:r>
      </w:hyperlink>
    </w:p>
    <w:p w14:paraId="3CA13586" w14:textId="77777777" w:rsidR="00B84757" w:rsidRDefault="00B84757">
      <w:pPr>
        <w:pStyle w:val="af2"/>
        <w:tabs>
          <w:tab w:val="right" w:leader="dot" w:pos="8646"/>
        </w:tabs>
        <w:ind w:left="960" w:hanging="480"/>
      </w:pPr>
      <w:hyperlink w:anchor="_Toc7481" w:history="1">
        <w:r>
          <w:t>图</w:t>
        </w:r>
        <w:r>
          <w:t xml:space="preserve"> 21 </w:t>
        </w:r>
        <w:r>
          <w:rPr>
            <w:rFonts w:hint="eastAsia"/>
            <w:lang w:eastAsia="zh-CN"/>
          </w:rPr>
          <w:t xml:space="preserve"> </w:t>
        </w:r>
        <w:r>
          <w:rPr>
            <w:rFonts w:hint="eastAsia"/>
            <w:lang w:eastAsia="zh-CN"/>
          </w:rPr>
          <w:t>核心解释变量稳健性检验结果图</w:t>
        </w:r>
        <w:r>
          <w:tab/>
        </w:r>
        <w:r>
          <w:fldChar w:fldCharType="begin"/>
        </w:r>
        <w:r>
          <w:instrText xml:space="preserve"> PAGEREF _Toc7481 \h </w:instrText>
        </w:r>
        <w:r>
          <w:fldChar w:fldCharType="separate"/>
        </w:r>
        <w:r>
          <w:t>30</w:t>
        </w:r>
        <w:r>
          <w:fldChar w:fldCharType="end"/>
        </w:r>
      </w:hyperlink>
    </w:p>
    <w:p w14:paraId="0F8F33B8" w14:textId="77777777" w:rsidR="00B84757" w:rsidRDefault="00000000">
      <w:pPr>
        <w:spacing w:line="480" w:lineRule="exact"/>
      </w:pPr>
      <w:r>
        <w:fldChar w:fldCharType="end"/>
      </w:r>
    </w:p>
    <w:p w14:paraId="03BFCBC0" w14:textId="77777777" w:rsidR="00B84757" w:rsidRDefault="00000000">
      <w:pPr>
        <w:jc w:val="both"/>
        <w:rPr>
          <w:lang w:eastAsia="zh-CN"/>
        </w:rPr>
      </w:pPr>
      <w:r>
        <w:rPr>
          <w:lang w:eastAsia="zh-CN"/>
        </w:rPr>
        <w:br w:type="page"/>
      </w:r>
    </w:p>
    <w:p w14:paraId="6FF8372D" w14:textId="77777777" w:rsidR="00B84757" w:rsidRDefault="00000000">
      <w:pPr>
        <w:spacing w:line="480" w:lineRule="exact"/>
        <w:jc w:val="center"/>
        <w:rPr>
          <w:sz w:val="28"/>
          <w:szCs w:val="28"/>
          <w:lang w:eastAsia="zh-CN"/>
        </w:rPr>
      </w:pPr>
      <w:r>
        <w:rPr>
          <w:rFonts w:eastAsia="黑体"/>
          <w:b/>
          <w:sz w:val="28"/>
          <w:szCs w:val="28"/>
          <w:lang w:eastAsia="zh-CN"/>
        </w:rPr>
        <w:lastRenderedPageBreak/>
        <w:t>表目录</w:t>
      </w:r>
    </w:p>
    <w:p w14:paraId="20699C8E" w14:textId="77777777" w:rsidR="00B84757" w:rsidRDefault="00000000">
      <w:pPr>
        <w:pStyle w:val="af2"/>
        <w:tabs>
          <w:tab w:val="right" w:leader="dot" w:pos="8646"/>
        </w:tabs>
        <w:ind w:left="960" w:hanging="480"/>
      </w:pPr>
      <w:r>
        <w:fldChar w:fldCharType="begin"/>
      </w:r>
      <w:r>
        <w:instrText>TOC \h \c "</w:instrText>
      </w:r>
      <w:r>
        <w:instrText>表</w:instrText>
      </w:r>
      <w:r>
        <w:instrText>"</w:instrText>
      </w:r>
      <w:r>
        <w:fldChar w:fldCharType="separate"/>
      </w:r>
      <w:hyperlink w:anchor="_Toc5347" w:history="1">
        <w:r w:rsidR="00B84757">
          <w:t>表</w:t>
        </w:r>
        <w:r w:rsidR="00B84757">
          <w:t xml:space="preserve"> 1 </w:t>
        </w:r>
        <w:r w:rsidR="00B84757">
          <w:t>第一阶段碳排放效率测度指标体系</w:t>
        </w:r>
        <w:r w:rsidR="00B84757">
          <w:tab/>
        </w:r>
        <w:r w:rsidR="00B84757">
          <w:fldChar w:fldCharType="begin"/>
        </w:r>
        <w:r w:rsidR="00B84757">
          <w:instrText xml:space="preserve"> PAGEREF _Toc5347 \h </w:instrText>
        </w:r>
        <w:r w:rsidR="00B84757">
          <w:fldChar w:fldCharType="separate"/>
        </w:r>
        <w:r w:rsidR="00B84757">
          <w:t>6</w:t>
        </w:r>
        <w:r w:rsidR="00B84757">
          <w:fldChar w:fldCharType="end"/>
        </w:r>
      </w:hyperlink>
    </w:p>
    <w:p w14:paraId="0EA7B9F2" w14:textId="77777777" w:rsidR="00B84757" w:rsidRDefault="00B84757">
      <w:pPr>
        <w:pStyle w:val="af2"/>
        <w:tabs>
          <w:tab w:val="right" w:leader="dot" w:pos="8646"/>
        </w:tabs>
        <w:ind w:left="960" w:hanging="480"/>
      </w:pPr>
      <w:hyperlink w:anchor="_Toc23879" w:history="1">
        <w:r>
          <w:t>表</w:t>
        </w:r>
        <w:r>
          <w:t xml:space="preserve"> 2 </w:t>
        </w:r>
        <w:r>
          <w:rPr>
            <w:rFonts w:hint="eastAsia"/>
            <w:lang w:eastAsia="zh-CN"/>
          </w:rPr>
          <w:t xml:space="preserve"> </w:t>
        </w:r>
        <w:r>
          <w:t>第二阶段回归变量定义</w:t>
        </w:r>
        <w:r>
          <w:tab/>
        </w:r>
        <w:r>
          <w:fldChar w:fldCharType="begin"/>
        </w:r>
        <w:r>
          <w:instrText xml:space="preserve"> PAGEREF _Toc23879 \h </w:instrText>
        </w:r>
        <w:r>
          <w:fldChar w:fldCharType="separate"/>
        </w:r>
        <w:r>
          <w:t>7</w:t>
        </w:r>
        <w:r>
          <w:fldChar w:fldCharType="end"/>
        </w:r>
      </w:hyperlink>
    </w:p>
    <w:p w14:paraId="539541E5" w14:textId="77777777" w:rsidR="00B84757" w:rsidRDefault="00B84757">
      <w:pPr>
        <w:pStyle w:val="af2"/>
        <w:tabs>
          <w:tab w:val="right" w:leader="dot" w:pos="8646"/>
        </w:tabs>
        <w:ind w:left="960" w:hanging="480"/>
      </w:pPr>
      <w:hyperlink w:anchor="_Toc21374" w:history="1">
        <w:r>
          <w:t>表</w:t>
        </w:r>
        <w:r>
          <w:t xml:space="preserve"> 3 </w:t>
        </w:r>
        <w:r>
          <w:rPr>
            <w:rFonts w:hint="eastAsia"/>
            <w:lang w:eastAsia="zh-CN"/>
          </w:rPr>
          <w:t xml:space="preserve"> </w:t>
        </w:r>
        <w:r>
          <w:t>数据来源与单位说明表</w:t>
        </w:r>
        <w:r>
          <w:tab/>
        </w:r>
        <w:r>
          <w:fldChar w:fldCharType="begin"/>
        </w:r>
        <w:r>
          <w:instrText xml:space="preserve"> PAGEREF _Toc21374 \h </w:instrText>
        </w:r>
        <w:r>
          <w:fldChar w:fldCharType="separate"/>
        </w:r>
        <w:r>
          <w:t>8</w:t>
        </w:r>
        <w:r>
          <w:fldChar w:fldCharType="end"/>
        </w:r>
      </w:hyperlink>
    </w:p>
    <w:p w14:paraId="200DC4E3" w14:textId="77777777" w:rsidR="00B84757" w:rsidRDefault="00B84757">
      <w:pPr>
        <w:pStyle w:val="af2"/>
        <w:tabs>
          <w:tab w:val="right" w:leader="dot" w:pos="8646"/>
        </w:tabs>
        <w:ind w:left="960" w:hanging="480"/>
      </w:pPr>
      <w:hyperlink w:anchor="_Toc3163" w:history="1">
        <w:r>
          <w:t>表</w:t>
        </w:r>
        <w:r>
          <w:t xml:space="preserve"> 4 </w:t>
        </w:r>
        <w:r>
          <w:rPr>
            <w:rFonts w:hint="eastAsia"/>
            <w:lang w:eastAsia="zh-CN"/>
          </w:rPr>
          <w:t xml:space="preserve"> </w:t>
        </w:r>
        <w:r>
          <w:t>描述性统计表</w:t>
        </w:r>
        <w:r>
          <w:tab/>
        </w:r>
        <w:r>
          <w:fldChar w:fldCharType="begin"/>
        </w:r>
        <w:r>
          <w:instrText xml:space="preserve"> PAGEREF _Toc3163 \h </w:instrText>
        </w:r>
        <w:r>
          <w:fldChar w:fldCharType="separate"/>
        </w:r>
        <w:r>
          <w:t>12</w:t>
        </w:r>
        <w:r>
          <w:fldChar w:fldCharType="end"/>
        </w:r>
      </w:hyperlink>
    </w:p>
    <w:p w14:paraId="4B46F202" w14:textId="77777777" w:rsidR="00B84757" w:rsidRDefault="00B84757">
      <w:pPr>
        <w:pStyle w:val="af2"/>
        <w:tabs>
          <w:tab w:val="right" w:leader="dot" w:pos="8646"/>
        </w:tabs>
        <w:ind w:left="960" w:hanging="480"/>
      </w:pPr>
      <w:hyperlink w:anchor="_Toc30929" w:history="1">
        <w:r>
          <w:t>表</w:t>
        </w:r>
        <w:r>
          <w:t xml:space="preserve"> 5 </w:t>
        </w:r>
        <w:r>
          <w:rPr>
            <w:rFonts w:hint="eastAsia"/>
            <w:lang w:eastAsia="zh-CN"/>
          </w:rPr>
          <w:t xml:space="preserve"> </w:t>
        </w:r>
        <w:r>
          <w:t>变量相关系数矩阵</w:t>
        </w:r>
        <w:r>
          <w:tab/>
        </w:r>
        <w:r>
          <w:fldChar w:fldCharType="begin"/>
        </w:r>
        <w:r>
          <w:instrText xml:space="preserve"> PAGEREF _Toc30929 \h </w:instrText>
        </w:r>
        <w:r>
          <w:fldChar w:fldCharType="separate"/>
        </w:r>
        <w:r>
          <w:t>13</w:t>
        </w:r>
        <w:r>
          <w:fldChar w:fldCharType="end"/>
        </w:r>
      </w:hyperlink>
    </w:p>
    <w:p w14:paraId="7BBF23BE" w14:textId="77777777" w:rsidR="00B84757" w:rsidRDefault="00B84757">
      <w:pPr>
        <w:pStyle w:val="af2"/>
        <w:tabs>
          <w:tab w:val="right" w:leader="dot" w:pos="8646"/>
        </w:tabs>
        <w:ind w:left="960" w:hanging="480"/>
      </w:pPr>
      <w:hyperlink w:anchor="_Toc5016" w:history="1">
        <w:r>
          <w:t>表</w:t>
        </w:r>
        <w:r>
          <w:t xml:space="preserve"> 6 </w:t>
        </w:r>
        <w:r>
          <w:rPr>
            <w:rFonts w:hint="eastAsia"/>
            <w:lang w:eastAsia="zh-CN"/>
          </w:rPr>
          <w:t xml:space="preserve"> </w:t>
        </w:r>
        <w:r>
          <w:t>VIF</w:t>
        </w:r>
        <w:r>
          <w:t>检验结果</w:t>
        </w:r>
        <w:r>
          <w:tab/>
        </w:r>
        <w:r>
          <w:fldChar w:fldCharType="begin"/>
        </w:r>
        <w:r>
          <w:instrText xml:space="preserve"> PAGEREF _Toc5016 \h </w:instrText>
        </w:r>
        <w:r>
          <w:fldChar w:fldCharType="separate"/>
        </w:r>
        <w:r>
          <w:t>13</w:t>
        </w:r>
        <w:r>
          <w:fldChar w:fldCharType="end"/>
        </w:r>
      </w:hyperlink>
    </w:p>
    <w:p w14:paraId="6ECB3B3D" w14:textId="77777777" w:rsidR="00B84757" w:rsidRDefault="00B84757">
      <w:pPr>
        <w:pStyle w:val="af2"/>
        <w:tabs>
          <w:tab w:val="right" w:leader="dot" w:pos="8646"/>
        </w:tabs>
        <w:ind w:left="960" w:hanging="480"/>
      </w:pPr>
      <w:hyperlink w:anchor="_Toc24853" w:history="1">
        <w:r>
          <w:t>表</w:t>
        </w:r>
        <w:r>
          <w:t xml:space="preserve"> 7 </w:t>
        </w:r>
        <w:r>
          <w:rPr>
            <w:rFonts w:hint="eastAsia"/>
            <w:lang w:eastAsia="zh-CN"/>
          </w:rPr>
          <w:t xml:space="preserve"> </w:t>
        </w:r>
        <w:r>
          <w:t>2015—2022</w:t>
        </w:r>
        <w:r>
          <w:t>年全国平均碳排放效率年度统计</w:t>
        </w:r>
        <w:r>
          <w:tab/>
        </w:r>
        <w:r>
          <w:fldChar w:fldCharType="begin"/>
        </w:r>
        <w:r>
          <w:instrText xml:space="preserve"> PAGEREF _Toc24853 \h </w:instrText>
        </w:r>
        <w:r>
          <w:fldChar w:fldCharType="separate"/>
        </w:r>
        <w:r>
          <w:t>15</w:t>
        </w:r>
        <w:r>
          <w:fldChar w:fldCharType="end"/>
        </w:r>
      </w:hyperlink>
    </w:p>
    <w:p w14:paraId="05AC7FE3" w14:textId="77777777" w:rsidR="00B84757" w:rsidRDefault="00B84757">
      <w:pPr>
        <w:pStyle w:val="af2"/>
        <w:tabs>
          <w:tab w:val="right" w:leader="dot" w:pos="8646"/>
        </w:tabs>
        <w:ind w:left="960" w:hanging="480"/>
      </w:pPr>
      <w:hyperlink w:anchor="_Toc31539" w:history="1">
        <w:r>
          <w:t>表</w:t>
        </w:r>
        <w:r>
          <w:t xml:space="preserve"> 8 </w:t>
        </w:r>
        <w:r>
          <w:rPr>
            <w:rFonts w:hint="eastAsia"/>
            <w:lang w:eastAsia="zh-CN"/>
          </w:rPr>
          <w:t xml:space="preserve"> </w:t>
        </w:r>
        <w:r>
          <w:t>代表性高低效率省份平均超效率对比</w:t>
        </w:r>
        <w:r>
          <w:tab/>
        </w:r>
        <w:r>
          <w:fldChar w:fldCharType="begin"/>
        </w:r>
        <w:r>
          <w:instrText xml:space="preserve"> PAGEREF _Toc31539 \h </w:instrText>
        </w:r>
        <w:r>
          <w:fldChar w:fldCharType="separate"/>
        </w:r>
        <w:r>
          <w:t>19</w:t>
        </w:r>
        <w:r>
          <w:fldChar w:fldCharType="end"/>
        </w:r>
      </w:hyperlink>
    </w:p>
    <w:p w14:paraId="45B2CA28" w14:textId="77777777" w:rsidR="00B84757" w:rsidRDefault="00B84757">
      <w:pPr>
        <w:pStyle w:val="af2"/>
        <w:tabs>
          <w:tab w:val="right" w:leader="dot" w:pos="8646"/>
        </w:tabs>
        <w:ind w:left="960" w:hanging="480"/>
      </w:pPr>
      <w:hyperlink w:anchor="_Toc29009" w:history="1">
        <w:r>
          <w:t>表</w:t>
        </w:r>
        <w:r>
          <w:t xml:space="preserve"> 9 </w:t>
        </w:r>
        <w:r>
          <w:rPr>
            <w:rFonts w:hint="eastAsia"/>
            <w:lang w:eastAsia="zh-CN"/>
          </w:rPr>
          <w:t xml:space="preserve"> </w:t>
        </w:r>
        <w:r>
          <w:t xml:space="preserve">Malmquist </w:t>
        </w:r>
        <w:r>
          <w:t>指数年度均值</w:t>
        </w:r>
        <w:r>
          <w:tab/>
        </w:r>
        <w:r>
          <w:fldChar w:fldCharType="begin"/>
        </w:r>
        <w:r>
          <w:instrText xml:space="preserve"> PAGEREF _Toc29009 \h </w:instrText>
        </w:r>
        <w:r>
          <w:fldChar w:fldCharType="separate"/>
        </w:r>
        <w:r>
          <w:t>20</w:t>
        </w:r>
        <w:r>
          <w:fldChar w:fldCharType="end"/>
        </w:r>
      </w:hyperlink>
    </w:p>
    <w:p w14:paraId="77023E30" w14:textId="77777777" w:rsidR="00B84757" w:rsidRDefault="00B84757">
      <w:pPr>
        <w:pStyle w:val="af2"/>
        <w:tabs>
          <w:tab w:val="right" w:leader="dot" w:pos="8646"/>
        </w:tabs>
        <w:ind w:left="960" w:hanging="480"/>
      </w:pPr>
      <w:hyperlink w:anchor="_Toc17534" w:history="1">
        <w:r>
          <w:t>表</w:t>
        </w:r>
        <w:r>
          <w:t xml:space="preserve"> 10 </w:t>
        </w:r>
        <w:r>
          <w:rPr>
            <w:rFonts w:hint="eastAsia"/>
            <w:lang w:eastAsia="zh-CN"/>
          </w:rPr>
          <w:t xml:space="preserve"> </w:t>
        </w:r>
        <w:r>
          <w:t>双向固定效应基准回归结果</w:t>
        </w:r>
        <w:r>
          <w:tab/>
        </w:r>
        <w:r>
          <w:fldChar w:fldCharType="begin"/>
        </w:r>
        <w:r>
          <w:instrText xml:space="preserve"> PAGEREF _Toc17534 \h </w:instrText>
        </w:r>
        <w:r>
          <w:fldChar w:fldCharType="separate"/>
        </w:r>
        <w:r>
          <w:t>23</w:t>
        </w:r>
        <w:r>
          <w:fldChar w:fldCharType="end"/>
        </w:r>
      </w:hyperlink>
    </w:p>
    <w:p w14:paraId="2C18B997" w14:textId="77777777" w:rsidR="00B84757" w:rsidRDefault="00B84757">
      <w:pPr>
        <w:pStyle w:val="af2"/>
        <w:tabs>
          <w:tab w:val="right" w:leader="dot" w:pos="8646"/>
        </w:tabs>
        <w:ind w:left="960" w:hanging="480"/>
      </w:pPr>
      <w:hyperlink w:anchor="_Toc19081" w:history="1">
        <w:r>
          <w:t>表</w:t>
        </w:r>
        <w:r>
          <w:t xml:space="preserve"> 11 </w:t>
        </w:r>
        <w:r>
          <w:rPr>
            <w:rFonts w:hint="eastAsia"/>
            <w:lang w:eastAsia="zh-CN"/>
          </w:rPr>
          <w:t xml:space="preserve"> </w:t>
        </w:r>
        <w:r>
          <w:t>基准模型拟合统计量与诊断摘要</w:t>
        </w:r>
        <w:r>
          <w:tab/>
        </w:r>
        <w:r>
          <w:fldChar w:fldCharType="begin"/>
        </w:r>
        <w:r>
          <w:instrText xml:space="preserve"> PAGEREF _Toc19081 \h </w:instrText>
        </w:r>
        <w:r>
          <w:fldChar w:fldCharType="separate"/>
        </w:r>
        <w:r>
          <w:t>28</w:t>
        </w:r>
        <w:r>
          <w:fldChar w:fldCharType="end"/>
        </w:r>
      </w:hyperlink>
    </w:p>
    <w:p w14:paraId="4B949CF6" w14:textId="77777777" w:rsidR="00B84757" w:rsidRDefault="00B84757">
      <w:pPr>
        <w:pStyle w:val="af2"/>
        <w:tabs>
          <w:tab w:val="right" w:leader="dot" w:pos="8646"/>
        </w:tabs>
        <w:ind w:left="960" w:hanging="480"/>
      </w:pPr>
      <w:hyperlink w:anchor="_Toc22203" w:history="1">
        <w:r>
          <w:t>表</w:t>
        </w:r>
        <w:r>
          <w:t xml:space="preserve"> 12 </w:t>
        </w:r>
        <w:r>
          <w:rPr>
            <w:rFonts w:hint="eastAsia"/>
            <w:lang w:eastAsia="zh-CN"/>
          </w:rPr>
          <w:t xml:space="preserve"> </w:t>
        </w:r>
        <w:r>
          <w:t>异质性分析结果</w:t>
        </w:r>
        <w:r>
          <w:tab/>
        </w:r>
        <w:r>
          <w:fldChar w:fldCharType="begin"/>
        </w:r>
        <w:r>
          <w:instrText xml:space="preserve"> PAGEREF _Toc22203 \h </w:instrText>
        </w:r>
        <w:r>
          <w:fldChar w:fldCharType="separate"/>
        </w:r>
        <w:r>
          <w:t>30</w:t>
        </w:r>
        <w:r>
          <w:fldChar w:fldCharType="end"/>
        </w:r>
      </w:hyperlink>
    </w:p>
    <w:p w14:paraId="1F5671AB" w14:textId="77777777" w:rsidR="00B84757" w:rsidRDefault="00000000">
      <w:r>
        <w:fldChar w:fldCharType="end"/>
      </w:r>
    </w:p>
    <w:p w14:paraId="525380F7" w14:textId="77777777" w:rsidR="00B84757" w:rsidRDefault="00000000">
      <w:pPr>
        <w:jc w:val="both"/>
        <w:rPr>
          <w:lang w:eastAsia="zh-CN"/>
        </w:rPr>
      </w:pPr>
      <w:r>
        <w:rPr>
          <w:lang w:eastAsia="zh-CN"/>
        </w:rPr>
        <w:br w:type="page"/>
      </w:r>
    </w:p>
    <w:p w14:paraId="68876762" w14:textId="77777777" w:rsidR="00B84757" w:rsidRDefault="00000000">
      <w:pPr>
        <w:spacing w:line="480" w:lineRule="exact"/>
        <w:jc w:val="center"/>
        <w:rPr>
          <w:rFonts w:ascii="方正小标宋简体" w:eastAsia="方正小标宋简体"/>
          <w:sz w:val="32"/>
          <w:szCs w:val="32"/>
          <w:lang w:eastAsia="zh-CN"/>
        </w:rPr>
      </w:pPr>
      <w:r>
        <w:rPr>
          <w:rFonts w:ascii="方正小标宋简体" w:eastAsia="方正小标宋简体" w:hint="eastAsia"/>
          <w:b/>
          <w:sz w:val="32"/>
          <w:szCs w:val="32"/>
          <w:lang w:eastAsia="zh-CN"/>
        </w:rPr>
        <w:lastRenderedPageBreak/>
        <w:t>基于夜间灯光遥感数据的中国省际碳排放效率测度及影响因素的研究</w:t>
      </w:r>
    </w:p>
    <w:p w14:paraId="2D960AC5" w14:textId="77777777" w:rsidR="00B84757" w:rsidRDefault="00000000">
      <w:pPr>
        <w:spacing w:line="480" w:lineRule="exact"/>
        <w:jc w:val="center"/>
        <w:rPr>
          <w:lang w:eastAsia="zh-CN"/>
        </w:rPr>
      </w:pPr>
      <w:r>
        <w:rPr>
          <w:rFonts w:eastAsia="黑体"/>
          <w:b/>
          <w:sz w:val="28"/>
          <w:lang w:eastAsia="zh-CN"/>
        </w:rPr>
        <w:t>摘</w:t>
      </w:r>
      <w:r>
        <w:rPr>
          <w:rFonts w:eastAsia="黑体"/>
          <w:b/>
          <w:sz w:val="28"/>
          <w:lang w:eastAsia="zh-CN"/>
        </w:rPr>
        <w:t xml:space="preserve">  </w:t>
      </w:r>
      <w:r>
        <w:rPr>
          <w:rFonts w:eastAsia="黑体"/>
          <w:b/>
          <w:sz w:val="28"/>
          <w:lang w:eastAsia="zh-CN"/>
        </w:rPr>
        <w:t>要</w:t>
      </w:r>
    </w:p>
    <w:p w14:paraId="7027FE2E" w14:textId="77777777" w:rsidR="00B84757" w:rsidRDefault="00000000">
      <w:pPr>
        <w:spacing w:line="480" w:lineRule="exact"/>
        <w:ind w:firstLineChars="200" w:firstLine="480"/>
        <w:jc w:val="both"/>
        <w:rPr>
          <w:rFonts w:ascii="宋体" w:hAnsi="宋体"/>
          <w:lang w:eastAsia="zh-CN"/>
        </w:rPr>
      </w:pPr>
      <w:r>
        <w:rPr>
          <w:rFonts w:ascii="宋体" w:hAnsi="宋体" w:hint="eastAsia"/>
          <w:lang w:eastAsia="zh-CN"/>
        </w:rPr>
        <w:t>在“双碳”目标持续推进和区域绿色转型不断深化的背景下，如何在保持经济增长的同时提升碳排放效率，已成为衡量高质量发展水平的重要议题。本文以2015—2022年中国大陆30个省级地区为研究对象形成省级平衡面板样本。围绕效率测度—动态演进—影响因素—空间相关性这一研究主线，本文首先在规模报酬可变假设下，构建包含劳动投入、资本投入、能源投入、期望产出与非期望产出的指标体系，采用超效率SBM模型测度省际碳排放效率，并结合全局参比Malmquist指数分析其动态变化特征；其次，构建双向固定效应模型，识别夜间灯光强度及产业结构、城镇化率、研发投入、对外开放和能源结构等因素对碳排放效率的影响；最后，利用Global Moran’s I检验省际碳排放效率的空间相关性。</w:t>
      </w:r>
    </w:p>
    <w:p w14:paraId="494F2A04" w14:textId="77777777" w:rsidR="00B84757" w:rsidRDefault="00000000">
      <w:pPr>
        <w:spacing w:line="480" w:lineRule="exact"/>
        <w:ind w:firstLineChars="200" w:firstLine="480"/>
        <w:jc w:val="both"/>
        <w:rPr>
          <w:rFonts w:ascii="宋体" w:hAnsi="宋体"/>
          <w:lang w:eastAsia="zh-CN"/>
        </w:rPr>
      </w:pPr>
      <w:r>
        <w:rPr>
          <w:rFonts w:ascii="宋体" w:hAnsi="宋体" w:hint="eastAsia"/>
          <w:lang w:eastAsia="zh-CN"/>
        </w:rPr>
        <w:t>研究结果表明：样本期内全国省域碳排放效率均值为0.5272，由2015年的0.4183提升至2022年的0.6350，总体呈波动上升趋势，但省际差异依然显著；Malmquist指数均值为1.0637，其中技术效率变化均值为0.9871、技术进步指数均值为1.0895，说明效率改善主要来源于技术进步而非单纯效率追赶；2015—2022年全局Moran’s I均为正，介于0.1741—0.3031之间，除2021年外多数年份在5%水平上显著，表明省际碳排放效率存在稳定的正向空间自相关；双向固定效应结果显示，夜间灯光强度在10%水平上边际显著为正，城镇化率显著为负，对外开放水平显著为正，研发投入边际显著为正，而产业结构和能源结构在基准设定下未通过显著性检验。本文研究可为区域低碳治理、空间协同减排和绿色转型路径优化提供一定参考。</w:t>
      </w:r>
    </w:p>
    <w:p w14:paraId="7D0BA64E" w14:textId="77777777" w:rsidR="00B84757" w:rsidRDefault="00000000">
      <w:pPr>
        <w:jc w:val="both"/>
        <w:rPr>
          <w:rFonts w:ascii="黑体" w:eastAsia="黑体" w:hAnsi="黑体"/>
          <w:lang w:eastAsia="zh-CN"/>
        </w:rPr>
      </w:pPr>
      <w:r>
        <w:rPr>
          <w:rFonts w:ascii="黑体" w:eastAsia="黑体" w:hAnsi="黑体"/>
          <w:b/>
          <w:bCs/>
          <w:lang w:eastAsia="zh-CN"/>
        </w:rPr>
        <w:t>关键词：</w:t>
      </w:r>
      <w:r>
        <w:rPr>
          <w:rFonts w:ascii="黑体" w:eastAsia="黑体" w:hAnsi="黑体"/>
          <w:lang w:eastAsia="zh-CN"/>
        </w:rPr>
        <w:t>夜间灯光遥感数据；碳排放效率；超效率SBM；Malmquist指数；空间相关性</w:t>
      </w:r>
    </w:p>
    <w:p w14:paraId="42F7E9C9" w14:textId="77777777" w:rsidR="00B84757" w:rsidRDefault="00000000">
      <w:pPr>
        <w:pageBreakBefore/>
        <w:jc w:val="center"/>
      </w:pPr>
      <w:r>
        <w:rPr>
          <w:rFonts w:eastAsia="Times New Roman"/>
          <w:b/>
          <w:sz w:val="28"/>
        </w:rPr>
        <w:lastRenderedPageBreak/>
        <w:t>Abstract</w:t>
      </w:r>
    </w:p>
    <w:p w14:paraId="3BD089C7" w14:textId="77777777" w:rsidR="00B84757" w:rsidRDefault="00000000">
      <w:pPr>
        <w:ind w:firstLineChars="200" w:firstLine="480"/>
        <w:jc w:val="both"/>
      </w:pPr>
      <w:r>
        <w:t>Against the backdrop of China’s advancing “dual-carbon” goals and deepening regional green transition, improving carbon emission efficiency while sustaining economic growth has become a key issue in evaluating high-quality development. This paper uses a balanced panel of 30 provincial-level regions in mainland China from 2015 to 2022. Following the framework of “efficiency measurement–dynamic evolution–determinants–spatial correlation,” it first constructs an indicator system including labor, capital, and energy inputs, desirable output, and undesirable output. Under variable returns to scale, the super-efficiency SBM model is employed to measure interprovincial carbon emission efficiency, and the global-reference Malmquist index is used to examine its dynamic evolution. A two-way fixed-effects model is then applied to identify the effects of nighttime light intensity, industrial structure, urbanization, R&amp;D input, openness, and energy structure on carbon emission efficiency. Finally, Global Moran’s I is used to test spatial correlation. The results show that the average provincial carbon emission efficiency is 0.5272 during the sample period, increasing from 0.4183 in 2015 to 0.6350 in 2022, with an overall upward but fluctuating trend and clear interprovincial disparities. The mean Malmquist index is 1.0637, with the mean efficiency change index at 0.9871 and the mean technological progress index at 1.0895, indicating that the improvement is mainly driven by technological progress rather than efficiency catch-up. Global Moran’s I remains positive throughout 2015–2022, ranging from 0.1741 to 0.3031, and is significant at the 5% level in most years except 2021, suggesting stable positive spatial autocorrelation. The two-way fixed-effects results further show that nighttime light intensity has a marginally significant positive effect at the 10% level; urbanization has a significantly negative effect; openness has a significantly positive effect; and R&amp;D input is marginally significant and positive, while industrial structure and energy structure are insignificant in the baseline model. These findings provide empirical support for regional low-carbon governance, coordinated emission reduction, and the optimization of green transition paths.</w:t>
      </w:r>
    </w:p>
    <w:p w14:paraId="4A427541" w14:textId="77777777" w:rsidR="00B84757" w:rsidRDefault="00000000">
      <w:pPr>
        <w:jc w:val="both"/>
      </w:pPr>
      <w:r>
        <w:rPr>
          <w:b/>
          <w:bCs/>
        </w:rPr>
        <w:t>Key words:</w:t>
      </w:r>
      <w:r>
        <w:t xml:space="preserve"> nighttime light remote sensing; carbon emission efficiency; super-efficiency SBM; Malmquist index; spatial dependence</w:t>
      </w:r>
    </w:p>
    <w:p w14:paraId="72990FE8" w14:textId="77777777" w:rsidR="00B84757" w:rsidRDefault="00B84757">
      <w:pPr>
        <w:pStyle w:val="1"/>
        <w:pageBreakBefore/>
        <w:jc w:val="both"/>
        <w:rPr>
          <w:color w:val="auto"/>
          <w:szCs w:val="30"/>
          <w:lang w:eastAsia="zh-CN"/>
        </w:rPr>
        <w:sectPr w:rsidR="00B84757">
          <w:pgSz w:w="12240" w:h="15840"/>
          <w:pgMar w:top="1440" w:right="1797" w:bottom="1440" w:left="1797" w:header="720" w:footer="720" w:gutter="0"/>
          <w:pgNumType w:start="0"/>
          <w:cols w:space="0"/>
          <w:titlePg/>
          <w:docGrid w:linePitch="360"/>
        </w:sectPr>
      </w:pPr>
    </w:p>
    <w:p w14:paraId="75043A8D" w14:textId="77777777" w:rsidR="00B84757" w:rsidRDefault="00000000">
      <w:pPr>
        <w:pStyle w:val="1"/>
        <w:pageBreakBefore/>
        <w:jc w:val="both"/>
        <w:rPr>
          <w:color w:val="auto"/>
          <w:szCs w:val="30"/>
          <w:lang w:eastAsia="zh-CN"/>
        </w:rPr>
      </w:pPr>
      <w:bookmarkStart w:id="0" w:name="_Toc28946"/>
      <w:r>
        <w:rPr>
          <w:color w:val="auto"/>
          <w:szCs w:val="30"/>
          <w:lang w:eastAsia="zh-CN"/>
        </w:rPr>
        <w:lastRenderedPageBreak/>
        <w:t>一、引言</w:t>
      </w:r>
      <w:bookmarkEnd w:id="0"/>
    </w:p>
    <w:p w14:paraId="3E473C6B" w14:textId="77777777" w:rsidR="00B84757" w:rsidRDefault="00000000">
      <w:pPr>
        <w:pStyle w:val="21"/>
        <w:jc w:val="both"/>
        <w:rPr>
          <w:rFonts w:ascii="楷体" w:hAnsi="楷体"/>
          <w:color w:val="auto"/>
          <w:lang w:eastAsia="zh-CN"/>
        </w:rPr>
      </w:pPr>
      <w:bookmarkStart w:id="1" w:name="_Toc13232"/>
      <w:r>
        <w:rPr>
          <w:rFonts w:ascii="楷体" w:hAnsi="楷体"/>
          <w:color w:val="auto"/>
          <w:lang w:eastAsia="zh-CN"/>
        </w:rPr>
        <w:t>（一）研究背景与问题提出</w:t>
      </w:r>
      <w:bookmarkEnd w:id="1"/>
    </w:p>
    <w:p w14:paraId="4DE59ED3" w14:textId="77777777" w:rsidR="00B84757" w:rsidRDefault="00000000">
      <w:pPr>
        <w:spacing w:after="0" w:line="480" w:lineRule="exact"/>
        <w:ind w:firstLineChars="200" w:firstLine="480"/>
        <w:jc w:val="both"/>
        <w:rPr>
          <w:rFonts w:ascii="宋体" w:hAnsi="宋体"/>
          <w:lang w:eastAsia="zh-CN"/>
        </w:rPr>
      </w:pPr>
      <w:r>
        <w:rPr>
          <w:rFonts w:ascii="宋体" w:hAnsi="宋体" w:hint="eastAsia"/>
          <w:lang w:eastAsia="zh-CN"/>
        </w:rPr>
        <w:t>在全球气候治理持续深化和我国“双碳”战略稳步推进的背景下，碳排放效率已成为衡量区域绿色发展质量的重要指标。与单纯关注碳排放总量不同，碳排放效率同时考虑投入、产出与环境约束，更能反映资源配置质量和经济增长方式。我国不同省份在资源禀赋、产业结构、能源消费和技术基础等方面差异明显，碳排放效率因此呈现显著的区域分化。夜间灯光遥感数据具有覆盖广、连续性强和跨区域可比性高等优势，可为识别区域绿色发展差异提供统一的数据支撑。现有研究多将其作为经济规模代理变量，而对其空间聚合特征关注不足。基于此，本文以夜间灯光聚合度为核心解释变量，在统一的省级面板框架下分析碳排放效率的测度结果、动态演进、影响因素及空间相关性。</w:t>
      </w:r>
    </w:p>
    <w:p w14:paraId="7D0AE934" w14:textId="77777777" w:rsidR="00B84757" w:rsidRDefault="00000000">
      <w:pPr>
        <w:pStyle w:val="21"/>
        <w:jc w:val="both"/>
        <w:rPr>
          <w:rFonts w:ascii="楷体" w:hAnsi="楷体"/>
          <w:color w:val="auto"/>
          <w:lang w:eastAsia="zh-CN"/>
        </w:rPr>
      </w:pPr>
      <w:bookmarkStart w:id="2" w:name="_Toc8452"/>
      <w:r>
        <w:rPr>
          <w:rFonts w:ascii="楷体" w:hAnsi="楷体"/>
          <w:color w:val="auto"/>
          <w:lang w:eastAsia="zh-CN"/>
        </w:rPr>
        <w:t>（二）研究问题与研究价值</w:t>
      </w:r>
      <w:bookmarkEnd w:id="2"/>
    </w:p>
    <w:p w14:paraId="26A166F4" w14:textId="77777777" w:rsidR="00B84757" w:rsidRDefault="00000000">
      <w:pPr>
        <w:spacing w:after="0" w:line="480" w:lineRule="exact"/>
        <w:ind w:firstLineChars="200" w:firstLine="480"/>
        <w:jc w:val="both"/>
        <w:rPr>
          <w:rFonts w:ascii="宋体" w:hAnsi="宋体"/>
          <w:lang w:eastAsia="zh-CN"/>
        </w:rPr>
      </w:pPr>
      <w:r>
        <w:rPr>
          <w:rFonts w:ascii="宋体" w:hAnsi="宋体" w:hint="eastAsia"/>
          <w:lang w:eastAsia="zh-CN"/>
        </w:rPr>
        <w:t>本文重点回答四个问题：第一，2015—2022年中国30个省级地区碳排放效率的时空差异如何演变；第二，夜间灯光聚合度是否显著影响碳排放效率；第三，夜间灯光聚合度与碳排放效率之间是否存在非线性关系；第四，产业结构、城镇化率、研发投入、对外开放和能源结构等因素在这一过程中发挥何种作用。本文有助于从省际尺度识别绿色发展效率差异，并为夜间灯光遥感数据在区域经济与环境研究中的应用提供新的证据。</w:t>
      </w:r>
    </w:p>
    <w:p w14:paraId="18F76A3F" w14:textId="77777777" w:rsidR="00B84757" w:rsidRDefault="00000000">
      <w:pPr>
        <w:pStyle w:val="21"/>
        <w:jc w:val="both"/>
        <w:rPr>
          <w:rFonts w:ascii="楷体" w:hAnsi="楷体"/>
          <w:color w:val="auto"/>
          <w:lang w:eastAsia="zh-CN"/>
        </w:rPr>
      </w:pPr>
      <w:bookmarkStart w:id="3" w:name="_Toc23724"/>
      <w:r>
        <w:rPr>
          <w:rFonts w:ascii="楷体" w:hAnsi="楷体"/>
          <w:color w:val="auto"/>
          <w:lang w:eastAsia="zh-CN"/>
        </w:rPr>
        <w:t>（三）研究思路与核心内容</w:t>
      </w:r>
      <w:bookmarkEnd w:id="3"/>
    </w:p>
    <w:p w14:paraId="66B3B0ED" w14:textId="77777777" w:rsidR="00B84757" w:rsidRDefault="00000000">
      <w:pPr>
        <w:spacing w:after="0" w:line="480" w:lineRule="exact"/>
        <w:ind w:firstLineChars="200" w:firstLine="480"/>
        <w:jc w:val="both"/>
        <w:rPr>
          <w:lang w:eastAsia="zh-CN"/>
        </w:rPr>
      </w:pPr>
      <w:r>
        <w:rPr>
          <w:rFonts w:hint="eastAsia"/>
          <w:lang w:eastAsia="zh-CN"/>
        </w:rPr>
        <w:t>本文采用“三阶段研究框架”。第一阶段基于</w:t>
      </w:r>
      <w:r>
        <w:rPr>
          <w:rFonts w:hint="eastAsia"/>
          <w:lang w:eastAsia="zh-CN"/>
        </w:rPr>
        <w:t>K</w:t>
      </w:r>
      <w:r>
        <w:rPr>
          <w:rFonts w:hint="eastAsia"/>
          <w:lang w:eastAsia="zh-CN"/>
        </w:rPr>
        <w:t>—</w:t>
      </w:r>
      <w:r>
        <w:rPr>
          <w:rFonts w:hint="eastAsia"/>
          <w:lang w:eastAsia="zh-CN"/>
        </w:rPr>
        <w:t>L</w:t>
      </w:r>
      <w:r>
        <w:rPr>
          <w:rFonts w:hint="eastAsia"/>
          <w:lang w:eastAsia="zh-CN"/>
        </w:rPr>
        <w:t>—</w:t>
      </w:r>
      <w:r>
        <w:rPr>
          <w:rFonts w:hint="eastAsia"/>
          <w:lang w:eastAsia="zh-CN"/>
        </w:rPr>
        <w:t>E</w:t>
      </w:r>
      <w:r>
        <w:rPr>
          <w:rFonts w:hint="eastAsia"/>
          <w:lang w:eastAsia="zh-CN"/>
        </w:rPr>
        <w:t>投入产出体系，利用考虑非期望产出的超效率</w:t>
      </w:r>
      <w:r>
        <w:rPr>
          <w:rFonts w:hint="eastAsia"/>
          <w:lang w:eastAsia="zh-CN"/>
        </w:rPr>
        <w:t>SBM</w:t>
      </w:r>
      <w:r>
        <w:rPr>
          <w:rFonts w:hint="eastAsia"/>
          <w:lang w:eastAsia="zh-CN"/>
        </w:rPr>
        <w:t>模型测度静态碳排放效率，并结合</w:t>
      </w:r>
      <w:r>
        <w:rPr>
          <w:rFonts w:hint="eastAsia"/>
          <w:lang w:eastAsia="zh-CN"/>
        </w:rPr>
        <w:t>Malmquist</w:t>
      </w:r>
      <w:r>
        <w:rPr>
          <w:rFonts w:hint="eastAsia"/>
          <w:lang w:eastAsia="zh-CN"/>
        </w:rPr>
        <w:t>指数刻画动态演进；第二阶段构建双向固定效应模型，识别夜间灯光聚合度及其他控制变量对碳排放效率的影响；第三阶段利用</w:t>
      </w:r>
      <w:r>
        <w:rPr>
          <w:rFonts w:hint="eastAsia"/>
          <w:lang w:eastAsia="zh-CN"/>
        </w:rPr>
        <w:t>Global Moran</w:t>
      </w:r>
      <w:r>
        <w:rPr>
          <w:rFonts w:hint="eastAsia"/>
          <w:lang w:eastAsia="zh-CN"/>
        </w:rPr>
        <w:t>’</w:t>
      </w:r>
      <w:r>
        <w:rPr>
          <w:rFonts w:hint="eastAsia"/>
          <w:lang w:eastAsia="zh-CN"/>
        </w:rPr>
        <w:t>s I</w:t>
      </w:r>
      <w:r>
        <w:rPr>
          <w:rFonts w:hint="eastAsia"/>
          <w:lang w:eastAsia="zh-CN"/>
        </w:rPr>
        <w:t>检验省际碳排放效率</w:t>
      </w:r>
      <w:r>
        <w:rPr>
          <w:rFonts w:hint="eastAsia"/>
          <w:lang w:eastAsia="zh-CN"/>
        </w:rPr>
        <w:lastRenderedPageBreak/>
        <w:t>的空间自相关特征。全文由引言、文献综述、研究设计、数据预处理、效率测度结果、影响因素分析、空间相关性、稳健性与扩展分析以及结论建议构成。</w:t>
      </w:r>
    </w:p>
    <w:p w14:paraId="16975D3A" w14:textId="77777777" w:rsidR="00B84757" w:rsidRDefault="00000000">
      <w:pPr>
        <w:pStyle w:val="21"/>
        <w:jc w:val="both"/>
        <w:rPr>
          <w:rFonts w:ascii="楷体" w:hAnsi="楷体"/>
          <w:color w:val="auto"/>
          <w:lang w:eastAsia="zh-CN"/>
        </w:rPr>
      </w:pPr>
      <w:bookmarkStart w:id="4" w:name="_Toc30010"/>
      <w:r>
        <w:rPr>
          <w:rFonts w:ascii="楷体" w:hAnsi="楷体"/>
          <w:color w:val="auto"/>
          <w:lang w:eastAsia="zh-CN"/>
        </w:rPr>
        <w:t>（四）可能的边际贡献</w:t>
      </w:r>
      <w:bookmarkEnd w:id="4"/>
    </w:p>
    <w:p w14:paraId="47E0277A" w14:textId="77777777" w:rsidR="00B84757" w:rsidRDefault="00000000">
      <w:pPr>
        <w:spacing w:after="0" w:line="480" w:lineRule="exact"/>
        <w:ind w:firstLineChars="200" w:firstLine="480"/>
        <w:jc w:val="both"/>
        <w:rPr>
          <w:rFonts w:ascii="宋体" w:hAnsi="宋体"/>
          <w:lang w:eastAsia="zh-CN"/>
        </w:rPr>
      </w:pPr>
      <w:r>
        <w:rPr>
          <w:lang w:eastAsia="zh-CN"/>
        </w:rPr>
        <w:t>第一，在指标选取与解释框架上，本文将夜间灯光遥感数据纳入碳排放效率研究，并强调其</w:t>
      </w:r>
      <w:r>
        <w:rPr>
          <w:lang w:eastAsia="zh-CN"/>
        </w:rPr>
        <w:t>“</w:t>
      </w:r>
      <w:r>
        <w:rPr>
          <w:lang w:eastAsia="zh-CN"/>
        </w:rPr>
        <w:t>空间聚合度</w:t>
      </w:r>
      <w:r>
        <w:rPr>
          <w:lang w:eastAsia="zh-CN"/>
        </w:rPr>
        <w:t>”</w:t>
      </w:r>
      <w:r>
        <w:rPr>
          <w:lang w:eastAsia="zh-CN"/>
        </w:rPr>
        <w:t>属性，而非仅将其视为经济总量的替代指标；第二，在分析链条上，本文把静态效率测度、动态指数分解、影响因素识别和空间相关性检验纳入同一研究框架，增强了研究逻辑的闭合性；第三，在写作组织上，本文对图表体系、章节过渡和结果解释进行了系统梳理，增强了正文的完整性。</w:t>
      </w:r>
    </w:p>
    <w:p w14:paraId="7D575001" w14:textId="77777777" w:rsidR="00B84757" w:rsidRDefault="00000000">
      <w:pPr>
        <w:jc w:val="both"/>
        <w:rPr>
          <w:lang w:eastAsia="zh-CN"/>
        </w:rPr>
      </w:pPr>
      <w:r>
        <w:rPr>
          <w:noProof/>
          <w:lang w:eastAsia="zh-CN"/>
        </w:rPr>
        <w:drawing>
          <wp:inline distT="0" distB="0" distL="114300" distR="114300" wp14:anchorId="4AE42E05" wp14:editId="2EC656DA">
            <wp:extent cx="5749925" cy="3666490"/>
            <wp:effectExtent l="0" t="0" r="0" b="0"/>
            <wp:docPr id="4" name="图片 4" descr="ChatGPT Image 2026年5月7日 10_42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atGPT Image 2026年5月7日 10_42_32"/>
                    <pic:cNvPicPr>
                      <a:picLocks noChangeAspect="1"/>
                    </pic:cNvPicPr>
                  </pic:nvPicPr>
                  <pic:blipFill>
                    <a:blip r:embed="rId9"/>
                    <a:srcRect t="4341"/>
                    <a:stretch>
                      <a:fillRect/>
                    </a:stretch>
                  </pic:blipFill>
                  <pic:spPr>
                    <a:xfrm>
                      <a:off x="0" y="0"/>
                      <a:ext cx="5749925" cy="3666490"/>
                    </a:xfrm>
                    <a:prstGeom prst="rect">
                      <a:avLst/>
                    </a:prstGeom>
                  </pic:spPr>
                </pic:pic>
              </a:graphicData>
            </a:graphic>
          </wp:inline>
        </w:drawing>
      </w:r>
    </w:p>
    <w:p w14:paraId="19A52AA8"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w:t>
      </w:r>
      <w:r>
        <w:fldChar w:fldCharType="end"/>
      </w:r>
      <w:bookmarkStart w:id="5" w:name="_Toc15666"/>
      <w:r>
        <w:rPr>
          <w:rFonts w:hint="eastAsia"/>
          <w:lang w:eastAsia="zh-CN"/>
        </w:rPr>
        <w:t xml:space="preserve"> </w:t>
      </w:r>
      <w:r>
        <w:rPr>
          <w:lang w:eastAsia="zh-CN"/>
        </w:rPr>
        <w:t>研究技术路线图</w:t>
      </w:r>
      <w:bookmarkEnd w:id="5"/>
    </w:p>
    <w:p w14:paraId="70621EE8" w14:textId="77777777" w:rsidR="00B84757" w:rsidRDefault="00000000">
      <w:pPr>
        <w:pStyle w:val="1"/>
        <w:jc w:val="both"/>
        <w:rPr>
          <w:color w:val="auto"/>
          <w:szCs w:val="30"/>
          <w:lang w:eastAsia="zh-CN"/>
        </w:rPr>
      </w:pPr>
      <w:bookmarkStart w:id="6" w:name="_Toc1450"/>
      <w:r>
        <w:rPr>
          <w:color w:val="auto"/>
          <w:szCs w:val="30"/>
          <w:lang w:eastAsia="zh-CN"/>
        </w:rPr>
        <w:lastRenderedPageBreak/>
        <w:t>二、文献综述与理论分析</w:t>
      </w:r>
      <w:bookmarkEnd w:id="6"/>
    </w:p>
    <w:p w14:paraId="7F48AD1A" w14:textId="77777777" w:rsidR="00B84757" w:rsidRDefault="00000000">
      <w:pPr>
        <w:pStyle w:val="21"/>
        <w:jc w:val="both"/>
        <w:rPr>
          <w:rFonts w:ascii="楷体" w:hAnsi="楷体"/>
          <w:color w:val="auto"/>
          <w:lang w:eastAsia="zh-CN"/>
        </w:rPr>
      </w:pPr>
      <w:bookmarkStart w:id="7" w:name="_Toc20477"/>
      <w:r>
        <w:rPr>
          <w:rFonts w:ascii="楷体" w:hAnsi="楷体"/>
          <w:color w:val="auto"/>
          <w:lang w:eastAsia="zh-CN"/>
        </w:rPr>
        <w:t>（一）碳排放效率测度研究</w:t>
      </w:r>
      <w:bookmarkEnd w:id="7"/>
    </w:p>
    <w:p w14:paraId="2225C458"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碳排放效率测度方法主要包括参数法和非参数法。其中，DEA类非参数方法因无需预设生产函数、能够处理多投入多产出问题，在绿色发展绩效评价中应用广泛。CCR、BCC模型奠定了经典框架，SBM模型进一步将投入冗余和产出不足直接纳入目标函数，超效率SBM模型则能够对有效单元继续排序，因而尤其适合省际比较研究。</w:t>
      </w:r>
      <w:r>
        <w:rPr>
          <w:rFonts w:cs="Times New Roman"/>
          <w:vertAlign w:val="superscript"/>
          <w:lang w:eastAsia="zh-CN"/>
        </w:rPr>
        <w:t>[1-</w:t>
      </w:r>
      <w:r>
        <w:rPr>
          <w:rFonts w:cs="Times New Roman" w:hint="eastAsia"/>
          <w:vertAlign w:val="superscript"/>
          <w:lang w:eastAsia="zh-CN"/>
        </w:rPr>
        <w:t>4</w:t>
      </w:r>
      <w:r>
        <w:rPr>
          <w:rFonts w:cs="Times New Roman"/>
          <w:vertAlign w:val="superscript"/>
          <w:lang w:eastAsia="zh-CN"/>
        </w:rPr>
        <w:t>]</w:t>
      </w:r>
      <w:r>
        <w:rPr>
          <w:rFonts w:ascii="宋体" w:hAnsi="宋体"/>
          <w:lang w:eastAsia="zh-CN"/>
        </w:rPr>
        <w:t>在环境效率研究中，将碳排放作为非期望产出纳入SBM或超效率SBM模型已成为主流做法；进一步结合Malmquist或全局参比GM指数，有助于识别效率变化究竟来自技术进步还是效率追赶。</w:t>
      </w:r>
      <w:r>
        <w:rPr>
          <w:rFonts w:cs="Times New Roman"/>
          <w:vertAlign w:val="superscript"/>
          <w:lang w:eastAsia="zh-CN"/>
        </w:rPr>
        <w:t>[12-16,20]</w:t>
      </w:r>
    </w:p>
    <w:p w14:paraId="1DEA2E3A" w14:textId="77777777" w:rsidR="00B84757" w:rsidRDefault="00000000">
      <w:pPr>
        <w:pStyle w:val="21"/>
        <w:jc w:val="both"/>
        <w:rPr>
          <w:lang w:eastAsia="zh-CN"/>
        </w:rPr>
      </w:pPr>
      <w:bookmarkStart w:id="8" w:name="_Toc8269"/>
      <w:r>
        <w:rPr>
          <w:rFonts w:ascii="楷体" w:hAnsi="楷体"/>
          <w:color w:val="auto"/>
          <w:lang w:eastAsia="zh-CN"/>
        </w:rPr>
        <w:t>（二）夜间灯光遥感数据应用研究</w:t>
      </w:r>
      <w:bookmarkEnd w:id="8"/>
    </w:p>
    <w:p w14:paraId="3BFC1AC5"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夜间灯光遥感数据最初多用于城市范围识别、电力消费变化监测和经济规模估计。随着数据质量的提升，其在经济增长、产业活动、城市化水平、区域不平衡、污染排放和灾后恢复等研究中的应用迅速扩展。与传统统计指标相比，夜间灯光具有覆盖范围广、空间连续性强、受行政边界约束较小等优势，尤其适合用来刻画地区经济活跃度和发展强度。</w:t>
      </w:r>
      <w:r>
        <w:rPr>
          <w:rFonts w:cs="Times New Roman"/>
          <w:vertAlign w:val="superscript"/>
          <w:lang w:eastAsia="zh-CN"/>
        </w:rPr>
        <w:t>[6-8]</w:t>
      </w:r>
    </w:p>
    <w:p w14:paraId="519BDE24"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值得注意的是，现有文献多将夜间灯光总量、平均亮度或增长率作为规模性代理变量，较少进一步挖掘灯光在省域内部的空间集中程度、空间组织方式和集聚结构。对本文而言，若能够从“灯光是否集中在少数区域、是否体现高强度经济集聚”这一角度构造夜间灯光聚合度指标，则更有可能把夜间灯光与效率提升中的规模经济、基础设施共享、知识溢出和要素配置优化联系起来。</w:t>
      </w:r>
      <w:r>
        <w:rPr>
          <w:rFonts w:cs="Times New Roman"/>
          <w:vertAlign w:val="superscript"/>
          <w:lang w:eastAsia="zh-CN"/>
        </w:rPr>
        <w:t>[18,22-23]</w:t>
      </w:r>
    </w:p>
    <w:p w14:paraId="63A5FE77" w14:textId="77777777" w:rsidR="00B84757" w:rsidRDefault="00000000">
      <w:pPr>
        <w:pStyle w:val="21"/>
        <w:jc w:val="both"/>
        <w:rPr>
          <w:rFonts w:ascii="楷体" w:hAnsi="楷体"/>
          <w:color w:val="auto"/>
          <w:lang w:eastAsia="zh-CN"/>
        </w:rPr>
      </w:pPr>
      <w:bookmarkStart w:id="9" w:name="_Toc31478"/>
      <w:r>
        <w:rPr>
          <w:rFonts w:ascii="楷体" w:hAnsi="楷体"/>
          <w:color w:val="auto"/>
          <w:lang w:eastAsia="zh-CN"/>
        </w:rPr>
        <w:t>（三）影响因素与空间效应研究</w:t>
      </w:r>
      <w:bookmarkEnd w:id="9"/>
    </w:p>
    <w:p w14:paraId="722010F1"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关于碳排放效率影响因素的研究，常见解释变量包括产业结构、城镇化率、技术创新、对外开放和能源结构等。一般而言，第二产业比重过高和煤炭依赖度较强会对碳排放效率形成约束，而研发投入和高水平开放往往通过技术溢出、管理优化和要素重组促进绿色发展效率改善。城镇化率的影响则具有双重性：合理的城市集</w:t>
      </w:r>
      <w:r>
        <w:rPr>
          <w:rFonts w:ascii="宋体" w:hAnsi="宋体"/>
          <w:lang w:eastAsia="zh-CN"/>
        </w:rPr>
        <w:lastRenderedPageBreak/>
        <w:t>聚能够提高资源配置效率，但粗放扩张也可能带来额外能源消耗和环境压力。</w:t>
      </w:r>
      <w:r>
        <w:rPr>
          <w:rFonts w:cs="Times New Roman"/>
          <w:vertAlign w:val="superscript"/>
          <w:lang w:eastAsia="zh-CN"/>
        </w:rPr>
        <w:t>[17,21,24]</w:t>
      </w:r>
    </w:p>
    <w:p w14:paraId="5336D51A"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近年来还有研究开始关注环境效率的空间相关性与空间溢出问题，认为相邻地区之间在产业分工、技术扩散、环境治理和要素流动等方面存在联动，导致绿色效率可能具有显著的空间依赖特征。因此，在省际碳排放效率研究中，利用Moran’s I 对空间集聚进行检验，并在条件允许时进一步开展空间模型估计，是十分必要的扩展方向。</w:t>
      </w:r>
      <w:r>
        <w:rPr>
          <w:rFonts w:cs="Times New Roman"/>
          <w:vertAlign w:val="superscript"/>
          <w:lang w:eastAsia="zh-CN"/>
        </w:rPr>
        <w:t>[17,23]</w:t>
      </w:r>
    </w:p>
    <w:p w14:paraId="799A217B" w14:textId="77777777" w:rsidR="00B84757" w:rsidRDefault="00000000">
      <w:pPr>
        <w:pStyle w:val="21"/>
        <w:jc w:val="both"/>
        <w:rPr>
          <w:rFonts w:ascii="楷体" w:hAnsi="楷体"/>
          <w:color w:val="auto"/>
          <w:lang w:eastAsia="zh-CN"/>
        </w:rPr>
      </w:pPr>
      <w:bookmarkStart w:id="10" w:name="_Toc15326"/>
      <w:r>
        <w:rPr>
          <w:rFonts w:ascii="楷体" w:hAnsi="楷体"/>
          <w:color w:val="auto"/>
          <w:lang w:eastAsia="zh-CN"/>
        </w:rPr>
        <w:t>（四）理论机制与研究假设</w:t>
      </w:r>
      <w:bookmarkEnd w:id="10"/>
    </w:p>
    <w:p w14:paraId="29036020"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综合既有研究与本文研究对象特征，夜间灯光聚合度对碳排放效率可能同时存在促进机制与抑制机制。一方面，灯光聚合度上升往往意味着经济活动更集中、基础设施更完善、要素集聚程度更高，从而可能通过规模经济、知识溢出、公共设施共享和技术扩散促进碳排放效率提升；另一方面，当集聚过度或高耗能活动过度集中时，也可能通过拥挤效应、污染积聚、能源消耗密集和地价抬升等途径抑制效率改善。</w:t>
      </w:r>
    </w:p>
    <w:p w14:paraId="018B6998"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基于上述机制，本文提出如下研究假设：假设1，夜间灯光聚合度对碳排放效率具有显著影响；假设2，夜间灯光聚合度与碳排放效率之间可能存在非线性关系；假设3，产业结构、研发投入、对外开放和能源结构等因素对碳排放效率具有显著影响；假设4，省际碳排放效率具有一定的空间相关性，相邻地区之间可能存在效率相似性或联动性。</w:t>
      </w:r>
    </w:p>
    <w:p w14:paraId="5C5EA803" w14:textId="77777777" w:rsidR="00B84757" w:rsidRDefault="00000000">
      <w:pPr>
        <w:spacing w:beforeLines="50" w:before="120"/>
        <w:jc w:val="center"/>
        <w:rPr>
          <w:lang w:eastAsia="zh-CN"/>
        </w:rPr>
      </w:pPr>
      <w:r>
        <w:rPr>
          <w:noProof/>
          <w:lang w:eastAsia="zh-CN"/>
        </w:rPr>
        <w:lastRenderedPageBreak/>
        <w:drawing>
          <wp:inline distT="0" distB="0" distL="114300" distR="114300" wp14:anchorId="09FEA54B" wp14:editId="0917D54A">
            <wp:extent cx="5416550" cy="3850640"/>
            <wp:effectExtent l="0" t="0" r="6350" b="10160"/>
            <wp:docPr id="5" name="图片 5" descr="ChatGPT Image 2026年5月7日 10_45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hatGPT Image 2026年5月7日 10_45_25"/>
                    <pic:cNvPicPr>
                      <a:picLocks noChangeAspect="1"/>
                    </pic:cNvPicPr>
                  </pic:nvPicPr>
                  <pic:blipFill>
                    <a:blip r:embed="rId10"/>
                    <a:srcRect l="685" t="5197" r="806" b="1443"/>
                    <a:stretch>
                      <a:fillRect/>
                    </a:stretch>
                  </pic:blipFill>
                  <pic:spPr>
                    <a:xfrm>
                      <a:off x="0" y="0"/>
                      <a:ext cx="5416550" cy="3850640"/>
                    </a:xfrm>
                    <a:prstGeom prst="rect">
                      <a:avLst/>
                    </a:prstGeom>
                  </pic:spPr>
                </pic:pic>
              </a:graphicData>
            </a:graphic>
          </wp:inline>
        </w:drawing>
      </w:r>
    </w:p>
    <w:p w14:paraId="366052FC"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2</w:t>
      </w:r>
      <w:r>
        <w:fldChar w:fldCharType="end"/>
      </w:r>
      <w:bookmarkStart w:id="11" w:name="_Toc11826"/>
      <w:r>
        <w:rPr>
          <w:rFonts w:hint="eastAsia"/>
          <w:lang w:eastAsia="zh-CN"/>
        </w:rPr>
        <w:t xml:space="preserve"> </w:t>
      </w:r>
      <w:r>
        <w:rPr>
          <w:lang w:eastAsia="zh-CN"/>
        </w:rPr>
        <w:t>夜间灯光聚合度影响碳排放效率的理论机制图</w:t>
      </w:r>
      <w:bookmarkEnd w:id="11"/>
    </w:p>
    <w:p w14:paraId="285C4EF6" w14:textId="77777777" w:rsidR="00B84757" w:rsidRDefault="00000000">
      <w:pPr>
        <w:pStyle w:val="1"/>
        <w:jc w:val="both"/>
        <w:rPr>
          <w:color w:val="auto"/>
          <w:szCs w:val="30"/>
          <w:lang w:eastAsia="zh-CN"/>
        </w:rPr>
      </w:pPr>
      <w:bookmarkStart w:id="12" w:name="_Toc11113"/>
      <w:r>
        <w:rPr>
          <w:color w:val="auto"/>
          <w:szCs w:val="30"/>
          <w:lang w:eastAsia="zh-CN"/>
        </w:rPr>
        <w:t>三、研究设计</w:t>
      </w:r>
      <w:bookmarkEnd w:id="12"/>
    </w:p>
    <w:p w14:paraId="784DFCCB" w14:textId="77777777" w:rsidR="00B84757" w:rsidRDefault="00000000">
      <w:pPr>
        <w:pStyle w:val="21"/>
        <w:jc w:val="both"/>
        <w:rPr>
          <w:rFonts w:ascii="楷体" w:hAnsi="楷体"/>
          <w:color w:val="auto"/>
          <w:lang w:eastAsia="zh-CN"/>
        </w:rPr>
      </w:pPr>
      <w:bookmarkStart w:id="13" w:name="_Toc5936"/>
      <w:r>
        <w:rPr>
          <w:rFonts w:ascii="楷体" w:hAnsi="楷体"/>
          <w:color w:val="auto"/>
          <w:lang w:eastAsia="zh-CN"/>
        </w:rPr>
        <w:t>（一）研究对象与样本范围</w:t>
      </w:r>
      <w:bookmarkEnd w:id="13"/>
    </w:p>
    <w:p w14:paraId="62E7F83F"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本文研究对象为2015—2022年中国大陆30个省级地区。考虑到西藏自治区部分年份相关统计数据和遥感匹配数据缺失较为严重，本文将其剔除；同时剔除香港、澳门和台湾地区，最终形成省级平衡面板数据样本。数据层级为省级面板数据，既能够满足效率测度对投入产出一致口径的要求，也便于后续进行影响因素识别和空间相关性分析。</w:t>
      </w:r>
    </w:p>
    <w:p w14:paraId="782B7681"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样本期选取2015—2022年，一方面能够覆盖“双碳”目标提出前后我国省际绿色发展效率的变化过程，另一方面也兼顾了统计口径、夜间灯光数据可得性以及后续面板分析样本长度的可操作性。</w:t>
      </w:r>
    </w:p>
    <w:p w14:paraId="366E291A" w14:textId="77777777" w:rsidR="00B84757" w:rsidRDefault="00000000">
      <w:pPr>
        <w:pStyle w:val="21"/>
        <w:jc w:val="both"/>
        <w:rPr>
          <w:rFonts w:ascii="楷体" w:hAnsi="楷体"/>
          <w:color w:val="auto"/>
          <w:lang w:eastAsia="zh-CN"/>
        </w:rPr>
      </w:pPr>
      <w:bookmarkStart w:id="14" w:name="_Toc28948"/>
      <w:r>
        <w:rPr>
          <w:rFonts w:ascii="楷体" w:hAnsi="楷体"/>
          <w:color w:val="auto"/>
          <w:lang w:eastAsia="zh-CN"/>
        </w:rPr>
        <w:lastRenderedPageBreak/>
        <w:t>（二）三阶段研究框架</w:t>
      </w:r>
      <w:bookmarkEnd w:id="14"/>
    </w:p>
    <w:p w14:paraId="3B2B9633"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第一阶段为省际碳排放效率测度。本文采用K—L—E投入产出体系，将劳动、资本和能源作为投入变量，以不变价GDP作为期望产出，以碳排放总量作为非期望产出，在VRS假设下使用超效率SBM模型测度静态碳排放效率；在此基础上，进一步利用Malmquist指数分析效率的动态演进及其分解来源。</w:t>
      </w:r>
      <w:r>
        <w:rPr>
          <w:rFonts w:cs="Times New Roman"/>
          <w:vertAlign w:val="superscript"/>
          <w:lang w:eastAsia="zh-CN"/>
        </w:rPr>
        <w:t>[4,12,19-20]</w:t>
      </w:r>
    </w:p>
    <w:p w14:paraId="122DEE82"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第二阶段为影响因素识别。以第一阶段测得的碳排放效率为被解释变量，以夜间灯光聚合度对数项为核心解释变量，引入产业结构、城镇化率、研发投入、对外开放和能源结构等控制变量，构建双向固定效应模型识别省际碳排放效率差异的作用机制。</w:t>
      </w:r>
    </w:p>
    <w:p w14:paraId="0723ABC0"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第三阶段为空间相关性与空间溢出分析。首先利用Global Moran’s I 对省际碳排放效率进行空间自相关检验，以回答“效率值是否存在空间集聚”；在此基础上，为后续空间溢出模型、空间杜宾模型或局部Moran分析预留结构接口。</w:t>
      </w:r>
    </w:p>
    <w:p w14:paraId="7E8092E7" w14:textId="77777777" w:rsidR="00B84757" w:rsidRDefault="00000000">
      <w:pPr>
        <w:pStyle w:val="21"/>
        <w:jc w:val="both"/>
        <w:rPr>
          <w:rFonts w:ascii="楷体" w:hAnsi="楷体"/>
          <w:color w:val="auto"/>
          <w:lang w:eastAsia="zh-CN"/>
        </w:rPr>
      </w:pPr>
      <w:bookmarkStart w:id="15" w:name="_Toc26226"/>
      <w:r>
        <w:rPr>
          <w:rFonts w:ascii="楷体" w:hAnsi="楷体"/>
          <w:color w:val="auto"/>
          <w:lang w:eastAsia="zh-CN"/>
        </w:rPr>
        <w:t>（三）第一阶段碳排放效率测度指标体系</w:t>
      </w:r>
      <w:bookmarkEnd w:id="15"/>
    </w:p>
    <w:p w14:paraId="2590A3ED" w14:textId="77777777" w:rsidR="00B84757" w:rsidRDefault="00000000">
      <w:pPr>
        <w:pStyle w:val="a7"/>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Pr>
          <w:lang w:eastAsia="zh-CN"/>
        </w:rPr>
        <w:t>1</w:t>
      </w:r>
      <w:r>
        <w:fldChar w:fldCharType="end"/>
      </w:r>
      <w:bookmarkStart w:id="16" w:name="_Toc5347"/>
      <w:r>
        <w:rPr>
          <w:lang w:eastAsia="zh-CN"/>
        </w:rPr>
        <w:t>第一阶段碳排放效率测度指标体系</w:t>
      </w:r>
      <w:bookmarkEnd w:id="16"/>
    </w:p>
    <w:tbl>
      <w:tblPr>
        <w:tblStyle w:val="af6"/>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8"/>
        <w:gridCol w:w="2158"/>
        <w:gridCol w:w="2172"/>
        <w:gridCol w:w="2158"/>
      </w:tblGrid>
      <w:tr w:rsidR="00B84757" w14:paraId="34129250" w14:textId="77777777">
        <w:trPr>
          <w:jc w:val="center"/>
        </w:trPr>
        <w:tc>
          <w:tcPr>
            <w:tcW w:w="2266" w:type="dxa"/>
            <w:tcBorders>
              <w:top w:val="single" w:sz="12" w:space="0" w:color="000000"/>
              <w:bottom w:val="single" w:sz="4" w:space="0" w:color="000000"/>
              <w:tl2br w:val="nil"/>
            </w:tcBorders>
            <w:shd w:val="clear" w:color="auto" w:fill="FFFFFF"/>
          </w:tcPr>
          <w:p w14:paraId="38ED8640" w14:textId="77777777" w:rsidR="00B84757" w:rsidRDefault="00000000">
            <w:pPr>
              <w:spacing w:after="0"/>
              <w:jc w:val="both"/>
              <w:rPr>
                <w:rFonts w:ascii="宋体" w:hAnsi="宋体"/>
                <w:color w:val="000000"/>
                <w:szCs w:val="24"/>
              </w:rPr>
            </w:pPr>
            <w:r>
              <w:rPr>
                <w:rFonts w:ascii="宋体" w:hAnsi="宋体"/>
                <w:color w:val="000000"/>
                <w:szCs w:val="24"/>
              </w:rPr>
              <w:t>维度</w:t>
            </w:r>
          </w:p>
        </w:tc>
        <w:tc>
          <w:tcPr>
            <w:tcW w:w="2266" w:type="dxa"/>
            <w:tcBorders>
              <w:top w:val="single" w:sz="12" w:space="0" w:color="000000"/>
              <w:bottom w:val="single" w:sz="4" w:space="0" w:color="000000"/>
            </w:tcBorders>
            <w:shd w:val="clear" w:color="auto" w:fill="FFFFFF"/>
          </w:tcPr>
          <w:p w14:paraId="0B442636" w14:textId="77777777" w:rsidR="00B84757" w:rsidRDefault="00000000">
            <w:pPr>
              <w:spacing w:after="0"/>
              <w:jc w:val="both"/>
              <w:rPr>
                <w:rFonts w:ascii="宋体" w:hAnsi="宋体"/>
                <w:color w:val="000000"/>
                <w:szCs w:val="24"/>
              </w:rPr>
            </w:pPr>
            <w:r>
              <w:rPr>
                <w:rFonts w:ascii="宋体" w:hAnsi="宋体"/>
                <w:color w:val="000000"/>
                <w:szCs w:val="24"/>
              </w:rPr>
              <w:t>指标名称</w:t>
            </w:r>
          </w:p>
        </w:tc>
        <w:tc>
          <w:tcPr>
            <w:tcW w:w="2266" w:type="dxa"/>
            <w:tcBorders>
              <w:top w:val="single" w:sz="12" w:space="0" w:color="000000"/>
              <w:bottom w:val="single" w:sz="4" w:space="0" w:color="000000"/>
            </w:tcBorders>
            <w:shd w:val="clear" w:color="auto" w:fill="FFFFFF"/>
          </w:tcPr>
          <w:p w14:paraId="507A9ABE" w14:textId="77777777" w:rsidR="00B84757" w:rsidRDefault="00000000">
            <w:pPr>
              <w:spacing w:after="0"/>
              <w:jc w:val="both"/>
              <w:rPr>
                <w:rFonts w:ascii="宋体" w:hAnsi="宋体"/>
                <w:color w:val="000000"/>
                <w:szCs w:val="24"/>
              </w:rPr>
            </w:pPr>
            <w:r>
              <w:rPr>
                <w:rFonts w:ascii="宋体" w:hAnsi="宋体"/>
                <w:color w:val="000000"/>
                <w:szCs w:val="24"/>
              </w:rPr>
              <w:t>指标含义</w:t>
            </w:r>
          </w:p>
        </w:tc>
        <w:tc>
          <w:tcPr>
            <w:tcW w:w="2266" w:type="dxa"/>
            <w:tcBorders>
              <w:top w:val="single" w:sz="12" w:space="0" w:color="000000"/>
              <w:bottom w:val="single" w:sz="4" w:space="0" w:color="000000"/>
            </w:tcBorders>
            <w:shd w:val="clear" w:color="auto" w:fill="FFFFFF"/>
          </w:tcPr>
          <w:p w14:paraId="0A8F3C8D" w14:textId="77777777" w:rsidR="00B84757" w:rsidRDefault="00000000">
            <w:pPr>
              <w:spacing w:after="0"/>
              <w:jc w:val="both"/>
              <w:rPr>
                <w:rFonts w:ascii="宋体" w:hAnsi="宋体"/>
                <w:color w:val="000000"/>
                <w:szCs w:val="24"/>
              </w:rPr>
            </w:pPr>
            <w:r>
              <w:rPr>
                <w:rFonts w:ascii="宋体" w:hAnsi="宋体"/>
                <w:color w:val="000000"/>
                <w:szCs w:val="24"/>
              </w:rPr>
              <w:t>预期作用</w:t>
            </w:r>
          </w:p>
        </w:tc>
      </w:tr>
      <w:tr w:rsidR="00B84757" w14:paraId="209600AF" w14:textId="77777777">
        <w:trPr>
          <w:jc w:val="center"/>
        </w:trPr>
        <w:tc>
          <w:tcPr>
            <w:tcW w:w="2266" w:type="dxa"/>
            <w:tcBorders>
              <w:top w:val="single" w:sz="4" w:space="0" w:color="000000"/>
            </w:tcBorders>
            <w:shd w:val="clear" w:color="auto" w:fill="FFFFFF"/>
          </w:tcPr>
          <w:p w14:paraId="4783DD88" w14:textId="77777777" w:rsidR="00B84757" w:rsidRDefault="00000000">
            <w:pPr>
              <w:spacing w:after="0"/>
              <w:jc w:val="both"/>
              <w:rPr>
                <w:rFonts w:ascii="宋体" w:hAnsi="宋体"/>
                <w:color w:val="000000"/>
                <w:szCs w:val="24"/>
              </w:rPr>
            </w:pPr>
            <w:r>
              <w:rPr>
                <w:rFonts w:ascii="宋体" w:hAnsi="宋体"/>
                <w:color w:val="000000"/>
                <w:szCs w:val="24"/>
              </w:rPr>
              <w:t>投入</w:t>
            </w:r>
          </w:p>
        </w:tc>
        <w:tc>
          <w:tcPr>
            <w:tcW w:w="2266" w:type="dxa"/>
            <w:tcBorders>
              <w:top w:val="single" w:sz="4" w:space="0" w:color="000000"/>
            </w:tcBorders>
            <w:shd w:val="clear" w:color="auto" w:fill="FFFFFF"/>
          </w:tcPr>
          <w:p w14:paraId="28D67569" w14:textId="77777777" w:rsidR="00B84757" w:rsidRDefault="00000000">
            <w:pPr>
              <w:spacing w:after="0"/>
              <w:jc w:val="both"/>
              <w:rPr>
                <w:rFonts w:ascii="宋体" w:hAnsi="宋体"/>
                <w:color w:val="000000"/>
                <w:szCs w:val="24"/>
              </w:rPr>
            </w:pPr>
            <w:r>
              <w:rPr>
                <w:rFonts w:ascii="宋体" w:hAnsi="宋体"/>
                <w:color w:val="000000"/>
                <w:szCs w:val="24"/>
              </w:rPr>
              <w:t>劳动投入</w:t>
            </w:r>
          </w:p>
        </w:tc>
        <w:tc>
          <w:tcPr>
            <w:tcW w:w="2266" w:type="dxa"/>
            <w:tcBorders>
              <w:top w:val="single" w:sz="4" w:space="0" w:color="000000"/>
            </w:tcBorders>
            <w:shd w:val="clear" w:color="auto" w:fill="FFFFFF"/>
          </w:tcPr>
          <w:p w14:paraId="4663102A"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年末就业人数或从业人员数</w:t>
            </w:r>
          </w:p>
        </w:tc>
        <w:tc>
          <w:tcPr>
            <w:tcW w:w="2266" w:type="dxa"/>
            <w:tcBorders>
              <w:top w:val="single" w:sz="4" w:space="0" w:color="000000"/>
            </w:tcBorders>
            <w:shd w:val="clear" w:color="auto" w:fill="FFFFFF"/>
          </w:tcPr>
          <w:p w14:paraId="616FFEFC" w14:textId="77777777" w:rsidR="00B84757" w:rsidRDefault="00000000">
            <w:pPr>
              <w:spacing w:after="0"/>
              <w:jc w:val="both"/>
              <w:rPr>
                <w:rFonts w:ascii="宋体" w:hAnsi="宋体"/>
                <w:color w:val="000000"/>
                <w:szCs w:val="24"/>
              </w:rPr>
            </w:pPr>
            <w:r>
              <w:rPr>
                <w:rFonts w:ascii="宋体" w:hAnsi="宋体"/>
                <w:color w:val="000000"/>
                <w:szCs w:val="24"/>
              </w:rPr>
              <w:t>投入变量</w:t>
            </w:r>
          </w:p>
        </w:tc>
      </w:tr>
      <w:tr w:rsidR="00B84757" w14:paraId="5F965C13" w14:textId="77777777">
        <w:trPr>
          <w:jc w:val="center"/>
        </w:trPr>
        <w:tc>
          <w:tcPr>
            <w:tcW w:w="2266" w:type="dxa"/>
            <w:shd w:val="clear" w:color="auto" w:fill="FFFFFF"/>
          </w:tcPr>
          <w:p w14:paraId="35A50C12" w14:textId="77777777" w:rsidR="00B84757" w:rsidRDefault="00000000">
            <w:pPr>
              <w:spacing w:after="0"/>
              <w:jc w:val="both"/>
              <w:rPr>
                <w:rFonts w:ascii="宋体" w:hAnsi="宋体"/>
                <w:color w:val="000000"/>
                <w:szCs w:val="24"/>
              </w:rPr>
            </w:pPr>
            <w:r>
              <w:rPr>
                <w:rFonts w:ascii="宋体" w:hAnsi="宋体"/>
                <w:color w:val="000000"/>
                <w:szCs w:val="24"/>
              </w:rPr>
              <w:t>投入</w:t>
            </w:r>
          </w:p>
        </w:tc>
        <w:tc>
          <w:tcPr>
            <w:tcW w:w="2266" w:type="dxa"/>
            <w:shd w:val="clear" w:color="auto" w:fill="FFFFFF"/>
          </w:tcPr>
          <w:p w14:paraId="17CCE7DB" w14:textId="77777777" w:rsidR="00B84757" w:rsidRDefault="00000000">
            <w:pPr>
              <w:spacing w:after="0"/>
              <w:jc w:val="both"/>
              <w:rPr>
                <w:rFonts w:ascii="宋体" w:hAnsi="宋体"/>
                <w:color w:val="000000"/>
                <w:szCs w:val="24"/>
              </w:rPr>
            </w:pPr>
            <w:r>
              <w:rPr>
                <w:rFonts w:ascii="宋体" w:hAnsi="宋体"/>
                <w:color w:val="000000"/>
                <w:szCs w:val="24"/>
              </w:rPr>
              <w:t>资本投入</w:t>
            </w:r>
          </w:p>
        </w:tc>
        <w:tc>
          <w:tcPr>
            <w:tcW w:w="2266" w:type="dxa"/>
            <w:shd w:val="clear" w:color="auto" w:fill="FFFFFF"/>
          </w:tcPr>
          <w:p w14:paraId="2AE783D1"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资本存量或固定资产投资额</w:t>
            </w:r>
          </w:p>
        </w:tc>
        <w:tc>
          <w:tcPr>
            <w:tcW w:w="2266" w:type="dxa"/>
            <w:shd w:val="clear" w:color="auto" w:fill="FFFFFF"/>
          </w:tcPr>
          <w:p w14:paraId="0EB8B8CD" w14:textId="77777777" w:rsidR="00B84757" w:rsidRDefault="00000000">
            <w:pPr>
              <w:spacing w:after="0"/>
              <w:jc w:val="both"/>
              <w:rPr>
                <w:rFonts w:ascii="宋体" w:hAnsi="宋体"/>
                <w:color w:val="000000"/>
                <w:szCs w:val="24"/>
              </w:rPr>
            </w:pPr>
            <w:r>
              <w:rPr>
                <w:rFonts w:ascii="宋体" w:hAnsi="宋体"/>
                <w:color w:val="000000"/>
                <w:szCs w:val="24"/>
              </w:rPr>
              <w:t>投入变量</w:t>
            </w:r>
          </w:p>
        </w:tc>
      </w:tr>
      <w:tr w:rsidR="00B84757" w14:paraId="282F3896" w14:textId="77777777">
        <w:trPr>
          <w:jc w:val="center"/>
        </w:trPr>
        <w:tc>
          <w:tcPr>
            <w:tcW w:w="2266" w:type="dxa"/>
            <w:shd w:val="clear" w:color="auto" w:fill="FFFFFF"/>
          </w:tcPr>
          <w:p w14:paraId="2657294F" w14:textId="77777777" w:rsidR="00B84757" w:rsidRDefault="00000000">
            <w:pPr>
              <w:spacing w:after="0"/>
              <w:jc w:val="both"/>
              <w:rPr>
                <w:rFonts w:ascii="宋体" w:hAnsi="宋体"/>
                <w:color w:val="000000"/>
                <w:szCs w:val="24"/>
              </w:rPr>
            </w:pPr>
            <w:r>
              <w:rPr>
                <w:rFonts w:ascii="宋体" w:hAnsi="宋体"/>
                <w:color w:val="000000"/>
                <w:szCs w:val="24"/>
              </w:rPr>
              <w:t>投入</w:t>
            </w:r>
          </w:p>
        </w:tc>
        <w:tc>
          <w:tcPr>
            <w:tcW w:w="2266" w:type="dxa"/>
            <w:shd w:val="clear" w:color="auto" w:fill="FFFFFF"/>
          </w:tcPr>
          <w:p w14:paraId="78D87E75" w14:textId="77777777" w:rsidR="00B84757" w:rsidRDefault="00000000">
            <w:pPr>
              <w:spacing w:after="0"/>
              <w:jc w:val="both"/>
              <w:rPr>
                <w:rFonts w:ascii="宋体" w:hAnsi="宋体"/>
                <w:color w:val="000000"/>
                <w:szCs w:val="24"/>
              </w:rPr>
            </w:pPr>
            <w:r>
              <w:rPr>
                <w:rFonts w:ascii="宋体" w:hAnsi="宋体"/>
                <w:color w:val="000000"/>
                <w:szCs w:val="24"/>
              </w:rPr>
              <w:t>能源投入</w:t>
            </w:r>
          </w:p>
        </w:tc>
        <w:tc>
          <w:tcPr>
            <w:tcW w:w="2266" w:type="dxa"/>
            <w:shd w:val="clear" w:color="auto" w:fill="FFFFFF"/>
          </w:tcPr>
          <w:p w14:paraId="247848A4"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能源消费总量（标准煤折算）</w:t>
            </w:r>
          </w:p>
        </w:tc>
        <w:tc>
          <w:tcPr>
            <w:tcW w:w="2266" w:type="dxa"/>
            <w:shd w:val="clear" w:color="auto" w:fill="FFFFFF"/>
          </w:tcPr>
          <w:p w14:paraId="3587720D" w14:textId="77777777" w:rsidR="00B84757" w:rsidRDefault="00000000">
            <w:pPr>
              <w:spacing w:after="0"/>
              <w:jc w:val="both"/>
              <w:rPr>
                <w:rFonts w:ascii="宋体" w:hAnsi="宋体"/>
                <w:color w:val="000000"/>
                <w:szCs w:val="24"/>
              </w:rPr>
            </w:pPr>
            <w:r>
              <w:rPr>
                <w:rFonts w:ascii="宋体" w:hAnsi="宋体"/>
                <w:color w:val="000000"/>
                <w:szCs w:val="24"/>
              </w:rPr>
              <w:t>投入变量</w:t>
            </w:r>
          </w:p>
        </w:tc>
      </w:tr>
      <w:tr w:rsidR="00B84757" w14:paraId="05CC46CB" w14:textId="77777777">
        <w:trPr>
          <w:jc w:val="center"/>
        </w:trPr>
        <w:tc>
          <w:tcPr>
            <w:tcW w:w="2266" w:type="dxa"/>
            <w:shd w:val="clear" w:color="auto" w:fill="FFFFFF"/>
          </w:tcPr>
          <w:p w14:paraId="369AA07E" w14:textId="77777777" w:rsidR="00B84757" w:rsidRDefault="00000000">
            <w:pPr>
              <w:spacing w:after="0"/>
              <w:jc w:val="both"/>
              <w:rPr>
                <w:rFonts w:ascii="宋体" w:hAnsi="宋体"/>
                <w:color w:val="000000"/>
                <w:szCs w:val="24"/>
              </w:rPr>
            </w:pPr>
            <w:r>
              <w:rPr>
                <w:rFonts w:ascii="宋体" w:hAnsi="宋体"/>
                <w:color w:val="000000"/>
                <w:szCs w:val="24"/>
              </w:rPr>
              <w:t>期望产出</w:t>
            </w:r>
          </w:p>
        </w:tc>
        <w:tc>
          <w:tcPr>
            <w:tcW w:w="2266" w:type="dxa"/>
            <w:shd w:val="clear" w:color="auto" w:fill="FFFFFF"/>
          </w:tcPr>
          <w:p w14:paraId="650BDEFB" w14:textId="77777777" w:rsidR="00B84757" w:rsidRDefault="00000000">
            <w:pPr>
              <w:spacing w:after="0"/>
              <w:jc w:val="both"/>
              <w:rPr>
                <w:rFonts w:ascii="宋体" w:hAnsi="宋体"/>
                <w:color w:val="000000"/>
                <w:szCs w:val="24"/>
              </w:rPr>
            </w:pPr>
            <w:r>
              <w:rPr>
                <w:rFonts w:ascii="宋体" w:hAnsi="宋体"/>
                <w:color w:val="000000"/>
                <w:szCs w:val="24"/>
              </w:rPr>
              <w:t>地区生产总值</w:t>
            </w:r>
          </w:p>
        </w:tc>
        <w:tc>
          <w:tcPr>
            <w:tcW w:w="2266" w:type="dxa"/>
            <w:shd w:val="clear" w:color="auto" w:fill="FFFFFF"/>
          </w:tcPr>
          <w:p w14:paraId="137641E4"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省域GDP（建议折算为不变价）</w:t>
            </w:r>
          </w:p>
        </w:tc>
        <w:tc>
          <w:tcPr>
            <w:tcW w:w="2266" w:type="dxa"/>
            <w:shd w:val="clear" w:color="auto" w:fill="FFFFFF"/>
          </w:tcPr>
          <w:p w14:paraId="3ACA8139" w14:textId="77777777" w:rsidR="00B84757" w:rsidRDefault="00000000">
            <w:pPr>
              <w:spacing w:after="0"/>
              <w:jc w:val="both"/>
              <w:rPr>
                <w:rFonts w:ascii="宋体" w:hAnsi="宋体"/>
                <w:color w:val="000000"/>
                <w:szCs w:val="24"/>
              </w:rPr>
            </w:pPr>
            <w:r>
              <w:rPr>
                <w:rFonts w:ascii="宋体" w:hAnsi="宋体"/>
                <w:color w:val="000000"/>
                <w:szCs w:val="24"/>
              </w:rPr>
              <w:t>正向产出</w:t>
            </w:r>
          </w:p>
        </w:tc>
      </w:tr>
      <w:tr w:rsidR="00B84757" w14:paraId="20BB7ECF" w14:textId="77777777">
        <w:trPr>
          <w:jc w:val="center"/>
        </w:trPr>
        <w:tc>
          <w:tcPr>
            <w:tcW w:w="2266" w:type="dxa"/>
            <w:tcBorders>
              <w:bottom w:val="single" w:sz="12" w:space="0" w:color="000000"/>
            </w:tcBorders>
            <w:shd w:val="clear" w:color="auto" w:fill="FFFFFF"/>
          </w:tcPr>
          <w:p w14:paraId="08C4A07B" w14:textId="77777777" w:rsidR="00B84757" w:rsidRDefault="00000000">
            <w:pPr>
              <w:spacing w:after="0"/>
              <w:jc w:val="both"/>
              <w:rPr>
                <w:rFonts w:ascii="宋体" w:hAnsi="宋体"/>
                <w:color w:val="000000"/>
                <w:szCs w:val="24"/>
              </w:rPr>
            </w:pPr>
            <w:r>
              <w:rPr>
                <w:rFonts w:ascii="宋体" w:hAnsi="宋体"/>
                <w:color w:val="000000"/>
                <w:szCs w:val="24"/>
              </w:rPr>
              <w:t>非期望产出</w:t>
            </w:r>
          </w:p>
        </w:tc>
        <w:tc>
          <w:tcPr>
            <w:tcW w:w="2266" w:type="dxa"/>
            <w:tcBorders>
              <w:bottom w:val="single" w:sz="12" w:space="0" w:color="000000"/>
            </w:tcBorders>
            <w:shd w:val="clear" w:color="auto" w:fill="FFFFFF"/>
          </w:tcPr>
          <w:p w14:paraId="7A4D5424" w14:textId="77777777" w:rsidR="00B84757" w:rsidRDefault="00000000">
            <w:pPr>
              <w:spacing w:after="0"/>
              <w:jc w:val="both"/>
              <w:rPr>
                <w:rFonts w:ascii="宋体" w:hAnsi="宋体"/>
                <w:color w:val="000000"/>
                <w:szCs w:val="24"/>
              </w:rPr>
            </w:pPr>
            <w:r>
              <w:rPr>
                <w:rFonts w:ascii="宋体" w:hAnsi="宋体"/>
                <w:color w:val="000000"/>
                <w:szCs w:val="24"/>
              </w:rPr>
              <w:t>碳排放量</w:t>
            </w:r>
          </w:p>
        </w:tc>
        <w:tc>
          <w:tcPr>
            <w:tcW w:w="2266" w:type="dxa"/>
            <w:tcBorders>
              <w:bottom w:val="single" w:sz="12" w:space="0" w:color="000000"/>
            </w:tcBorders>
            <w:shd w:val="clear" w:color="auto" w:fill="FFFFFF"/>
          </w:tcPr>
          <w:p w14:paraId="03A1D188" w14:textId="77777777" w:rsidR="00B84757" w:rsidRDefault="00000000">
            <w:pPr>
              <w:spacing w:after="0"/>
              <w:jc w:val="both"/>
              <w:rPr>
                <w:rFonts w:ascii="宋体" w:hAnsi="宋体"/>
                <w:color w:val="000000"/>
                <w:szCs w:val="24"/>
              </w:rPr>
            </w:pPr>
            <w:r>
              <w:rPr>
                <w:rFonts w:ascii="宋体" w:hAnsi="宋体"/>
                <w:color w:val="000000"/>
                <w:szCs w:val="24"/>
              </w:rPr>
              <w:t>省域碳排放总量</w:t>
            </w:r>
          </w:p>
        </w:tc>
        <w:tc>
          <w:tcPr>
            <w:tcW w:w="2266" w:type="dxa"/>
            <w:tcBorders>
              <w:bottom w:val="single" w:sz="12" w:space="0" w:color="000000"/>
            </w:tcBorders>
            <w:shd w:val="clear" w:color="auto" w:fill="FFFFFF"/>
          </w:tcPr>
          <w:p w14:paraId="71F009F9" w14:textId="77777777" w:rsidR="00B84757" w:rsidRDefault="00000000">
            <w:pPr>
              <w:spacing w:after="0"/>
              <w:jc w:val="both"/>
              <w:rPr>
                <w:rFonts w:ascii="宋体" w:hAnsi="宋体"/>
                <w:color w:val="000000"/>
                <w:szCs w:val="24"/>
              </w:rPr>
            </w:pPr>
            <w:r>
              <w:rPr>
                <w:rFonts w:ascii="宋体" w:hAnsi="宋体"/>
                <w:color w:val="000000"/>
                <w:szCs w:val="24"/>
              </w:rPr>
              <w:t>环境约束</w:t>
            </w:r>
          </w:p>
        </w:tc>
      </w:tr>
    </w:tbl>
    <w:p w14:paraId="53FC8DA9" w14:textId="77777777" w:rsidR="00B84757" w:rsidRDefault="00000000">
      <w:pPr>
        <w:pStyle w:val="21"/>
        <w:jc w:val="both"/>
        <w:rPr>
          <w:rFonts w:ascii="楷体" w:hAnsi="楷体"/>
          <w:color w:val="auto"/>
          <w:lang w:eastAsia="zh-CN"/>
        </w:rPr>
      </w:pPr>
      <w:bookmarkStart w:id="17" w:name="_Toc11559"/>
      <w:r>
        <w:rPr>
          <w:rFonts w:ascii="楷体" w:hAnsi="楷体"/>
          <w:color w:val="auto"/>
          <w:lang w:eastAsia="zh-CN"/>
        </w:rPr>
        <w:lastRenderedPageBreak/>
        <w:t>（四）第二阶段回归变量与模型设定</w:t>
      </w:r>
      <w:bookmarkEnd w:id="17"/>
    </w:p>
    <w:p w14:paraId="1AD36AA8" w14:textId="77777777" w:rsidR="00B84757" w:rsidRDefault="00000000">
      <w:pPr>
        <w:pStyle w:val="a7"/>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Pr>
          <w:lang w:eastAsia="zh-CN"/>
        </w:rPr>
        <w:t>2</w:t>
      </w:r>
      <w:r>
        <w:fldChar w:fldCharType="end"/>
      </w:r>
      <w:bookmarkStart w:id="18" w:name="_Toc23879"/>
      <w:r>
        <w:rPr>
          <w:rFonts w:hint="eastAsia"/>
          <w:lang w:eastAsia="zh-CN"/>
        </w:rPr>
        <w:t xml:space="preserve"> </w:t>
      </w:r>
      <w:r>
        <w:rPr>
          <w:lang w:eastAsia="zh-CN"/>
        </w:rPr>
        <w:t>第二阶段回归变量定义</w:t>
      </w:r>
      <w:bookmarkEnd w:id="18"/>
    </w:p>
    <w:tbl>
      <w:tblPr>
        <w:tblStyle w:val="af6"/>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4"/>
        <w:gridCol w:w="2169"/>
        <w:gridCol w:w="2169"/>
        <w:gridCol w:w="2154"/>
      </w:tblGrid>
      <w:tr w:rsidR="00B84757" w14:paraId="5A7F1608" w14:textId="77777777">
        <w:trPr>
          <w:jc w:val="center"/>
        </w:trPr>
        <w:tc>
          <w:tcPr>
            <w:tcW w:w="2266" w:type="dxa"/>
            <w:tcBorders>
              <w:top w:val="single" w:sz="12" w:space="0" w:color="000000"/>
              <w:bottom w:val="single" w:sz="4" w:space="0" w:color="000000"/>
              <w:tl2br w:val="nil"/>
            </w:tcBorders>
            <w:shd w:val="clear" w:color="auto" w:fill="FFFFFF"/>
          </w:tcPr>
          <w:p w14:paraId="3BAF75D7" w14:textId="77777777" w:rsidR="00B84757" w:rsidRDefault="00000000">
            <w:pPr>
              <w:spacing w:after="0"/>
              <w:jc w:val="both"/>
              <w:rPr>
                <w:rFonts w:ascii="宋体" w:hAnsi="宋体"/>
                <w:color w:val="000000"/>
                <w:szCs w:val="24"/>
              </w:rPr>
            </w:pPr>
            <w:r>
              <w:rPr>
                <w:rFonts w:ascii="宋体" w:hAnsi="宋体"/>
                <w:color w:val="000000"/>
                <w:szCs w:val="24"/>
              </w:rPr>
              <w:t>变量类型</w:t>
            </w:r>
          </w:p>
        </w:tc>
        <w:tc>
          <w:tcPr>
            <w:tcW w:w="2266" w:type="dxa"/>
            <w:tcBorders>
              <w:top w:val="single" w:sz="12" w:space="0" w:color="000000"/>
              <w:bottom w:val="single" w:sz="4" w:space="0" w:color="000000"/>
            </w:tcBorders>
            <w:shd w:val="clear" w:color="auto" w:fill="FFFFFF"/>
          </w:tcPr>
          <w:p w14:paraId="55488588" w14:textId="77777777" w:rsidR="00B84757" w:rsidRDefault="00000000">
            <w:pPr>
              <w:spacing w:after="0"/>
              <w:jc w:val="both"/>
              <w:rPr>
                <w:rFonts w:ascii="宋体" w:hAnsi="宋体"/>
                <w:color w:val="000000"/>
                <w:szCs w:val="24"/>
              </w:rPr>
            </w:pPr>
            <w:r>
              <w:rPr>
                <w:rFonts w:ascii="宋体" w:hAnsi="宋体"/>
                <w:color w:val="000000"/>
                <w:szCs w:val="24"/>
              </w:rPr>
              <w:t>变量符号</w:t>
            </w:r>
          </w:p>
        </w:tc>
        <w:tc>
          <w:tcPr>
            <w:tcW w:w="2266" w:type="dxa"/>
            <w:tcBorders>
              <w:top w:val="single" w:sz="12" w:space="0" w:color="000000"/>
              <w:bottom w:val="single" w:sz="4" w:space="0" w:color="000000"/>
            </w:tcBorders>
            <w:shd w:val="clear" w:color="auto" w:fill="FFFFFF"/>
          </w:tcPr>
          <w:p w14:paraId="5A3796BC" w14:textId="77777777" w:rsidR="00B84757" w:rsidRDefault="00000000">
            <w:pPr>
              <w:spacing w:after="0"/>
              <w:jc w:val="both"/>
              <w:rPr>
                <w:rFonts w:ascii="宋体" w:hAnsi="宋体"/>
                <w:color w:val="000000"/>
                <w:szCs w:val="24"/>
              </w:rPr>
            </w:pPr>
            <w:r>
              <w:rPr>
                <w:rFonts w:ascii="宋体" w:hAnsi="宋体"/>
                <w:color w:val="000000"/>
                <w:szCs w:val="24"/>
              </w:rPr>
              <w:t>变量说明</w:t>
            </w:r>
          </w:p>
        </w:tc>
        <w:tc>
          <w:tcPr>
            <w:tcW w:w="2266" w:type="dxa"/>
            <w:tcBorders>
              <w:top w:val="single" w:sz="12" w:space="0" w:color="000000"/>
              <w:bottom w:val="single" w:sz="4" w:space="0" w:color="000000"/>
            </w:tcBorders>
            <w:shd w:val="clear" w:color="auto" w:fill="FFFFFF"/>
          </w:tcPr>
          <w:p w14:paraId="219E8C75" w14:textId="77777777" w:rsidR="00B84757" w:rsidRDefault="00000000">
            <w:pPr>
              <w:spacing w:after="0"/>
              <w:jc w:val="both"/>
              <w:rPr>
                <w:rFonts w:ascii="宋体" w:hAnsi="宋体"/>
                <w:color w:val="000000"/>
                <w:szCs w:val="24"/>
              </w:rPr>
            </w:pPr>
            <w:r>
              <w:rPr>
                <w:rFonts w:ascii="宋体" w:hAnsi="宋体"/>
                <w:color w:val="000000"/>
                <w:szCs w:val="24"/>
              </w:rPr>
              <w:t>预期方向</w:t>
            </w:r>
          </w:p>
        </w:tc>
      </w:tr>
      <w:tr w:rsidR="00B84757" w14:paraId="27D8B0CF" w14:textId="77777777">
        <w:trPr>
          <w:jc w:val="center"/>
        </w:trPr>
        <w:tc>
          <w:tcPr>
            <w:tcW w:w="2266" w:type="dxa"/>
            <w:tcBorders>
              <w:top w:val="single" w:sz="4" w:space="0" w:color="000000"/>
            </w:tcBorders>
            <w:shd w:val="clear" w:color="auto" w:fill="FFFFFF"/>
          </w:tcPr>
          <w:p w14:paraId="587D0D37" w14:textId="77777777" w:rsidR="00B84757" w:rsidRDefault="00000000">
            <w:pPr>
              <w:spacing w:after="0"/>
              <w:jc w:val="both"/>
              <w:rPr>
                <w:rFonts w:ascii="宋体" w:hAnsi="宋体"/>
                <w:color w:val="000000"/>
                <w:szCs w:val="24"/>
              </w:rPr>
            </w:pPr>
            <w:r>
              <w:rPr>
                <w:rFonts w:ascii="宋体" w:hAnsi="宋体"/>
                <w:color w:val="000000"/>
                <w:szCs w:val="24"/>
              </w:rPr>
              <w:t>被解释变量</w:t>
            </w:r>
          </w:p>
        </w:tc>
        <w:tc>
          <w:tcPr>
            <w:tcW w:w="2266" w:type="dxa"/>
            <w:tcBorders>
              <w:top w:val="single" w:sz="4" w:space="0" w:color="000000"/>
            </w:tcBorders>
            <w:shd w:val="clear" w:color="auto" w:fill="FFFFFF"/>
          </w:tcPr>
          <w:p w14:paraId="5070EECA" w14:textId="77777777" w:rsidR="00B84757" w:rsidRDefault="00000000">
            <w:pPr>
              <w:spacing w:after="0"/>
              <w:jc w:val="both"/>
              <w:rPr>
                <w:rFonts w:ascii="宋体" w:hAnsi="宋体"/>
                <w:color w:val="000000"/>
                <w:szCs w:val="24"/>
              </w:rPr>
            </w:pPr>
            <w:r>
              <w:rPr>
                <w:rFonts w:ascii="宋体" w:hAnsi="宋体"/>
                <w:color w:val="000000"/>
                <w:szCs w:val="24"/>
              </w:rPr>
              <w:t>CEE</w:t>
            </w:r>
          </w:p>
        </w:tc>
        <w:tc>
          <w:tcPr>
            <w:tcW w:w="2266" w:type="dxa"/>
            <w:tcBorders>
              <w:top w:val="single" w:sz="4" w:space="0" w:color="000000"/>
            </w:tcBorders>
            <w:shd w:val="clear" w:color="auto" w:fill="FFFFFF"/>
          </w:tcPr>
          <w:p w14:paraId="1785A63C"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碳排放效率（超效率SBM测度值）</w:t>
            </w:r>
          </w:p>
        </w:tc>
        <w:tc>
          <w:tcPr>
            <w:tcW w:w="2266" w:type="dxa"/>
            <w:tcBorders>
              <w:top w:val="single" w:sz="4" w:space="0" w:color="000000"/>
            </w:tcBorders>
            <w:shd w:val="clear" w:color="auto" w:fill="FFFFFF"/>
          </w:tcPr>
          <w:p w14:paraId="7D470005" w14:textId="77777777" w:rsidR="00B84757" w:rsidRDefault="00000000">
            <w:pPr>
              <w:spacing w:after="0"/>
              <w:jc w:val="both"/>
              <w:rPr>
                <w:rFonts w:ascii="宋体" w:hAnsi="宋体"/>
                <w:color w:val="000000"/>
                <w:szCs w:val="24"/>
              </w:rPr>
            </w:pPr>
            <w:r>
              <w:rPr>
                <w:rFonts w:ascii="宋体" w:hAnsi="宋体"/>
                <w:color w:val="000000"/>
                <w:szCs w:val="24"/>
              </w:rPr>
              <w:t>—</w:t>
            </w:r>
          </w:p>
        </w:tc>
      </w:tr>
      <w:tr w:rsidR="00B84757" w14:paraId="4D5857A0" w14:textId="77777777">
        <w:trPr>
          <w:jc w:val="center"/>
        </w:trPr>
        <w:tc>
          <w:tcPr>
            <w:tcW w:w="2266" w:type="dxa"/>
            <w:shd w:val="clear" w:color="auto" w:fill="FFFFFF"/>
          </w:tcPr>
          <w:p w14:paraId="3F03CBBE" w14:textId="77777777" w:rsidR="00B84757" w:rsidRDefault="00000000">
            <w:pPr>
              <w:spacing w:after="0"/>
              <w:jc w:val="both"/>
              <w:rPr>
                <w:rFonts w:ascii="宋体" w:hAnsi="宋体"/>
                <w:color w:val="000000"/>
                <w:szCs w:val="24"/>
              </w:rPr>
            </w:pPr>
            <w:r>
              <w:rPr>
                <w:rFonts w:ascii="宋体" w:hAnsi="宋体"/>
                <w:color w:val="000000"/>
                <w:szCs w:val="24"/>
              </w:rPr>
              <w:t>核心解释变量</w:t>
            </w:r>
          </w:p>
        </w:tc>
        <w:tc>
          <w:tcPr>
            <w:tcW w:w="2266" w:type="dxa"/>
            <w:shd w:val="clear" w:color="auto" w:fill="FFFFFF"/>
          </w:tcPr>
          <w:p w14:paraId="0FAC0A00" w14:textId="77777777" w:rsidR="00B84757" w:rsidRDefault="00000000">
            <w:pPr>
              <w:spacing w:after="0"/>
              <w:jc w:val="both"/>
              <w:rPr>
                <w:rFonts w:ascii="宋体" w:hAnsi="宋体"/>
                <w:color w:val="000000"/>
                <w:szCs w:val="24"/>
              </w:rPr>
            </w:pPr>
            <w:r>
              <w:rPr>
                <w:rFonts w:ascii="宋体" w:hAnsi="宋体"/>
                <w:color w:val="000000"/>
                <w:szCs w:val="24"/>
              </w:rPr>
              <w:t>LNTL</w:t>
            </w:r>
          </w:p>
        </w:tc>
        <w:tc>
          <w:tcPr>
            <w:tcW w:w="2266" w:type="dxa"/>
            <w:shd w:val="clear" w:color="auto" w:fill="FFFFFF"/>
          </w:tcPr>
          <w:p w14:paraId="56084A89"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夜间灯光聚合度对数项，表征经济活动空间集聚程度</w:t>
            </w:r>
          </w:p>
        </w:tc>
        <w:tc>
          <w:tcPr>
            <w:tcW w:w="2266" w:type="dxa"/>
            <w:shd w:val="clear" w:color="auto" w:fill="FFFFFF"/>
          </w:tcPr>
          <w:p w14:paraId="17204DE0" w14:textId="77777777" w:rsidR="00B84757" w:rsidRDefault="00000000">
            <w:pPr>
              <w:spacing w:after="0"/>
              <w:jc w:val="both"/>
              <w:rPr>
                <w:rFonts w:ascii="宋体" w:hAnsi="宋体"/>
                <w:color w:val="000000"/>
                <w:szCs w:val="24"/>
              </w:rPr>
            </w:pPr>
            <w:r>
              <w:rPr>
                <w:rFonts w:ascii="宋体" w:hAnsi="宋体"/>
                <w:color w:val="000000"/>
                <w:szCs w:val="24"/>
              </w:rPr>
              <w:t>±</w:t>
            </w:r>
          </w:p>
        </w:tc>
      </w:tr>
      <w:tr w:rsidR="00B84757" w14:paraId="730F37A3" w14:textId="77777777">
        <w:trPr>
          <w:jc w:val="center"/>
        </w:trPr>
        <w:tc>
          <w:tcPr>
            <w:tcW w:w="2266" w:type="dxa"/>
            <w:shd w:val="clear" w:color="auto" w:fill="FFFFFF"/>
          </w:tcPr>
          <w:p w14:paraId="51267961" w14:textId="77777777" w:rsidR="00B84757" w:rsidRDefault="00000000">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4C0B596D" w14:textId="77777777" w:rsidR="00B84757" w:rsidRDefault="00000000">
            <w:pPr>
              <w:spacing w:after="0"/>
              <w:jc w:val="both"/>
              <w:rPr>
                <w:rFonts w:ascii="宋体" w:hAnsi="宋体"/>
                <w:color w:val="000000"/>
                <w:szCs w:val="24"/>
              </w:rPr>
            </w:pPr>
            <w:r>
              <w:rPr>
                <w:rFonts w:ascii="宋体" w:hAnsi="宋体"/>
                <w:color w:val="000000"/>
                <w:szCs w:val="24"/>
              </w:rPr>
              <w:t>IND</w:t>
            </w:r>
          </w:p>
        </w:tc>
        <w:tc>
          <w:tcPr>
            <w:tcW w:w="2266" w:type="dxa"/>
            <w:shd w:val="clear" w:color="auto" w:fill="FFFFFF"/>
          </w:tcPr>
          <w:p w14:paraId="6A72869B"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产业结构（如第二产业增加值占GDP比重）</w:t>
            </w:r>
          </w:p>
        </w:tc>
        <w:tc>
          <w:tcPr>
            <w:tcW w:w="2266" w:type="dxa"/>
            <w:shd w:val="clear" w:color="auto" w:fill="FFFFFF"/>
          </w:tcPr>
          <w:p w14:paraId="46A2EA9C" w14:textId="77777777" w:rsidR="00B84757" w:rsidRDefault="00000000">
            <w:pPr>
              <w:spacing w:after="0"/>
              <w:jc w:val="both"/>
              <w:rPr>
                <w:rFonts w:ascii="宋体" w:hAnsi="宋体"/>
                <w:color w:val="000000"/>
                <w:szCs w:val="24"/>
              </w:rPr>
            </w:pPr>
            <w:r>
              <w:rPr>
                <w:rFonts w:ascii="宋体" w:hAnsi="宋体"/>
                <w:color w:val="000000"/>
                <w:szCs w:val="24"/>
              </w:rPr>
              <w:t>通常为负</w:t>
            </w:r>
          </w:p>
        </w:tc>
      </w:tr>
      <w:tr w:rsidR="00B84757" w14:paraId="18468192" w14:textId="77777777">
        <w:trPr>
          <w:jc w:val="center"/>
        </w:trPr>
        <w:tc>
          <w:tcPr>
            <w:tcW w:w="2266" w:type="dxa"/>
            <w:shd w:val="clear" w:color="auto" w:fill="FFFFFF"/>
          </w:tcPr>
          <w:p w14:paraId="29D667AB" w14:textId="77777777" w:rsidR="00B84757" w:rsidRDefault="00000000">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2153E3EA" w14:textId="77777777" w:rsidR="00B84757" w:rsidRDefault="00000000">
            <w:pPr>
              <w:spacing w:after="0"/>
              <w:jc w:val="both"/>
              <w:rPr>
                <w:rFonts w:ascii="宋体" w:hAnsi="宋体"/>
                <w:color w:val="000000"/>
                <w:szCs w:val="24"/>
              </w:rPr>
            </w:pPr>
            <w:r>
              <w:rPr>
                <w:rFonts w:ascii="宋体" w:hAnsi="宋体"/>
                <w:color w:val="000000"/>
                <w:szCs w:val="24"/>
              </w:rPr>
              <w:t>URB</w:t>
            </w:r>
          </w:p>
        </w:tc>
        <w:tc>
          <w:tcPr>
            <w:tcW w:w="2266" w:type="dxa"/>
            <w:shd w:val="clear" w:color="auto" w:fill="FFFFFF"/>
          </w:tcPr>
          <w:p w14:paraId="2A5B44DA" w14:textId="77777777" w:rsidR="00B84757" w:rsidRDefault="00000000">
            <w:pPr>
              <w:spacing w:after="0"/>
              <w:jc w:val="both"/>
              <w:rPr>
                <w:rFonts w:ascii="宋体" w:hAnsi="宋体"/>
                <w:color w:val="000000"/>
                <w:szCs w:val="24"/>
              </w:rPr>
            </w:pPr>
            <w:r>
              <w:rPr>
                <w:rFonts w:ascii="宋体" w:hAnsi="宋体"/>
                <w:color w:val="000000"/>
                <w:szCs w:val="24"/>
              </w:rPr>
              <w:t>城镇化率</w:t>
            </w:r>
          </w:p>
        </w:tc>
        <w:tc>
          <w:tcPr>
            <w:tcW w:w="2266" w:type="dxa"/>
            <w:shd w:val="clear" w:color="auto" w:fill="FFFFFF"/>
          </w:tcPr>
          <w:p w14:paraId="0A6D258E" w14:textId="77777777" w:rsidR="00B84757" w:rsidRDefault="00000000">
            <w:pPr>
              <w:spacing w:after="0"/>
              <w:jc w:val="both"/>
              <w:rPr>
                <w:rFonts w:ascii="宋体" w:hAnsi="宋体"/>
                <w:color w:val="000000"/>
                <w:szCs w:val="24"/>
              </w:rPr>
            </w:pPr>
            <w:r>
              <w:rPr>
                <w:rFonts w:ascii="宋体" w:hAnsi="宋体"/>
                <w:color w:val="000000"/>
                <w:szCs w:val="24"/>
              </w:rPr>
              <w:t>不确定</w:t>
            </w:r>
          </w:p>
        </w:tc>
      </w:tr>
      <w:tr w:rsidR="00B84757" w14:paraId="3B71A1D6" w14:textId="77777777">
        <w:trPr>
          <w:jc w:val="center"/>
        </w:trPr>
        <w:tc>
          <w:tcPr>
            <w:tcW w:w="2266" w:type="dxa"/>
            <w:shd w:val="clear" w:color="auto" w:fill="FFFFFF"/>
          </w:tcPr>
          <w:p w14:paraId="63E56E5E" w14:textId="77777777" w:rsidR="00B84757" w:rsidRDefault="00000000">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73C7EC0E" w14:textId="77777777" w:rsidR="00B84757" w:rsidRDefault="00000000">
            <w:pPr>
              <w:spacing w:after="0"/>
              <w:jc w:val="both"/>
              <w:rPr>
                <w:rFonts w:ascii="宋体" w:hAnsi="宋体"/>
                <w:color w:val="000000"/>
                <w:szCs w:val="24"/>
              </w:rPr>
            </w:pPr>
            <w:r>
              <w:rPr>
                <w:rFonts w:ascii="宋体" w:hAnsi="宋体"/>
                <w:color w:val="000000"/>
                <w:szCs w:val="24"/>
              </w:rPr>
              <w:t>RD</w:t>
            </w:r>
          </w:p>
        </w:tc>
        <w:tc>
          <w:tcPr>
            <w:tcW w:w="2266" w:type="dxa"/>
            <w:shd w:val="clear" w:color="auto" w:fill="FFFFFF"/>
          </w:tcPr>
          <w:p w14:paraId="57B7C21B" w14:textId="77777777" w:rsidR="00B84757" w:rsidRDefault="00000000">
            <w:pPr>
              <w:spacing w:after="0"/>
              <w:jc w:val="both"/>
              <w:rPr>
                <w:rFonts w:ascii="宋体" w:hAnsi="宋体"/>
                <w:color w:val="000000"/>
                <w:szCs w:val="24"/>
              </w:rPr>
            </w:pPr>
            <w:r>
              <w:rPr>
                <w:rFonts w:ascii="宋体" w:hAnsi="宋体"/>
                <w:color w:val="000000"/>
                <w:szCs w:val="24"/>
              </w:rPr>
              <w:t>研发投入强度</w:t>
            </w:r>
          </w:p>
        </w:tc>
        <w:tc>
          <w:tcPr>
            <w:tcW w:w="2266" w:type="dxa"/>
            <w:shd w:val="clear" w:color="auto" w:fill="FFFFFF"/>
          </w:tcPr>
          <w:p w14:paraId="3F9E6ABD" w14:textId="77777777" w:rsidR="00B84757" w:rsidRDefault="00000000">
            <w:pPr>
              <w:spacing w:after="0"/>
              <w:jc w:val="both"/>
              <w:rPr>
                <w:rFonts w:ascii="宋体" w:hAnsi="宋体"/>
                <w:color w:val="000000"/>
                <w:szCs w:val="24"/>
              </w:rPr>
            </w:pPr>
            <w:r>
              <w:rPr>
                <w:rFonts w:ascii="宋体" w:hAnsi="宋体"/>
                <w:color w:val="000000"/>
                <w:szCs w:val="24"/>
              </w:rPr>
              <w:t>通常为正</w:t>
            </w:r>
          </w:p>
        </w:tc>
      </w:tr>
      <w:tr w:rsidR="00B84757" w14:paraId="313E5678" w14:textId="77777777">
        <w:trPr>
          <w:jc w:val="center"/>
        </w:trPr>
        <w:tc>
          <w:tcPr>
            <w:tcW w:w="2266" w:type="dxa"/>
            <w:shd w:val="clear" w:color="auto" w:fill="FFFFFF"/>
          </w:tcPr>
          <w:p w14:paraId="115A6C08" w14:textId="77777777" w:rsidR="00B84757" w:rsidRDefault="00000000">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54EF27DA" w14:textId="77777777" w:rsidR="00B84757" w:rsidRDefault="00000000">
            <w:pPr>
              <w:spacing w:after="0"/>
              <w:jc w:val="both"/>
              <w:rPr>
                <w:rFonts w:ascii="宋体" w:hAnsi="宋体"/>
                <w:color w:val="000000"/>
                <w:szCs w:val="24"/>
              </w:rPr>
            </w:pPr>
            <w:r>
              <w:rPr>
                <w:rFonts w:ascii="宋体" w:hAnsi="宋体"/>
                <w:color w:val="000000"/>
                <w:szCs w:val="24"/>
              </w:rPr>
              <w:t>OPEN</w:t>
            </w:r>
          </w:p>
        </w:tc>
        <w:tc>
          <w:tcPr>
            <w:tcW w:w="2266" w:type="dxa"/>
            <w:shd w:val="clear" w:color="auto" w:fill="FFFFFF"/>
          </w:tcPr>
          <w:p w14:paraId="75D8B1D4" w14:textId="77777777" w:rsidR="00B84757" w:rsidRDefault="00000000">
            <w:pPr>
              <w:spacing w:after="0"/>
              <w:jc w:val="both"/>
              <w:rPr>
                <w:rFonts w:ascii="宋体" w:hAnsi="宋体"/>
                <w:color w:val="000000"/>
                <w:szCs w:val="24"/>
              </w:rPr>
            </w:pPr>
            <w:r>
              <w:rPr>
                <w:rFonts w:ascii="宋体" w:hAnsi="宋体"/>
                <w:color w:val="000000"/>
                <w:szCs w:val="24"/>
              </w:rPr>
              <w:t>对外开放水平</w:t>
            </w:r>
          </w:p>
        </w:tc>
        <w:tc>
          <w:tcPr>
            <w:tcW w:w="2266" w:type="dxa"/>
            <w:shd w:val="clear" w:color="auto" w:fill="FFFFFF"/>
          </w:tcPr>
          <w:p w14:paraId="152B17D7" w14:textId="77777777" w:rsidR="00B84757" w:rsidRDefault="00000000">
            <w:pPr>
              <w:spacing w:after="0"/>
              <w:jc w:val="both"/>
              <w:rPr>
                <w:rFonts w:ascii="宋体" w:hAnsi="宋体"/>
                <w:color w:val="000000"/>
                <w:szCs w:val="24"/>
              </w:rPr>
            </w:pPr>
            <w:r>
              <w:rPr>
                <w:rFonts w:ascii="宋体" w:hAnsi="宋体"/>
                <w:color w:val="000000"/>
                <w:szCs w:val="24"/>
              </w:rPr>
              <w:t>通常为正</w:t>
            </w:r>
          </w:p>
        </w:tc>
      </w:tr>
      <w:tr w:rsidR="00B84757" w14:paraId="72CE211C" w14:textId="77777777">
        <w:trPr>
          <w:jc w:val="center"/>
        </w:trPr>
        <w:tc>
          <w:tcPr>
            <w:tcW w:w="2266" w:type="dxa"/>
            <w:tcBorders>
              <w:bottom w:val="single" w:sz="12" w:space="0" w:color="000000"/>
            </w:tcBorders>
            <w:shd w:val="clear" w:color="auto" w:fill="FFFFFF"/>
          </w:tcPr>
          <w:p w14:paraId="3F87F862" w14:textId="77777777" w:rsidR="00B84757" w:rsidRDefault="00000000">
            <w:pPr>
              <w:spacing w:after="0"/>
              <w:jc w:val="both"/>
              <w:rPr>
                <w:rFonts w:ascii="宋体" w:hAnsi="宋体"/>
                <w:color w:val="000000"/>
                <w:szCs w:val="24"/>
              </w:rPr>
            </w:pPr>
            <w:r>
              <w:rPr>
                <w:rFonts w:ascii="宋体" w:hAnsi="宋体"/>
                <w:color w:val="000000"/>
                <w:szCs w:val="24"/>
              </w:rPr>
              <w:t>控制变量</w:t>
            </w:r>
          </w:p>
        </w:tc>
        <w:tc>
          <w:tcPr>
            <w:tcW w:w="2266" w:type="dxa"/>
            <w:tcBorders>
              <w:bottom w:val="single" w:sz="12" w:space="0" w:color="000000"/>
            </w:tcBorders>
            <w:shd w:val="clear" w:color="auto" w:fill="FFFFFF"/>
          </w:tcPr>
          <w:p w14:paraId="5E50A9AE" w14:textId="77777777" w:rsidR="00B84757" w:rsidRDefault="00000000">
            <w:pPr>
              <w:spacing w:after="0"/>
              <w:jc w:val="both"/>
              <w:rPr>
                <w:rFonts w:ascii="宋体" w:hAnsi="宋体"/>
                <w:color w:val="000000"/>
                <w:szCs w:val="24"/>
              </w:rPr>
            </w:pPr>
            <w:r>
              <w:rPr>
                <w:rFonts w:ascii="宋体" w:hAnsi="宋体"/>
                <w:color w:val="000000"/>
                <w:szCs w:val="24"/>
              </w:rPr>
              <w:t>ES</w:t>
            </w:r>
          </w:p>
        </w:tc>
        <w:tc>
          <w:tcPr>
            <w:tcW w:w="2266" w:type="dxa"/>
            <w:tcBorders>
              <w:bottom w:val="single" w:sz="12" w:space="0" w:color="000000"/>
            </w:tcBorders>
            <w:shd w:val="clear" w:color="auto" w:fill="FFFFFF"/>
          </w:tcPr>
          <w:p w14:paraId="578A6F7F"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能源结构（煤炭消费占能源消费总量比重）</w:t>
            </w:r>
          </w:p>
        </w:tc>
        <w:tc>
          <w:tcPr>
            <w:tcW w:w="2266" w:type="dxa"/>
            <w:tcBorders>
              <w:bottom w:val="single" w:sz="12" w:space="0" w:color="000000"/>
            </w:tcBorders>
            <w:shd w:val="clear" w:color="auto" w:fill="FFFFFF"/>
          </w:tcPr>
          <w:p w14:paraId="74E43B91" w14:textId="77777777" w:rsidR="00B84757" w:rsidRDefault="00000000">
            <w:pPr>
              <w:spacing w:after="0"/>
              <w:jc w:val="both"/>
              <w:rPr>
                <w:rFonts w:ascii="宋体" w:hAnsi="宋体"/>
                <w:color w:val="000000"/>
                <w:szCs w:val="24"/>
              </w:rPr>
            </w:pPr>
            <w:r>
              <w:rPr>
                <w:rFonts w:ascii="宋体" w:hAnsi="宋体"/>
                <w:color w:val="000000"/>
                <w:szCs w:val="24"/>
              </w:rPr>
              <w:t>通常为负</w:t>
            </w:r>
          </w:p>
        </w:tc>
      </w:tr>
    </w:tbl>
    <w:p w14:paraId="68D91DB0" w14:textId="77777777" w:rsidR="00B84757" w:rsidRDefault="00000000">
      <w:pPr>
        <w:pStyle w:val="21"/>
        <w:jc w:val="both"/>
        <w:rPr>
          <w:rFonts w:ascii="楷体" w:hAnsi="楷体"/>
          <w:color w:val="auto"/>
          <w:lang w:eastAsia="zh-CN"/>
        </w:rPr>
      </w:pPr>
      <w:bookmarkStart w:id="19" w:name="_Toc5326"/>
      <w:r>
        <w:rPr>
          <w:rFonts w:ascii="楷体" w:hAnsi="楷体"/>
          <w:color w:val="auto"/>
          <w:lang w:eastAsia="zh-CN"/>
        </w:rPr>
        <w:t>（五）第三阶段空间相关性与空间分析思路</w:t>
      </w:r>
      <w:bookmarkEnd w:id="19"/>
    </w:p>
    <w:p w14:paraId="6C54E624"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考虑到碳排放效率可能受到地理邻近、产业关联、能源流动和环境治理协同等因素影响，本文在实证结果部分进一步计算Global Moran’s I，判断省际碳排放效率是否存在显著空间自相关。若Global Moran’s I显著为正，则说明高效率地区与高效率地区、低效率地区与低效率地区更倾向于相邻，空间相关性具有一定稳定性。</w:t>
      </w:r>
      <w:r>
        <w:rPr>
          <w:rFonts w:cs="Times New Roman"/>
          <w:vertAlign w:val="superscript"/>
          <w:lang w:eastAsia="zh-CN"/>
        </w:rPr>
        <w:t>[17]</w:t>
      </w:r>
    </w:p>
    <w:p w14:paraId="100DE0ED" w14:textId="77777777" w:rsidR="00B84757" w:rsidRDefault="00000000">
      <w:pPr>
        <w:pStyle w:val="1"/>
        <w:jc w:val="both"/>
        <w:rPr>
          <w:color w:val="auto"/>
          <w:szCs w:val="30"/>
          <w:lang w:eastAsia="zh-CN"/>
        </w:rPr>
      </w:pPr>
      <w:bookmarkStart w:id="20" w:name="_Toc23033"/>
      <w:r>
        <w:rPr>
          <w:color w:val="auto"/>
          <w:szCs w:val="30"/>
          <w:lang w:eastAsia="zh-CN"/>
        </w:rPr>
        <w:lastRenderedPageBreak/>
        <w:t>四、数据来源、预处理与变量构造</w:t>
      </w:r>
      <w:bookmarkEnd w:id="20"/>
    </w:p>
    <w:p w14:paraId="7F7AA2A9" w14:textId="77777777" w:rsidR="00B84757" w:rsidRDefault="00000000">
      <w:pPr>
        <w:pStyle w:val="21"/>
        <w:jc w:val="both"/>
        <w:rPr>
          <w:lang w:eastAsia="zh-CN"/>
        </w:rPr>
      </w:pPr>
      <w:bookmarkStart w:id="21" w:name="_Toc18375"/>
      <w:r>
        <w:rPr>
          <w:rFonts w:ascii="楷体" w:hAnsi="楷体"/>
          <w:color w:val="auto"/>
          <w:lang w:eastAsia="zh-CN"/>
        </w:rPr>
        <w:t>（一）数据来源与单位说明</w:t>
      </w:r>
      <w:bookmarkEnd w:id="21"/>
    </w:p>
    <w:p w14:paraId="1EBF20F0" w14:textId="77777777" w:rsidR="00B84757" w:rsidRDefault="00000000">
      <w:pPr>
        <w:pStyle w:val="a7"/>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Pr>
          <w:lang w:eastAsia="zh-CN"/>
        </w:rPr>
        <w:t>3</w:t>
      </w:r>
      <w:r>
        <w:fldChar w:fldCharType="end"/>
      </w:r>
      <w:bookmarkStart w:id="22" w:name="_Toc21374"/>
      <w:r>
        <w:rPr>
          <w:rFonts w:hint="eastAsia"/>
          <w:lang w:eastAsia="zh-CN"/>
        </w:rPr>
        <w:t xml:space="preserve"> </w:t>
      </w:r>
      <w:r>
        <w:rPr>
          <w:lang w:eastAsia="zh-CN"/>
        </w:rPr>
        <w:t>数据来源与单位说明表</w:t>
      </w:r>
      <w:bookmarkEnd w:id="22"/>
    </w:p>
    <w:tbl>
      <w:tblPr>
        <w:tblStyle w:val="af6"/>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2"/>
        <w:gridCol w:w="2862"/>
        <w:gridCol w:w="2862"/>
      </w:tblGrid>
      <w:tr w:rsidR="00B84757" w14:paraId="23CB8AA8" w14:textId="77777777">
        <w:trPr>
          <w:jc w:val="center"/>
        </w:trPr>
        <w:tc>
          <w:tcPr>
            <w:tcW w:w="3022" w:type="dxa"/>
            <w:tcBorders>
              <w:top w:val="single" w:sz="12" w:space="0" w:color="000000"/>
              <w:bottom w:val="single" w:sz="4" w:space="0" w:color="000000"/>
              <w:tl2br w:val="nil"/>
            </w:tcBorders>
            <w:shd w:val="clear" w:color="auto" w:fill="FFFFFF"/>
          </w:tcPr>
          <w:p w14:paraId="255F4E43" w14:textId="77777777" w:rsidR="00B84757" w:rsidRDefault="00000000">
            <w:pPr>
              <w:spacing w:after="0"/>
              <w:jc w:val="both"/>
              <w:rPr>
                <w:rFonts w:ascii="宋体" w:hAnsi="宋体"/>
                <w:color w:val="000000"/>
                <w:szCs w:val="24"/>
              </w:rPr>
            </w:pPr>
            <w:r>
              <w:rPr>
                <w:rFonts w:ascii="宋体" w:hAnsi="宋体"/>
                <w:color w:val="000000"/>
                <w:szCs w:val="24"/>
              </w:rPr>
              <w:t>变量/指标</w:t>
            </w:r>
          </w:p>
        </w:tc>
        <w:tc>
          <w:tcPr>
            <w:tcW w:w="3022" w:type="dxa"/>
            <w:tcBorders>
              <w:top w:val="single" w:sz="12" w:space="0" w:color="000000"/>
              <w:bottom w:val="single" w:sz="4" w:space="0" w:color="000000"/>
            </w:tcBorders>
            <w:shd w:val="clear" w:color="auto" w:fill="FFFFFF"/>
          </w:tcPr>
          <w:p w14:paraId="544A2739" w14:textId="77777777" w:rsidR="00B84757" w:rsidRDefault="00000000">
            <w:pPr>
              <w:spacing w:after="0"/>
              <w:jc w:val="both"/>
              <w:rPr>
                <w:rFonts w:ascii="宋体" w:hAnsi="宋体"/>
                <w:color w:val="000000"/>
                <w:szCs w:val="24"/>
              </w:rPr>
            </w:pPr>
            <w:r>
              <w:rPr>
                <w:rFonts w:ascii="宋体" w:hAnsi="宋体"/>
                <w:color w:val="000000"/>
                <w:szCs w:val="24"/>
              </w:rPr>
              <w:t>数据来源</w:t>
            </w:r>
          </w:p>
        </w:tc>
        <w:tc>
          <w:tcPr>
            <w:tcW w:w="3022" w:type="dxa"/>
            <w:tcBorders>
              <w:top w:val="single" w:sz="12" w:space="0" w:color="000000"/>
              <w:bottom w:val="single" w:sz="4" w:space="0" w:color="000000"/>
            </w:tcBorders>
            <w:shd w:val="clear" w:color="auto" w:fill="FFFFFF"/>
          </w:tcPr>
          <w:p w14:paraId="3BCF891A" w14:textId="77777777" w:rsidR="00B84757" w:rsidRDefault="00000000">
            <w:pPr>
              <w:spacing w:after="0"/>
              <w:jc w:val="both"/>
              <w:rPr>
                <w:rFonts w:ascii="宋体" w:hAnsi="宋体"/>
                <w:color w:val="000000"/>
                <w:szCs w:val="24"/>
              </w:rPr>
            </w:pPr>
            <w:r>
              <w:rPr>
                <w:rFonts w:ascii="宋体" w:hAnsi="宋体"/>
                <w:color w:val="000000"/>
                <w:szCs w:val="24"/>
              </w:rPr>
              <w:t>构造与处理方式</w:t>
            </w:r>
          </w:p>
        </w:tc>
      </w:tr>
      <w:tr w:rsidR="00B84757" w14:paraId="74BC2FBB" w14:textId="77777777">
        <w:trPr>
          <w:jc w:val="center"/>
        </w:trPr>
        <w:tc>
          <w:tcPr>
            <w:tcW w:w="3022" w:type="dxa"/>
            <w:tcBorders>
              <w:top w:val="single" w:sz="4" w:space="0" w:color="000000"/>
            </w:tcBorders>
            <w:shd w:val="clear" w:color="auto" w:fill="FFFFFF"/>
          </w:tcPr>
          <w:p w14:paraId="52930B33" w14:textId="77777777" w:rsidR="00B84757" w:rsidRDefault="00000000">
            <w:pPr>
              <w:spacing w:after="0"/>
              <w:jc w:val="both"/>
              <w:rPr>
                <w:rFonts w:ascii="宋体" w:hAnsi="宋体"/>
                <w:color w:val="000000"/>
                <w:szCs w:val="24"/>
              </w:rPr>
            </w:pPr>
            <w:r>
              <w:rPr>
                <w:rFonts w:ascii="宋体" w:hAnsi="宋体"/>
                <w:color w:val="000000"/>
                <w:szCs w:val="24"/>
              </w:rPr>
              <w:t>资本存量 K</w:t>
            </w:r>
          </w:p>
        </w:tc>
        <w:tc>
          <w:tcPr>
            <w:tcW w:w="3022" w:type="dxa"/>
            <w:tcBorders>
              <w:top w:val="single" w:sz="4" w:space="0" w:color="000000"/>
            </w:tcBorders>
            <w:shd w:val="clear" w:color="auto" w:fill="FFFFFF"/>
          </w:tcPr>
          <w:p w14:paraId="6E2177E5" w14:textId="77777777" w:rsidR="00B84757" w:rsidRDefault="00000000">
            <w:pPr>
              <w:spacing w:after="0"/>
              <w:jc w:val="both"/>
              <w:rPr>
                <w:rFonts w:ascii="宋体" w:hAnsi="宋体"/>
                <w:color w:val="000000"/>
                <w:szCs w:val="24"/>
              </w:rPr>
            </w:pPr>
            <w:r>
              <w:rPr>
                <w:rFonts w:ascii="宋体" w:hAnsi="宋体"/>
                <w:color w:val="000000"/>
                <w:szCs w:val="24"/>
              </w:rPr>
              <w:t>《中国统计年鉴》</w:t>
            </w:r>
          </w:p>
        </w:tc>
        <w:tc>
          <w:tcPr>
            <w:tcW w:w="3022" w:type="dxa"/>
            <w:tcBorders>
              <w:top w:val="single" w:sz="4" w:space="0" w:color="000000"/>
            </w:tcBorders>
            <w:shd w:val="clear" w:color="auto" w:fill="FFFFFF"/>
          </w:tcPr>
          <w:p w14:paraId="15017A44"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基于固定资本形成总额、折旧率与永续盘存法递推资本存量</w:t>
            </w:r>
          </w:p>
        </w:tc>
      </w:tr>
      <w:tr w:rsidR="00B84757" w14:paraId="1A839264" w14:textId="77777777">
        <w:trPr>
          <w:jc w:val="center"/>
        </w:trPr>
        <w:tc>
          <w:tcPr>
            <w:tcW w:w="3022" w:type="dxa"/>
            <w:shd w:val="clear" w:color="auto" w:fill="FFFFFF"/>
          </w:tcPr>
          <w:p w14:paraId="72801F81" w14:textId="77777777" w:rsidR="00B84757" w:rsidRDefault="00000000">
            <w:pPr>
              <w:spacing w:after="0"/>
              <w:jc w:val="both"/>
              <w:rPr>
                <w:rFonts w:ascii="宋体" w:hAnsi="宋体"/>
                <w:color w:val="000000"/>
                <w:szCs w:val="24"/>
              </w:rPr>
            </w:pPr>
            <w:r>
              <w:rPr>
                <w:rFonts w:ascii="宋体" w:hAnsi="宋体"/>
                <w:color w:val="000000"/>
                <w:szCs w:val="24"/>
              </w:rPr>
              <w:t>劳动投入 L</w:t>
            </w:r>
          </w:p>
        </w:tc>
        <w:tc>
          <w:tcPr>
            <w:tcW w:w="3022" w:type="dxa"/>
            <w:shd w:val="clear" w:color="auto" w:fill="FFFFFF"/>
          </w:tcPr>
          <w:p w14:paraId="38457A65" w14:textId="77777777" w:rsidR="00B84757" w:rsidRDefault="00000000">
            <w:pPr>
              <w:spacing w:after="0"/>
              <w:jc w:val="both"/>
              <w:rPr>
                <w:rFonts w:ascii="宋体" w:hAnsi="宋体"/>
                <w:color w:val="000000"/>
                <w:szCs w:val="24"/>
              </w:rPr>
            </w:pPr>
            <w:r>
              <w:rPr>
                <w:rFonts w:ascii="宋体" w:hAnsi="宋体"/>
                <w:color w:val="000000"/>
                <w:szCs w:val="24"/>
              </w:rPr>
              <w:t>《中国统计年鉴》</w:t>
            </w:r>
          </w:p>
        </w:tc>
        <w:tc>
          <w:tcPr>
            <w:tcW w:w="3022" w:type="dxa"/>
            <w:shd w:val="clear" w:color="auto" w:fill="FFFFFF"/>
          </w:tcPr>
          <w:p w14:paraId="5C754922"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采用人口或就业相关数据匹配到省份—年份面板</w:t>
            </w:r>
          </w:p>
        </w:tc>
      </w:tr>
      <w:tr w:rsidR="00B84757" w14:paraId="274EB7B9" w14:textId="77777777">
        <w:trPr>
          <w:jc w:val="center"/>
        </w:trPr>
        <w:tc>
          <w:tcPr>
            <w:tcW w:w="3022" w:type="dxa"/>
            <w:shd w:val="clear" w:color="auto" w:fill="FFFFFF"/>
          </w:tcPr>
          <w:p w14:paraId="4493D587" w14:textId="77777777" w:rsidR="00B84757" w:rsidRDefault="00000000">
            <w:pPr>
              <w:spacing w:after="0"/>
              <w:jc w:val="both"/>
              <w:rPr>
                <w:rFonts w:ascii="宋体" w:hAnsi="宋体"/>
                <w:color w:val="000000"/>
                <w:szCs w:val="24"/>
              </w:rPr>
            </w:pPr>
            <w:r>
              <w:rPr>
                <w:rFonts w:ascii="宋体" w:hAnsi="宋体"/>
                <w:color w:val="000000"/>
                <w:szCs w:val="24"/>
              </w:rPr>
              <w:t>能源投入 E</w:t>
            </w:r>
          </w:p>
        </w:tc>
        <w:tc>
          <w:tcPr>
            <w:tcW w:w="3022" w:type="dxa"/>
            <w:shd w:val="clear" w:color="auto" w:fill="FFFFFF"/>
          </w:tcPr>
          <w:p w14:paraId="767375A7"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《中国能源统计年鉴》</w:t>
            </w:r>
          </w:p>
        </w:tc>
        <w:tc>
          <w:tcPr>
            <w:tcW w:w="3022" w:type="dxa"/>
            <w:shd w:val="clear" w:color="auto" w:fill="FFFFFF"/>
          </w:tcPr>
          <w:p w14:paraId="46759129"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将多类终端能源消费量按标准煤折算系数换算后加总</w:t>
            </w:r>
          </w:p>
        </w:tc>
      </w:tr>
      <w:tr w:rsidR="00B84757" w14:paraId="78ADC238" w14:textId="77777777">
        <w:trPr>
          <w:jc w:val="center"/>
        </w:trPr>
        <w:tc>
          <w:tcPr>
            <w:tcW w:w="3022" w:type="dxa"/>
            <w:shd w:val="clear" w:color="auto" w:fill="FFFFFF"/>
          </w:tcPr>
          <w:p w14:paraId="11EB0848" w14:textId="77777777" w:rsidR="00B84757" w:rsidRDefault="00000000">
            <w:pPr>
              <w:spacing w:after="0"/>
              <w:jc w:val="both"/>
              <w:rPr>
                <w:rFonts w:ascii="宋体" w:hAnsi="宋体"/>
                <w:color w:val="000000"/>
                <w:szCs w:val="24"/>
              </w:rPr>
            </w:pPr>
            <w:r>
              <w:rPr>
                <w:rFonts w:ascii="宋体" w:hAnsi="宋体"/>
                <w:color w:val="000000"/>
                <w:szCs w:val="24"/>
              </w:rPr>
              <w:t>能源结构 es</w:t>
            </w:r>
          </w:p>
        </w:tc>
        <w:tc>
          <w:tcPr>
            <w:tcW w:w="3022" w:type="dxa"/>
            <w:shd w:val="clear" w:color="auto" w:fill="FFFFFF"/>
          </w:tcPr>
          <w:p w14:paraId="00A95DFE"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《中国能源统计年鉴》</w:t>
            </w:r>
          </w:p>
        </w:tc>
        <w:tc>
          <w:tcPr>
            <w:tcW w:w="3022" w:type="dxa"/>
            <w:shd w:val="clear" w:color="auto" w:fill="FFFFFF"/>
          </w:tcPr>
          <w:p w14:paraId="7C8796B6"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es=煤炭消费总量/能源消费总量，反映煤炭依赖程度</w:t>
            </w:r>
          </w:p>
        </w:tc>
      </w:tr>
      <w:tr w:rsidR="00B84757" w14:paraId="2751FEA2" w14:textId="77777777">
        <w:trPr>
          <w:jc w:val="center"/>
        </w:trPr>
        <w:tc>
          <w:tcPr>
            <w:tcW w:w="3022" w:type="dxa"/>
            <w:shd w:val="clear" w:color="auto" w:fill="FFFFFF"/>
          </w:tcPr>
          <w:p w14:paraId="3D00DEB2" w14:textId="77777777" w:rsidR="00B84757" w:rsidRDefault="00000000">
            <w:pPr>
              <w:spacing w:after="0"/>
              <w:jc w:val="both"/>
              <w:rPr>
                <w:rFonts w:ascii="宋体" w:hAnsi="宋体"/>
                <w:color w:val="000000"/>
                <w:szCs w:val="24"/>
              </w:rPr>
            </w:pPr>
            <w:r>
              <w:rPr>
                <w:rFonts w:ascii="宋体" w:hAnsi="宋体"/>
                <w:color w:val="000000"/>
                <w:szCs w:val="24"/>
              </w:rPr>
              <w:t>期望产出 GDP_constant</w:t>
            </w:r>
          </w:p>
        </w:tc>
        <w:tc>
          <w:tcPr>
            <w:tcW w:w="3022" w:type="dxa"/>
            <w:shd w:val="clear" w:color="auto" w:fill="FFFFFF"/>
          </w:tcPr>
          <w:p w14:paraId="656C3258" w14:textId="77777777" w:rsidR="00B84757" w:rsidRDefault="00000000">
            <w:pPr>
              <w:spacing w:after="0"/>
              <w:jc w:val="both"/>
              <w:rPr>
                <w:rFonts w:ascii="宋体" w:hAnsi="宋体"/>
                <w:color w:val="000000"/>
                <w:szCs w:val="24"/>
              </w:rPr>
            </w:pPr>
            <w:r>
              <w:rPr>
                <w:rFonts w:ascii="宋体" w:hAnsi="宋体"/>
                <w:color w:val="000000"/>
                <w:szCs w:val="24"/>
              </w:rPr>
              <w:t>《中国统计年鉴》</w:t>
            </w:r>
          </w:p>
        </w:tc>
        <w:tc>
          <w:tcPr>
            <w:tcW w:w="3022" w:type="dxa"/>
            <w:shd w:val="clear" w:color="auto" w:fill="FFFFFF"/>
          </w:tcPr>
          <w:p w14:paraId="02D45874"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以2015年为基期构造不变价GDP</w:t>
            </w:r>
          </w:p>
        </w:tc>
      </w:tr>
      <w:tr w:rsidR="00B84757" w14:paraId="2154B954" w14:textId="77777777">
        <w:trPr>
          <w:jc w:val="center"/>
        </w:trPr>
        <w:tc>
          <w:tcPr>
            <w:tcW w:w="3022" w:type="dxa"/>
            <w:shd w:val="clear" w:color="auto" w:fill="FFFFFF"/>
          </w:tcPr>
          <w:p w14:paraId="0FA251F1" w14:textId="77777777" w:rsidR="00B84757" w:rsidRDefault="00000000">
            <w:pPr>
              <w:spacing w:after="0"/>
              <w:jc w:val="both"/>
              <w:rPr>
                <w:rFonts w:ascii="宋体" w:hAnsi="宋体"/>
                <w:color w:val="000000"/>
                <w:szCs w:val="24"/>
              </w:rPr>
            </w:pPr>
            <w:r>
              <w:rPr>
                <w:rFonts w:ascii="宋体" w:hAnsi="宋体"/>
                <w:color w:val="000000"/>
                <w:szCs w:val="24"/>
              </w:rPr>
              <w:t>非期望产出 C</w:t>
            </w:r>
          </w:p>
        </w:tc>
        <w:tc>
          <w:tcPr>
            <w:tcW w:w="3022" w:type="dxa"/>
            <w:shd w:val="clear" w:color="auto" w:fill="FFFFFF"/>
          </w:tcPr>
          <w:p w14:paraId="612E40CC"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CEADs数据库或系数核算结果</w:t>
            </w:r>
          </w:p>
        </w:tc>
        <w:tc>
          <w:tcPr>
            <w:tcW w:w="3022" w:type="dxa"/>
            <w:shd w:val="clear" w:color="auto" w:fill="FFFFFF"/>
          </w:tcPr>
          <w:p w14:paraId="4678BF6E"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作为第一阶段坏产出进入效率模型</w:t>
            </w:r>
          </w:p>
        </w:tc>
      </w:tr>
      <w:tr w:rsidR="00B84757" w14:paraId="535F8CB8" w14:textId="77777777">
        <w:trPr>
          <w:jc w:val="center"/>
        </w:trPr>
        <w:tc>
          <w:tcPr>
            <w:tcW w:w="3022" w:type="dxa"/>
            <w:shd w:val="clear" w:color="auto" w:fill="FFFFFF"/>
          </w:tcPr>
          <w:p w14:paraId="4A56813D" w14:textId="77777777" w:rsidR="00B84757" w:rsidRDefault="00000000">
            <w:pPr>
              <w:spacing w:after="0"/>
              <w:jc w:val="both"/>
              <w:rPr>
                <w:rFonts w:ascii="宋体" w:hAnsi="宋体"/>
                <w:color w:val="000000"/>
                <w:szCs w:val="24"/>
              </w:rPr>
            </w:pPr>
            <w:r>
              <w:rPr>
                <w:rFonts w:ascii="宋体" w:hAnsi="宋体"/>
                <w:color w:val="000000"/>
                <w:szCs w:val="24"/>
              </w:rPr>
              <w:t>夜间灯光聚合度 ntl/lntl</w:t>
            </w:r>
          </w:p>
        </w:tc>
        <w:tc>
          <w:tcPr>
            <w:tcW w:w="3022" w:type="dxa"/>
            <w:shd w:val="clear" w:color="auto" w:fill="FFFFFF"/>
          </w:tcPr>
          <w:p w14:paraId="73A8E410"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年度夜间灯光遥感影像</w:t>
            </w:r>
          </w:p>
        </w:tc>
        <w:tc>
          <w:tcPr>
            <w:tcW w:w="3022" w:type="dxa"/>
            <w:shd w:val="clear" w:color="auto" w:fill="FFFFFF"/>
          </w:tcPr>
          <w:p w14:paraId="31423106"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基于省域内部灯光份额构造聚合度指标，并进一步取对数</w:t>
            </w:r>
          </w:p>
        </w:tc>
      </w:tr>
      <w:tr w:rsidR="00B84757" w14:paraId="23B0154E" w14:textId="77777777">
        <w:trPr>
          <w:jc w:val="center"/>
        </w:trPr>
        <w:tc>
          <w:tcPr>
            <w:tcW w:w="3022" w:type="dxa"/>
            <w:shd w:val="clear" w:color="auto" w:fill="FFFFFF"/>
          </w:tcPr>
          <w:p w14:paraId="13A64B02" w14:textId="77777777" w:rsidR="00B84757" w:rsidRDefault="00000000">
            <w:pPr>
              <w:spacing w:after="0"/>
              <w:jc w:val="both"/>
              <w:rPr>
                <w:rFonts w:ascii="宋体" w:hAnsi="宋体"/>
                <w:color w:val="000000"/>
                <w:szCs w:val="24"/>
              </w:rPr>
            </w:pPr>
            <w:r>
              <w:rPr>
                <w:rFonts w:ascii="宋体" w:hAnsi="宋体"/>
                <w:color w:val="000000"/>
                <w:szCs w:val="24"/>
              </w:rPr>
              <w:t>R&amp;D投入强度 rd</w:t>
            </w:r>
          </w:p>
        </w:tc>
        <w:tc>
          <w:tcPr>
            <w:tcW w:w="3022" w:type="dxa"/>
            <w:shd w:val="clear" w:color="auto" w:fill="FFFFFF"/>
          </w:tcPr>
          <w:p w14:paraId="6D984F3C"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《全国科技经费投入统计公报》</w:t>
            </w:r>
          </w:p>
        </w:tc>
        <w:tc>
          <w:tcPr>
            <w:tcW w:w="3022" w:type="dxa"/>
            <w:shd w:val="clear" w:color="auto" w:fill="FFFFFF"/>
          </w:tcPr>
          <w:p w14:paraId="0724A3E4"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R&amp;D经费投入强度与GDP口径统一后计算</w:t>
            </w:r>
          </w:p>
        </w:tc>
      </w:tr>
      <w:tr w:rsidR="00B84757" w14:paraId="3C681561" w14:textId="77777777">
        <w:trPr>
          <w:jc w:val="center"/>
        </w:trPr>
        <w:tc>
          <w:tcPr>
            <w:tcW w:w="3022" w:type="dxa"/>
            <w:tcBorders>
              <w:bottom w:val="single" w:sz="12" w:space="0" w:color="000000"/>
            </w:tcBorders>
            <w:shd w:val="clear" w:color="auto" w:fill="FFFFFF"/>
          </w:tcPr>
          <w:p w14:paraId="352E2302" w14:textId="77777777" w:rsidR="00B84757" w:rsidRDefault="00000000">
            <w:pPr>
              <w:spacing w:after="0"/>
              <w:jc w:val="both"/>
              <w:rPr>
                <w:rFonts w:ascii="宋体" w:hAnsi="宋体"/>
                <w:color w:val="000000"/>
                <w:szCs w:val="24"/>
              </w:rPr>
            </w:pPr>
            <w:r>
              <w:rPr>
                <w:rFonts w:ascii="宋体" w:hAnsi="宋体"/>
                <w:color w:val="000000"/>
                <w:szCs w:val="24"/>
              </w:rPr>
              <w:t>对外开放度 open</w:t>
            </w:r>
          </w:p>
        </w:tc>
        <w:tc>
          <w:tcPr>
            <w:tcW w:w="3022" w:type="dxa"/>
            <w:tcBorders>
              <w:bottom w:val="single" w:sz="12" w:space="0" w:color="000000"/>
            </w:tcBorders>
            <w:shd w:val="clear" w:color="auto" w:fill="FFFFFF"/>
          </w:tcPr>
          <w:p w14:paraId="4601DD1E" w14:textId="77777777" w:rsidR="00B84757" w:rsidRDefault="00000000">
            <w:pPr>
              <w:spacing w:after="0"/>
              <w:jc w:val="both"/>
              <w:rPr>
                <w:rFonts w:ascii="宋体" w:hAnsi="宋体"/>
                <w:color w:val="000000"/>
                <w:szCs w:val="24"/>
              </w:rPr>
            </w:pPr>
            <w:r>
              <w:rPr>
                <w:rFonts w:ascii="宋体" w:hAnsi="宋体"/>
                <w:color w:val="000000"/>
                <w:szCs w:val="24"/>
              </w:rPr>
              <w:t>《中国统计年鉴》</w:t>
            </w:r>
          </w:p>
        </w:tc>
        <w:tc>
          <w:tcPr>
            <w:tcW w:w="3022" w:type="dxa"/>
            <w:tcBorders>
              <w:bottom w:val="single" w:sz="12" w:space="0" w:color="000000"/>
            </w:tcBorders>
            <w:shd w:val="clear" w:color="auto" w:fill="FFFFFF"/>
          </w:tcPr>
          <w:p w14:paraId="508C961F" w14:textId="77777777" w:rsidR="00B84757" w:rsidRDefault="00000000">
            <w:pPr>
              <w:spacing w:after="0"/>
              <w:jc w:val="both"/>
              <w:rPr>
                <w:rFonts w:ascii="宋体" w:hAnsi="宋体"/>
                <w:color w:val="000000"/>
                <w:szCs w:val="24"/>
              </w:rPr>
            </w:pPr>
            <w:r>
              <w:rPr>
                <w:rFonts w:ascii="宋体" w:hAnsi="宋体"/>
                <w:color w:val="000000"/>
                <w:szCs w:val="24"/>
              </w:rPr>
              <w:t>open=货物进出口总额/GDP</w:t>
            </w:r>
          </w:p>
        </w:tc>
      </w:tr>
    </w:tbl>
    <w:p w14:paraId="0008F638" w14:textId="77777777" w:rsidR="00B84757" w:rsidRDefault="00000000">
      <w:pPr>
        <w:pStyle w:val="21"/>
        <w:jc w:val="both"/>
        <w:rPr>
          <w:rFonts w:ascii="楷体" w:hAnsi="楷体"/>
          <w:color w:val="auto"/>
          <w:lang w:eastAsia="zh-CN"/>
        </w:rPr>
      </w:pPr>
      <w:bookmarkStart w:id="23" w:name="_Toc29026"/>
      <w:r>
        <w:rPr>
          <w:rFonts w:ascii="楷体" w:hAnsi="楷体"/>
          <w:color w:val="auto"/>
          <w:lang w:eastAsia="zh-CN"/>
        </w:rPr>
        <w:lastRenderedPageBreak/>
        <w:t>（二）样本构建与清洗处理</w:t>
      </w:r>
      <w:bookmarkEnd w:id="23"/>
    </w:p>
    <w:p w14:paraId="72DA7CDC"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为确保不同来源数据能够统一进入省级平衡面板，本文首先对省份名称、年份范围、单位口径和变量字段进行标准化处理，统一保留2015—2022年样本，并逐一核对省份代码、行政区名称和年份取值的匹配情况。对于跨来源数据中存在的字段差异，通过人工核查和程序匹配相结合的方式进行对齐。</w:t>
      </w:r>
    </w:p>
    <w:p w14:paraId="42F4FECE" w14:textId="77777777" w:rsidR="00B84757" w:rsidRDefault="00000000">
      <w:pPr>
        <w:spacing w:beforeLines="50" w:before="120"/>
        <w:jc w:val="center"/>
        <w:rPr>
          <w:lang w:eastAsia="zh-CN"/>
        </w:rPr>
      </w:pPr>
      <w:r>
        <w:rPr>
          <w:noProof/>
          <w:lang w:eastAsia="zh-CN"/>
        </w:rPr>
        <w:drawing>
          <wp:inline distT="0" distB="0" distL="114300" distR="114300" wp14:anchorId="725E1D58" wp14:editId="1F98B248">
            <wp:extent cx="5703570" cy="3916045"/>
            <wp:effectExtent l="0" t="0" r="0" b="0"/>
            <wp:docPr id="6" name="图片 6" descr="ChatGPT Image 2026年5月7日 10_48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hatGPT Image 2026年5月7日 10_48_27"/>
                    <pic:cNvPicPr>
                      <a:picLocks noChangeAspect="1"/>
                    </pic:cNvPicPr>
                  </pic:nvPicPr>
                  <pic:blipFill>
                    <a:blip r:embed="rId11"/>
                    <a:srcRect t="8461"/>
                    <a:stretch>
                      <a:fillRect/>
                    </a:stretch>
                  </pic:blipFill>
                  <pic:spPr>
                    <a:xfrm>
                      <a:off x="0" y="0"/>
                      <a:ext cx="5703570" cy="3916045"/>
                    </a:xfrm>
                    <a:prstGeom prst="rect">
                      <a:avLst/>
                    </a:prstGeom>
                  </pic:spPr>
                </pic:pic>
              </a:graphicData>
            </a:graphic>
          </wp:inline>
        </w:drawing>
      </w:r>
    </w:p>
    <w:p w14:paraId="4BE00844"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3</w:t>
      </w:r>
      <w:r>
        <w:fldChar w:fldCharType="end"/>
      </w:r>
      <w:bookmarkStart w:id="24" w:name="_Toc4330"/>
      <w:r>
        <w:rPr>
          <w:rFonts w:hint="eastAsia"/>
          <w:lang w:eastAsia="zh-CN"/>
        </w:rPr>
        <w:t xml:space="preserve"> </w:t>
      </w:r>
      <w:r>
        <w:rPr>
          <w:lang w:eastAsia="zh-CN"/>
        </w:rPr>
        <w:t>样本构建流程图</w:t>
      </w:r>
      <w:bookmarkEnd w:id="24"/>
    </w:p>
    <w:p w14:paraId="6CA9F3F7" w14:textId="77777777" w:rsidR="00B84757" w:rsidRDefault="00000000">
      <w:pPr>
        <w:pStyle w:val="21"/>
        <w:jc w:val="both"/>
        <w:rPr>
          <w:rFonts w:ascii="楷体" w:hAnsi="楷体"/>
          <w:color w:val="auto"/>
          <w:lang w:eastAsia="zh-CN"/>
        </w:rPr>
      </w:pPr>
      <w:bookmarkStart w:id="25" w:name="_Toc23213"/>
      <w:r>
        <w:rPr>
          <w:rFonts w:ascii="楷体" w:hAnsi="楷体"/>
          <w:color w:val="auto"/>
          <w:lang w:eastAsia="zh-CN"/>
        </w:rPr>
        <w:t>（三）缺失值、异常值与变量分布检验</w:t>
      </w:r>
      <w:bookmarkEnd w:id="25"/>
    </w:p>
    <w:p w14:paraId="4F012DB6" w14:textId="77777777" w:rsidR="00B84757" w:rsidRDefault="00000000">
      <w:pPr>
        <w:spacing w:after="0" w:line="480" w:lineRule="exact"/>
        <w:ind w:firstLineChars="200" w:firstLine="480"/>
        <w:jc w:val="both"/>
        <w:rPr>
          <w:rFonts w:ascii="宋体" w:hAnsi="宋体"/>
          <w:lang w:eastAsia="zh-CN"/>
        </w:rPr>
      </w:pPr>
      <w:r>
        <w:rPr>
          <w:lang w:eastAsia="zh-CN"/>
        </w:rPr>
        <w:t>为保证模型输入的可靠性，本文从缺失值分布、异常值识别和变量分布形态三个层面开展预处理检验。首先，对省份</w:t>
      </w:r>
      <w:r>
        <w:rPr>
          <w:lang w:eastAsia="zh-CN"/>
        </w:rPr>
        <w:t>—</w:t>
      </w:r>
      <w:r>
        <w:rPr>
          <w:lang w:eastAsia="zh-CN"/>
        </w:rPr>
        <w:t>年份层面的原始数据缺失情况进行系统梳理，优先回到原始数据源进行查补；对于极少量连续型变量，可在保留经济含义的前提下采用线性插值或相邻年份辅助推算，但不宜对第一阶段核心投入产出指标进行大规模机械插值。</w:t>
      </w:r>
    </w:p>
    <w:p w14:paraId="7B437701" w14:textId="77777777" w:rsidR="00B84757" w:rsidRDefault="00000000">
      <w:pPr>
        <w:spacing w:after="0" w:line="480" w:lineRule="exact"/>
        <w:ind w:firstLineChars="200" w:firstLine="480"/>
        <w:jc w:val="both"/>
        <w:rPr>
          <w:rFonts w:ascii="宋体" w:hAnsi="宋体"/>
          <w:lang w:eastAsia="zh-CN"/>
        </w:rPr>
      </w:pPr>
      <w:r>
        <w:rPr>
          <w:lang w:eastAsia="zh-CN"/>
        </w:rPr>
        <w:lastRenderedPageBreak/>
        <w:t>其次，对关键变量采用箱线图、分位数和标准差规则识别极端观测值。对于因省际规模差异而形成的真实极端值，基准分析阶段原则上予以保留，在稳健性检验中再通过缩尾处理检验结论是否稳健。最后，针对夜间灯光聚合度及其对数化指标，分别绘制分布图和核密度图，检验其是否存在明显右偏、是否需要对数化以及对数化后的分布是否更平滑。</w:t>
      </w:r>
    </w:p>
    <w:p w14:paraId="66396409" w14:textId="77777777" w:rsidR="00B84757" w:rsidRDefault="00000000">
      <w:pPr>
        <w:jc w:val="center"/>
        <w:rPr>
          <w:lang w:eastAsia="zh-CN"/>
        </w:rPr>
      </w:pPr>
      <w:r>
        <w:rPr>
          <w:noProof/>
          <w:lang w:eastAsia="zh-CN"/>
        </w:rPr>
        <w:drawing>
          <wp:inline distT="0" distB="0" distL="0" distR="0" wp14:anchorId="3FFC2AA1" wp14:editId="47FC3E5A">
            <wp:extent cx="5445125" cy="4224020"/>
            <wp:effectExtent l="0" t="0" r="0" b="0"/>
            <wp:docPr id="179633158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31589" name="图片 7"/>
                    <pic:cNvPicPr>
                      <a:picLocks noChangeAspect="1" noChangeArrowheads="1"/>
                    </pic:cNvPicPr>
                  </pic:nvPicPr>
                  <pic:blipFill>
                    <a:blip r:embed="rId12">
                      <a:extLst>
                        <a:ext uri="{28A0092B-C50C-407E-A947-70E740481C1C}">
                          <a14:useLocalDpi xmlns:a14="http://schemas.microsoft.com/office/drawing/2010/main" val="0"/>
                        </a:ext>
                      </a:extLst>
                    </a:blip>
                    <a:srcRect t="4835" r="5249"/>
                    <a:stretch>
                      <a:fillRect/>
                    </a:stretch>
                  </pic:blipFill>
                  <pic:spPr>
                    <a:xfrm>
                      <a:off x="0" y="0"/>
                      <a:ext cx="5445125" cy="4224020"/>
                    </a:xfrm>
                    <a:prstGeom prst="rect">
                      <a:avLst/>
                    </a:prstGeom>
                    <a:noFill/>
                    <a:ln>
                      <a:noFill/>
                    </a:ln>
                  </pic:spPr>
                </pic:pic>
              </a:graphicData>
            </a:graphic>
          </wp:inline>
        </w:drawing>
      </w:r>
    </w:p>
    <w:p w14:paraId="42BFA514"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4</w:t>
      </w:r>
      <w:r>
        <w:fldChar w:fldCharType="end"/>
      </w:r>
      <w:bookmarkStart w:id="26" w:name="_Toc385"/>
      <w:r>
        <w:rPr>
          <w:rFonts w:hint="eastAsia"/>
          <w:lang w:eastAsia="zh-CN"/>
        </w:rPr>
        <w:t xml:space="preserve"> </w:t>
      </w:r>
      <w:r>
        <w:rPr>
          <w:lang w:eastAsia="zh-CN"/>
        </w:rPr>
        <w:t>变量缺失热力图</w:t>
      </w:r>
      <w:bookmarkEnd w:id="26"/>
    </w:p>
    <w:p w14:paraId="4D2CDB1D" w14:textId="77777777" w:rsidR="00B84757" w:rsidRDefault="00000000">
      <w:pPr>
        <w:ind w:firstLine="720"/>
        <w:rPr>
          <w:lang w:eastAsia="zh-CN"/>
        </w:rPr>
      </w:pPr>
      <w:r>
        <w:rPr>
          <w:lang w:eastAsia="zh-CN"/>
        </w:rPr>
        <w:t>从图中可以看出，原始数据缺失并非均匀分布，而是在部分省份和年份上更为集中。该结果说明，在模型估计之前对缺失值进行系统梳理是必要的，也为后续采用查补、统一口径和谨慎插值等处理方式提供了依据。</w:t>
      </w:r>
    </w:p>
    <w:p w14:paraId="4CDEC21F" w14:textId="77777777" w:rsidR="00B84757" w:rsidRDefault="00000000">
      <w:pPr>
        <w:jc w:val="center"/>
        <w:rPr>
          <w:lang w:eastAsia="zh-CN"/>
        </w:rPr>
      </w:pPr>
      <w:r>
        <w:rPr>
          <w:noProof/>
          <w:sz w:val="22"/>
          <w:lang w:eastAsia="zh-CN"/>
        </w:rPr>
        <w:lastRenderedPageBreak/>
        <w:drawing>
          <wp:inline distT="0" distB="0" distL="0" distR="0" wp14:anchorId="32F0D0B2" wp14:editId="5B8319E0">
            <wp:extent cx="5092065" cy="2915920"/>
            <wp:effectExtent l="0" t="0" r="635" b="5080"/>
            <wp:docPr id="82802078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20783" name="图片 8"/>
                    <pic:cNvPicPr>
                      <a:picLocks noChangeAspect="1" noChangeArrowheads="1"/>
                    </pic:cNvPicPr>
                  </pic:nvPicPr>
                  <pic:blipFill>
                    <a:blip r:embed="rId13">
                      <a:extLst>
                        <a:ext uri="{28A0092B-C50C-407E-A947-70E740481C1C}">
                          <a14:useLocalDpi xmlns:a14="http://schemas.microsoft.com/office/drawing/2010/main" val="0"/>
                        </a:ext>
                      </a:extLst>
                    </a:blip>
                    <a:srcRect t="7692"/>
                    <a:stretch>
                      <a:fillRect/>
                    </a:stretch>
                  </pic:blipFill>
                  <pic:spPr>
                    <a:xfrm>
                      <a:off x="0" y="0"/>
                      <a:ext cx="5092065" cy="2915920"/>
                    </a:xfrm>
                    <a:prstGeom prst="rect">
                      <a:avLst/>
                    </a:prstGeom>
                    <a:noFill/>
                    <a:ln>
                      <a:noFill/>
                    </a:ln>
                  </pic:spPr>
                </pic:pic>
              </a:graphicData>
            </a:graphic>
          </wp:inline>
        </w:drawing>
      </w:r>
    </w:p>
    <w:p w14:paraId="18CA1042"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5</w:t>
      </w:r>
      <w:r>
        <w:fldChar w:fldCharType="end"/>
      </w:r>
      <w:bookmarkStart w:id="27" w:name="_Toc29798"/>
      <w:r>
        <w:rPr>
          <w:rFonts w:hint="eastAsia"/>
          <w:lang w:eastAsia="zh-CN"/>
        </w:rPr>
        <w:t xml:space="preserve"> </w:t>
      </w:r>
      <w:r>
        <w:rPr>
          <w:lang w:eastAsia="zh-CN"/>
        </w:rPr>
        <w:t>核心变量箱线图</w:t>
      </w:r>
      <w:bookmarkEnd w:id="27"/>
    </w:p>
    <w:p w14:paraId="1ADE6428" w14:textId="77777777" w:rsidR="00B84757" w:rsidRDefault="00000000">
      <w:pPr>
        <w:ind w:firstLine="720"/>
        <w:rPr>
          <w:lang w:eastAsia="zh-CN"/>
        </w:rPr>
      </w:pPr>
      <w:r>
        <w:rPr>
          <w:lang w:eastAsia="zh-CN"/>
        </w:rPr>
        <w:t>箱线图表明，不同核心变量的取值范围和离散程度存在明显差异，部分变量还存在极端观测值。考虑到这些极端值中相当一部分可能来源于真实的省际规模差异，本文在基准分析阶段予以保留，并在后续稳健性检验中通过缩尾处理进一步检验结论是否稳定。</w:t>
      </w:r>
    </w:p>
    <w:p w14:paraId="60B52480" w14:textId="77777777" w:rsidR="00B84757" w:rsidRDefault="00000000">
      <w:pPr>
        <w:jc w:val="center"/>
        <w:rPr>
          <w:lang w:eastAsia="zh-CN"/>
        </w:rPr>
      </w:pPr>
      <w:r>
        <w:rPr>
          <w:noProof/>
          <w:lang w:eastAsia="zh-CN"/>
        </w:rPr>
        <w:drawing>
          <wp:inline distT="0" distB="0" distL="114300" distR="114300" wp14:anchorId="4F847EB7" wp14:editId="28FE123E">
            <wp:extent cx="5765800" cy="1916430"/>
            <wp:effectExtent l="0" t="0" r="0" b="1270"/>
            <wp:docPr id="19" name="图片 19" descr="01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1_distribution"/>
                    <pic:cNvPicPr>
                      <a:picLocks noChangeAspect="1"/>
                    </pic:cNvPicPr>
                  </pic:nvPicPr>
                  <pic:blipFill>
                    <a:blip r:embed="rId14"/>
                    <a:srcRect t="9720"/>
                    <a:stretch>
                      <a:fillRect/>
                    </a:stretch>
                  </pic:blipFill>
                  <pic:spPr>
                    <a:xfrm>
                      <a:off x="0" y="0"/>
                      <a:ext cx="5765800" cy="1916430"/>
                    </a:xfrm>
                    <a:prstGeom prst="rect">
                      <a:avLst/>
                    </a:prstGeom>
                  </pic:spPr>
                </pic:pic>
              </a:graphicData>
            </a:graphic>
          </wp:inline>
        </w:drawing>
      </w:r>
    </w:p>
    <w:p w14:paraId="204637C4" w14:textId="77777777" w:rsidR="00B84757" w:rsidRDefault="00000000">
      <w:pPr>
        <w:pStyle w:val="a7"/>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6</w:t>
      </w:r>
      <w:r>
        <w:fldChar w:fldCharType="end"/>
      </w:r>
      <w:bookmarkStart w:id="28" w:name="_Toc20788"/>
      <w:r>
        <w:rPr>
          <w:rFonts w:hint="eastAsia"/>
          <w:lang w:eastAsia="zh-CN"/>
        </w:rPr>
        <w:t xml:space="preserve"> </w:t>
      </w:r>
      <w:r>
        <w:rPr>
          <w:rFonts w:hint="eastAsia"/>
          <w:lang w:eastAsia="zh-CN"/>
        </w:rPr>
        <w:t>夜间灯光聚合度及其对数化指标分布图</w:t>
      </w:r>
      <w:bookmarkEnd w:id="28"/>
    </w:p>
    <w:p w14:paraId="40D617F2" w14:textId="77777777" w:rsidR="00B84757" w:rsidRDefault="00000000">
      <w:pPr>
        <w:ind w:firstLine="720"/>
        <w:rPr>
          <w:lang w:eastAsia="zh-CN"/>
        </w:rPr>
      </w:pPr>
      <w:r>
        <w:rPr>
          <w:rFonts w:hint="eastAsia"/>
          <w:lang w:eastAsia="zh-CN"/>
        </w:rPr>
        <w:t>图中可以看到，原始夜间灯光聚合度指标存在一定右偏特征，而经对数化处理后，变量分布更加收敛和平滑。由此可见，对夜间灯光聚合度取对数有助于缓解偏态分布带来的影响，并提高不同省份之间的可比性。</w:t>
      </w:r>
    </w:p>
    <w:p w14:paraId="70616C2A" w14:textId="77777777" w:rsidR="00B84757" w:rsidRDefault="00000000">
      <w:pPr>
        <w:pStyle w:val="21"/>
        <w:jc w:val="both"/>
        <w:rPr>
          <w:rFonts w:ascii="楷体" w:hAnsi="楷体"/>
          <w:color w:val="auto"/>
          <w:lang w:eastAsia="zh-CN"/>
        </w:rPr>
      </w:pPr>
      <w:bookmarkStart w:id="29" w:name="_Toc28388"/>
      <w:r>
        <w:rPr>
          <w:rFonts w:ascii="楷体" w:hAnsi="楷体"/>
          <w:color w:val="auto"/>
          <w:lang w:eastAsia="zh-CN"/>
        </w:rPr>
        <w:lastRenderedPageBreak/>
        <w:t>（四）关键变量构造与口径说明</w:t>
      </w:r>
      <w:bookmarkEnd w:id="29"/>
    </w:p>
    <w:p w14:paraId="647F6B83" w14:textId="77777777" w:rsidR="00B84757" w:rsidRDefault="00000000">
      <w:pPr>
        <w:spacing w:after="0" w:line="480" w:lineRule="exact"/>
        <w:ind w:firstLineChars="200" w:firstLine="480"/>
        <w:jc w:val="both"/>
        <w:rPr>
          <w:rFonts w:ascii="宋体" w:hAnsi="宋体"/>
          <w:lang w:eastAsia="zh-CN"/>
        </w:rPr>
      </w:pPr>
      <w:r>
        <w:rPr>
          <w:lang w:eastAsia="zh-CN"/>
        </w:rPr>
        <w:t>不变价</w:t>
      </w:r>
      <w:r>
        <w:rPr>
          <w:lang w:eastAsia="zh-CN"/>
        </w:rPr>
        <w:t>GDP</w:t>
      </w:r>
      <w:r>
        <w:rPr>
          <w:lang w:eastAsia="zh-CN"/>
        </w:rPr>
        <w:t>是第一阶段最关键的预处理变量之一。本文统一采用</w:t>
      </w:r>
      <w:r>
        <w:rPr>
          <w:lang w:eastAsia="zh-CN"/>
        </w:rPr>
        <w:t>2015</w:t>
      </w:r>
      <w:r>
        <w:rPr>
          <w:lang w:eastAsia="zh-CN"/>
        </w:rPr>
        <w:t>年为基期，通过地区生产总值指数进行链式折算，以保持省际和年际之间的可比性。资本存量则参照张军等提出的永续盘存法进行估算，折旧率口径需在正文中明确说明。能源结构变量</w:t>
      </w:r>
      <w:r>
        <w:rPr>
          <w:lang w:eastAsia="zh-CN"/>
        </w:rPr>
        <w:t>es</w:t>
      </w:r>
      <w:r>
        <w:rPr>
          <w:lang w:eastAsia="zh-CN"/>
        </w:rPr>
        <w:t>定义为煤炭消费总量占能源消费总量的比重，用于刻画地区对高碳能源的依赖程度。</w:t>
      </w:r>
      <w:r>
        <w:rPr>
          <w:vertAlign w:val="superscript"/>
          <w:lang w:eastAsia="zh-CN"/>
        </w:rPr>
        <w:t>[11,19]</w:t>
      </w:r>
    </w:p>
    <w:p w14:paraId="074C5BEE"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夜间灯光聚合度的构造应强调其“空间聚合”而非“亮度总量”属性。可先定义省域内部各灯光栅格亮度占比，再构造Herfindahl型聚合度指标，最后取lntl=ln(ntl+1)进入回归模型。该处理有助于缓解右偏特征，并增强不同省份之间的可比性。与简单使用灯光总量相比，这一指标更能反映经济活动在省域内部的集中程度。</w:t>
      </w:r>
      <w:r>
        <w:rPr>
          <w:rFonts w:cs="Times New Roman"/>
          <w:vertAlign w:val="superscript"/>
          <w:lang w:eastAsia="zh-CN"/>
        </w:rPr>
        <w:t>[6-8,22]</w:t>
      </w:r>
    </w:p>
    <w:p w14:paraId="176F7D0D" w14:textId="77777777" w:rsidR="00B84757" w:rsidRDefault="00000000">
      <w:pPr>
        <w:pStyle w:val="21"/>
        <w:jc w:val="both"/>
        <w:rPr>
          <w:rFonts w:ascii="楷体" w:hAnsi="楷体"/>
          <w:color w:val="auto"/>
          <w:lang w:eastAsia="zh-CN"/>
        </w:rPr>
      </w:pPr>
      <w:bookmarkStart w:id="30" w:name="_Toc31403"/>
      <w:r>
        <w:rPr>
          <w:rFonts w:ascii="楷体" w:hAnsi="楷体"/>
          <w:color w:val="auto"/>
          <w:lang w:eastAsia="zh-CN"/>
        </w:rPr>
        <w:t>（五）描述性统计与先验相关关系</w:t>
      </w:r>
      <w:bookmarkEnd w:id="30"/>
    </w:p>
    <w:p w14:paraId="2B1D090E" w14:textId="77777777" w:rsidR="00B84757" w:rsidRDefault="00000000">
      <w:pPr>
        <w:spacing w:after="0" w:line="480" w:lineRule="exact"/>
        <w:ind w:firstLineChars="200" w:firstLine="480"/>
        <w:jc w:val="both"/>
        <w:rPr>
          <w:rFonts w:ascii="宋体" w:hAnsi="宋体"/>
          <w:lang w:eastAsia="zh-CN"/>
        </w:rPr>
      </w:pPr>
      <w:r>
        <w:rPr>
          <w:lang w:eastAsia="zh-CN"/>
        </w:rPr>
        <w:t>为检验变量分布特征与解释变量之间的相关关系，本文进一步补充描述性统计、相关系数矩阵和</w:t>
      </w:r>
      <w:r>
        <w:rPr>
          <w:lang w:eastAsia="zh-CN"/>
        </w:rPr>
        <w:t>VIF</w:t>
      </w:r>
      <w:r>
        <w:rPr>
          <w:lang w:eastAsia="zh-CN"/>
        </w:rPr>
        <w:t>检验结果三类表格。一方面，描述性统计能够概括</w:t>
      </w:r>
      <w:r>
        <w:rPr>
          <w:lang w:eastAsia="zh-CN"/>
        </w:rPr>
        <w:t>eff</w:t>
      </w:r>
      <w:r>
        <w:rPr>
          <w:lang w:eastAsia="zh-CN"/>
        </w:rPr>
        <w:t>、</w:t>
      </w:r>
      <w:r>
        <w:rPr>
          <w:lang w:eastAsia="zh-CN"/>
        </w:rPr>
        <w:t>lntl</w:t>
      </w:r>
      <w:r>
        <w:rPr>
          <w:lang w:eastAsia="zh-CN"/>
        </w:rPr>
        <w:t>及各控制变量的均值、标准差、最小值和最大值，从而为后续模型估计提供基本分布信息；另一方面，相关系数矩阵和</w:t>
      </w:r>
      <w:r>
        <w:rPr>
          <w:lang w:eastAsia="zh-CN"/>
        </w:rPr>
        <w:t>VIF</w:t>
      </w:r>
      <w:r>
        <w:rPr>
          <w:lang w:eastAsia="zh-CN"/>
        </w:rPr>
        <w:t>检验能够帮助判断核心解释变量与控制变量之间是否存在明显共线性。</w:t>
      </w:r>
    </w:p>
    <w:p w14:paraId="13F133CF" w14:textId="77777777" w:rsidR="00B84757" w:rsidRDefault="00000000">
      <w:pPr>
        <w:pStyle w:val="a7"/>
      </w:pPr>
      <w:r>
        <w:t>表</w:t>
      </w:r>
      <w:r>
        <w:t xml:space="preserve"> </w:t>
      </w:r>
      <w:r>
        <w:fldChar w:fldCharType="begin"/>
      </w:r>
      <w:r>
        <w:instrText xml:space="preserve"> SEQ </w:instrText>
      </w:r>
      <w:r>
        <w:instrText>表</w:instrText>
      </w:r>
      <w:r>
        <w:instrText xml:space="preserve"> \* ARABIC </w:instrText>
      </w:r>
      <w:r>
        <w:fldChar w:fldCharType="separate"/>
      </w:r>
      <w:r>
        <w:t>4</w:t>
      </w:r>
      <w:r>
        <w:fldChar w:fldCharType="end"/>
      </w:r>
      <w:bookmarkStart w:id="31" w:name="_Toc3163"/>
      <w:r>
        <w:rPr>
          <w:rFonts w:hint="eastAsia"/>
          <w:lang w:eastAsia="zh-CN"/>
        </w:rPr>
        <w:t xml:space="preserve"> </w:t>
      </w:r>
      <w:r>
        <w:t>描述性统计表</w:t>
      </w:r>
      <w:bookmarkEnd w:id="31"/>
    </w:p>
    <w:tbl>
      <w:tblPr>
        <w:tblStyle w:val="af6"/>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3"/>
        <w:gridCol w:w="1198"/>
        <w:gridCol w:w="1247"/>
        <w:gridCol w:w="1247"/>
        <w:gridCol w:w="1247"/>
        <w:gridCol w:w="1247"/>
        <w:gridCol w:w="1247"/>
      </w:tblGrid>
      <w:tr w:rsidR="00B84757" w14:paraId="685E8998" w14:textId="77777777">
        <w:tc>
          <w:tcPr>
            <w:tcW w:w="1295" w:type="dxa"/>
            <w:tcBorders>
              <w:top w:val="single" w:sz="12" w:space="0" w:color="000000"/>
              <w:bottom w:val="single" w:sz="4" w:space="0" w:color="000000"/>
              <w:tl2br w:val="nil"/>
            </w:tcBorders>
            <w:shd w:val="clear" w:color="auto" w:fill="FFFFFF"/>
          </w:tcPr>
          <w:p w14:paraId="275D37E2" w14:textId="77777777" w:rsidR="00B84757" w:rsidRDefault="00000000">
            <w:pPr>
              <w:spacing w:after="0"/>
              <w:jc w:val="center"/>
              <w:rPr>
                <w:rFonts w:ascii="宋体" w:hAnsi="宋体"/>
                <w:color w:val="000000"/>
                <w:szCs w:val="24"/>
              </w:rPr>
            </w:pPr>
            <w:r>
              <w:rPr>
                <w:rFonts w:ascii="宋体" w:hAnsi="宋体"/>
                <w:color w:val="000000"/>
                <w:szCs w:val="24"/>
              </w:rPr>
              <w:t>变量</w:t>
            </w:r>
          </w:p>
        </w:tc>
        <w:tc>
          <w:tcPr>
            <w:tcW w:w="1295" w:type="dxa"/>
            <w:tcBorders>
              <w:top w:val="single" w:sz="12" w:space="0" w:color="000000"/>
              <w:bottom w:val="single" w:sz="4" w:space="0" w:color="000000"/>
            </w:tcBorders>
            <w:shd w:val="clear" w:color="auto" w:fill="FFFFFF"/>
          </w:tcPr>
          <w:p w14:paraId="3E35AEF8" w14:textId="77777777" w:rsidR="00B84757" w:rsidRDefault="00000000">
            <w:pPr>
              <w:spacing w:after="0"/>
              <w:jc w:val="center"/>
              <w:rPr>
                <w:rFonts w:ascii="宋体" w:hAnsi="宋体"/>
                <w:color w:val="000000"/>
                <w:szCs w:val="24"/>
              </w:rPr>
            </w:pPr>
            <w:r>
              <w:rPr>
                <w:rFonts w:ascii="宋体" w:hAnsi="宋体"/>
                <w:color w:val="000000"/>
                <w:szCs w:val="24"/>
              </w:rPr>
              <w:t>样本量</w:t>
            </w:r>
          </w:p>
        </w:tc>
        <w:tc>
          <w:tcPr>
            <w:tcW w:w="1295" w:type="dxa"/>
            <w:tcBorders>
              <w:top w:val="single" w:sz="12" w:space="0" w:color="000000"/>
              <w:bottom w:val="single" w:sz="4" w:space="0" w:color="000000"/>
            </w:tcBorders>
            <w:shd w:val="clear" w:color="auto" w:fill="FFFFFF"/>
          </w:tcPr>
          <w:p w14:paraId="2C864014" w14:textId="77777777" w:rsidR="00B84757" w:rsidRDefault="00000000">
            <w:pPr>
              <w:spacing w:after="0"/>
              <w:jc w:val="center"/>
              <w:rPr>
                <w:rFonts w:ascii="宋体" w:hAnsi="宋体"/>
                <w:color w:val="000000"/>
                <w:szCs w:val="24"/>
              </w:rPr>
            </w:pPr>
            <w:r>
              <w:rPr>
                <w:rFonts w:ascii="宋体" w:hAnsi="宋体"/>
                <w:color w:val="000000"/>
                <w:szCs w:val="24"/>
              </w:rPr>
              <w:t>均值</w:t>
            </w:r>
          </w:p>
        </w:tc>
        <w:tc>
          <w:tcPr>
            <w:tcW w:w="1295" w:type="dxa"/>
            <w:tcBorders>
              <w:top w:val="single" w:sz="12" w:space="0" w:color="000000"/>
              <w:bottom w:val="single" w:sz="4" w:space="0" w:color="000000"/>
            </w:tcBorders>
            <w:shd w:val="clear" w:color="auto" w:fill="FFFFFF"/>
          </w:tcPr>
          <w:p w14:paraId="35550CE4" w14:textId="77777777" w:rsidR="00B84757" w:rsidRDefault="00000000">
            <w:pPr>
              <w:spacing w:after="0"/>
              <w:jc w:val="center"/>
              <w:rPr>
                <w:rFonts w:ascii="宋体" w:hAnsi="宋体"/>
                <w:color w:val="000000"/>
                <w:szCs w:val="24"/>
              </w:rPr>
            </w:pPr>
            <w:r>
              <w:rPr>
                <w:rFonts w:ascii="宋体" w:hAnsi="宋体"/>
                <w:color w:val="000000"/>
                <w:szCs w:val="24"/>
              </w:rPr>
              <w:t>标准差</w:t>
            </w:r>
          </w:p>
        </w:tc>
        <w:tc>
          <w:tcPr>
            <w:tcW w:w="1295" w:type="dxa"/>
            <w:tcBorders>
              <w:top w:val="single" w:sz="12" w:space="0" w:color="000000"/>
              <w:bottom w:val="single" w:sz="4" w:space="0" w:color="000000"/>
            </w:tcBorders>
            <w:shd w:val="clear" w:color="auto" w:fill="FFFFFF"/>
          </w:tcPr>
          <w:p w14:paraId="1ADC6790" w14:textId="77777777" w:rsidR="00B84757" w:rsidRDefault="00000000">
            <w:pPr>
              <w:spacing w:after="0"/>
              <w:jc w:val="center"/>
              <w:rPr>
                <w:rFonts w:ascii="宋体" w:hAnsi="宋体"/>
                <w:color w:val="000000"/>
                <w:szCs w:val="24"/>
              </w:rPr>
            </w:pPr>
            <w:r>
              <w:rPr>
                <w:rFonts w:ascii="宋体" w:hAnsi="宋体"/>
                <w:color w:val="000000"/>
                <w:szCs w:val="24"/>
              </w:rPr>
              <w:t>最小值</w:t>
            </w:r>
          </w:p>
        </w:tc>
        <w:tc>
          <w:tcPr>
            <w:tcW w:w="1295" w:type="dxa"/>
            <w:tcBorders>
              <w:top w:val="single" w:sz="12" w:space="0" w:color="000000"/>
              <w:bottom w:val="single" w:sz="4" w:space="0" w:color="000000"/>
            </w:tcBorders>
            <w:shd w:val="clear" w:color="auto" w:fill="FFFFFF"/>
          </w:tcPr>
          <w:p w14:paraId="147DC5E6" w14:textId="77777777" w:rsidR="00B84757" w:rsidRDefault="00000000">
            <w:pPr>
              <w:spacing w:after="0"/>
              <w:jc w:val="center"/>
              <w:rPr>
                <w:rFonts w:ascii="宋体" w:hAnsi="宋体"/>
                <w:color w:val="000000"/>
                <w:szCs w:val="24"/>
              </w:rPr>
            </w:pPr>
            <w:r>
              <w:rPr>
                <w:rFonts w:ascii="宋体" w:hAnsi="宋体"/>
                <w:color w:val="000000"/>
                <w:szCs w:val="24"/>
              </w:rPr>
              <w:t>中位数</w:t>
            </w:r>
          </w:p>
        </w:tc>
        <w:tc>
          <w:tcPr>
            <w:tcW w:w="1295" w:type="dxa"/>
            <w:tcBorders>
              <w:top w:val="single" w:sz="12" w:space="0" w:color="000000"/>
              <w:bottom w:val="single" w:sz="4" w:space="0" w:color="000000"/>
            </w:tcBorders>
            <w:shd w:val="clear" w:color="auto" w:fill="FFFFFF"/>
          </w:tcPr>
          <w:p w14:paraId="381DC014" w14:textId="77777777" w:rsidR="00B84757" w:rsidRDefault="00000000">
            <w:pPr>
              <w:spacing w:after="0"/>
              <w:jc w:val="center"/>
              <w:rPr>
                <w:rFonts w:ascii="宋体" w:hAnsi="宋体"/>
                <w:color w:val="000000"/>
                <w:szCs w:val="24"/>
              </w:rPr>
            </w:pPr>
            <w:r>
              <w:rPr>
                <w:rFonts w:ascii="宋体" w:hAnsi="宋体"/>
                <w:color w:val="000000"/>
                <w:szCs w:val="24"/>
              </w:rPr>
              <w:t>最大值</w:t>
            </w:r>
          </w:p>
        </w:tc>
      </w:tr>
      <w:tr w:rsidR="00B84757" w14:paraId="2EFD0641" w14:textId="77777777">
        <w:tc>
          <w:tcPr>
            <w:tcW w:w="1295" w:type="dxa"/>
            <w:tcBorders>
              <w:top w:val="single" w:sz="4" w:space="0" w:color="000000"/>
            </w:tcBorders>
            <w:shd w:val="clear" w:color="auto" w:fill="FFFFFF"/>
          </w:tcPr>
          <w:p w14:paraId="0DD16D41" w14:textId="77777777" w:rsidR="00B84757" w:rsidRDefault="00000000">
            <w:pPr>
              <w:spacing w:after="0"/>
              <w:jc w:val="center"/>
              <w:rPr>
                <w:rFonts w:ascii="宋体" w:hAnsi="宋体"/>
                <w:color w:val="000000"/>
                <w:szCs w:val="24"/>
              </w:rPr>
            </w:pPr>
            <w:r>
              <w:rPr>
                <w:rFonts w:ascii="宋体" w:hAnsi="宋体"/>
                <w:color w:val="000000"/>
                <w:szCs w:val="24"/>
              </w:rPr>
              <w:t>eff</w:t>
            </w:r>
          </w:p>
        </w:tc>
        <w:tc>
          <w:tcPr>
            <w:tcW w:w="1295" w:type="dxa"/>
            <w:tcBorders>
              <w:top w:val="single" w:sz="4" w:space="0" w:color="000000"/>
            </w:tcBorders>
            <w:shd w:val="clear" w:color="auto" w:fill="FFFFFF"/>
          </w:tcPr>
          <w:p w14:paraId="365912B5" w14:textId="77777777" w:rsidR="00B84757" w:rsidRDefault="00000000">
            <w:pPr>
              <w:spacing w:after="0"/>
              <w:jc w:val="center"/>
              <w:rPr>
                <w:rFonts w:ascii="宋体" w:hAnsi="宋体"/>
                <w:color w:val="000000"/>
                <w:szCs w:val="24"/>
              </w:rPr>
            </w:pPr>
            <w:r>
              <w:rPr>
                <w:rFonts w:ascii="宋体" w:hAnsi="宋体"/>
                <w:color w:val="000000"/>
                <w:szCs w:val="24"/>
              </w:rPr>
              <w:t>240</w:t>
            </w:r>
          </w:p>
        </w:tc>
        <w:tc>
          <w:tcPr>
            <w:tcW w:w="1295" w:type="dxa"/>
            <w:tcBorders>
              <w:top w:val="single" w:sz="4" w:space="0" w:color="000000"/>
            </w:tcBorders>
            <w:shd w:val="clear" w:color="auto" w:fill="FFFFFF"/>
          </w:tcPr>
          <w:p w14:paraId="122F7728" w14:textId="77777777" w:rsidR="00B84757" w:rsidRDefault="00000000">
            <w:pPr>
              <w:spacing w:after="0"/>
              <w:jc w:val="center"/>
              <w:rPr>
                <w:rFonts w:ascii="宋体" w:hAnsi="宋体"/>
                <w:color w:val="000000"/>
                <w:szCs w:val="24"/>
              </w:rPr>
            </w:pPr>
            <w:r>
              <w:rPr>
                <w:rFonts w:ascii="宋体" w:hAnsi="宋体"/>
                <w:color w:val="000000"/>
                <w:szCs w:val="24"/>
              </w:rPr>
              <w:t>0.5066</w:t>
            </w:r>
          </w:p>
        </w:tc>
        <w:tc>
          <w:tcPr>
            <w:tcW w:w="1295" w:type="dxa"/>
            <w:tcBorders>
              <w:top w:val="single" w:sz="4" w:space="0" w:color="000000"/>
            </w:tcBorders>
            <w:shd w:val="clear" w:color="auto" w:fill="FFFFFF"/>
          </w:tcPr>
          <w:p w14:paraId="41FB055C" w14:textId="77777777" w:rsidR="00B84757" w:rsidRDefault="00000000">
            <w:pPr>
              <w:spacing w:after="0"/>
              <w:jc w:val="center"/>
              <w:rPr>
                <w:rFonts w:ascii="宋体" w:hAnsi="宋体"/>
                <w:color w:val="000000"/>
                <w:szCs w:val="24"/>
              </w:rPr>
            </w:pPr>
            <w:r>
              <w:rPr>
                <w:rFonts w:ascii="宋体" w:hAnsi="宋体"/>
                <w:color w:val="000000"/>
                <w:szCs w:val="24"/>
              </w:rPr>
              <w:t>0.2275</w:t>
            </w:r>
          </w:p>
        </w:tc>
        <w:tc>
          <w:tcPr>
            <w:tcW w:w="1295" w:type="dxa"/>
            <w:tcBorders>
              <w:top w:val="single" w:sz="4" w:space="0" w:color="000000"/>
            </w:tcBorders>
            <w:shd w:val="clear" w:color="auto" w:fill="FFFFFF"/>
          </w:tcPr>
          <w:p w14:paraId="56096D5E" w14:textId="77777777" w:rsidR="00B84757" w:rsidRDefault="00000000">
            <w:pPr>
              <w:spacing w:after="0"/>
              <w:jc w:val="center"/>
              <w:rPr>
                <w:rFonts w:ascii="宋体" w:hAnsi="宋体"/>
                <w:color w:val="000000"/>
                <w:szCs w:val="24"/>
              </w:rPr>
            </w:pPr>
            <w:r>
              <w:rPr>
                <w:rFonts w:ascii="宋体" w:hAnsi="宋体"/>
                <w:color w:val="000000"/>
                <w:szCs w:val="24"/>
              </w:rPr>
              <w:t>0.2636</w:t>
            </w:r>
          </w:p>
        </w:tc>
        <w:tc>
          <w:tcPr>
            <w:tcW w:w="1295" w:type="dxa"/>
            <w:tcBorders>
              <w:top w:val="single" w:sz="4" w:space="0" w:color="000000"/>
            </w:tcBorders>
            <w:shd w:val="clear" w:color="auto" w:fill="FFFFFF"/>
          </w:tcPr>
          <w:p w14:paraId="42B58BE9" w14:textId="77777777" w:rsidR="00B84757" w:rsidRDefault="00000000">
            <w:pPr>
              <w:spacing w:after="0"/>
              <w:jc w:val="center"/>
              <w:rPr>
                <w:rFonts w:ascii="宋体" w:hAnsi="宋体"/>
                <w:color w:val="000000"/>
                <w:szCs w:val="24"/>
              </w:rPr>
            </w:pPr>
            <w:r>
              <w:rPr>
                <w:rFonts w:ascii="宋体" w:hAnsi="宋体"/>
                <w:color w:val="000000"/>
                <w:szCs w:val="24"/>
              </w:rPr>
              <w:t>0.4119</w:t>
            </w:r>
          </w:p>
        </w:tc>
        <w:tc>
          <w:tcPr>
            <w:tcW w:w="1295" w:type="dxa"/>
            <w:tcBorders>
              <w:top w:val="single" w:sz="4" w:space="0" w:color="000000"/>
            </w:tcBorders>
            <w:shd w:val="clear" w:color="auto" w:fill="FFFFFF"/>
          </w:tcPr>
          <w:p w14:paraId="49C53E8A" w14:textId="77777777" w:rsidR="00B84757" w:rsidRDefault="00000000">
            <w:pPr>
              <w:spacing w:after="0"/>
              <w:jc w:val="center"/>
              <w:rPr>
                <w:rFonts w:ascii="宋体" w:hAnsi="宋体"/>
                <w:color w:val="000000"/>
                <w:szCs w:val="24"/>
              </w:rPr>
            </w:pPr>
            <w:r>
              <w:rPr>
                <w:rFonts w:ascii="宋体" w:hAnsi="宋体"/>
                <w:color w:val="000000"/>
                <w:szCs w:val="24"/>
              </w:rPr>
              <w:t>1.2651</w:t>
            </w:r>
          </w:p>
        </w:tc>
      </w:tr>
      <w:tr w:rsidR="00B84757" w14:paraId="3ACC085D" w14:textId="77777777">
        <w:tc>
          <w:tcPr>
            <w:tcW w:w="1295" w:type="dxa"/>
            <w:shd w:val="clear" w:color="auto" w:fill="FFFFFF"/>
          </w:tcPr>
          <w:p w14:paraId="3BE5C873" w14:textId="77777777" w:rsidR="00B84757" w:rsidRDefault="00000000">
            <w:pPr>
              <w:spacing w:after="0"/>
              <w:jc w:val="center"/>
              <w:rPr>
                <w:rFonts w:ascii="宋体" w:hAnsi="宋体"/>
                <w:color w:val="000000"/>
                <w:szCs w:val="24"/>
              </w:rPr>
            </w:pPr>
            <w:r>
              <w:rPr>
                <w:rFonts w:ascii="宋体" w:hAnsi="宋体"/>
                <w:color w:val="000000"/>
                <w:szCs w:val="24"/>
              </w:rPr>
              <w:t>lntl</w:t>
            </w:r>
          </w:p>
        </w:tc>
        <w:tc>
          <w:tcPr>
            <w:tcW w:w="1295" w:type="dxa"/>
            <w:shd w:val="clear" w:color="auto" w:fill="FFFFFF"/>
          </w:tcPr>
          <w:p w14:paraId="7947BFA3" w14:textId="77777777" w:rsidR="00B84757" w:rsidRDefault="00000000">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508FC494" w14:textId="77777777" w:rsidR="00B84757" w:rsidRDefault="00000000">
            <w:pPr>
              <w:spacing w:after="0"/>
              <w:jc w:val="center"/>
              <w:rPr>
                <w:rFonts w:ascii="宋体" w:hAnsi="宋体"/>
                <w:color w:val="000000"/>
                <w:szCs w:val="24"/>
              </w:rPr>
            </w:pPr>
            <w:r>
              <w:rPr>
                <w:rFonts w:ascii="宋体" w:hAnsi="宋体"/>
                <w:color w:val="000000"/>
                <w:szCs w:val="24"/>
              </w:rPr>
              <w:t>0.9093</w:t>
            </w:r>
          </w:p>
        </w:tc>
        <w:tc>
          <w:tcPr>
            <w:tcW w:w="1295" w:type="dxa"/>
            <w:shd w:val="clear" w:color="auto" w:fill="FFFFFF"/>
          </w:tcPr>
          <w:p w14:paraId="36753F0D" w14:textId="77777777" w:rsidR="00B84757" w:rsidRDefault="00000000">
            <w:pPr>
              <w:spacing w:after="0"/>
              <w:jc w:val="center"/>
              <w:rPr>
                <w:rFonts w:ascii="宋体" w:hAnsi="宋体"/>
                <w:color w:val="000000"/>
                <w:szCs w:val="24"/>
              </w:rPr>
            </w:pPr>
            <w:r>
              <w:rPr>
                <w:rFonts w:ascii="宋体" w:hAnsi="宋体"/>
                <w:color w:val="000000"/>
                <w:szCs w:val="24"/>
              </w:rPr>
              <w:t>0.5976</w:t>
            </w:r>
          </w:p>
        </w:tc>
        <w:tc>
          <w:tcPr>
            <w:tcW w:w="1295" w:type="dxa"/>
            <w:shd w:val="clear" w:color="auto" w:fill="FFFFFF"/>
          </w:tcPr>
          <w:p w14:paraId="4B00B508" w14:textId="77777777" w:rsidR="00B84757" w:rsidRDefault="00000000">
            <w:pPr>
              <w:spacing w:after="0"/>
              <w:jc w:val="center"/>
              <w:rPr>
                <w:rFonts w:ascii="宋体" w:hAnsi="宋体"/>
                <w:color w:val="000000"/>
                <w:szCs w:val="24"/>
              </w:rPr>
            </w:pPr>
            <w:r>
              <w:rPr>
                <w:rFonts w:ascii="宋体" w:hAnsi="宋体"/>
                <w:color w:val="000000"/>
                <w:szCs w:val="24"/>
              </w:rPr>
              <w:t>0.1849</w:t>
            </w:r>
          </w:p>
        </w:tc>
        <w:tc>
          <w:tcPr>
            <w:tcW w:w="1295" w:type="dxa"/>
            <w:shd w:val="clear" w:color="auto" w:fill="FFFFFF"/>
          </w:tcPr>
          <w:p w14:paraId="752DCF8A" w14:textId="77777777" w:rsidR="00B84757" w:rsidRDefault="00000000">
            <w:pPr>
              <w:spacing w:after="0"/>
              <w:jc w:val="center"/>
              <w:rPr>
                <w:rFonts w:ascii="宋体" w:hAnsi="宋体"/>
                <w:color w:val="000000"/>
                <w:szCs w:val="24"/>
              </w:rPr>
            </w:pPr>
            <w:r>
              <w:rPr>
                <w:rFonts w:ascii="宋体" w:hAnsi="宋体"/>
                <w:color w:val="000000"/>
                <w:szCs w:val="24"/>
              </w:rPr>
              <w:t>0.7072</w:t>
            </w:r>
          </w:p>
        </w:tc>
        <w:tc>
          <w:tcPr>
            <w:tcW w:w="1295" w:type="dxa"/>
            <w:shd w:val="clear" w:color="auto" w:fill="FFFFFF"/>
          </w:tcPr>
          <w:p w14:paraId="797FE6F4" w14:textId="77777777" w:rsidR="00B84757" w:rsidRDefault="00000000">
            <w:pPr>
              <w:spacing w:after="0"/>
              <w:jc w:val="center"/>
              <w:rPr>
                <w:rFonts w:ascii="宋体" w:hAnsi="宋体"/>
                <w:color w:val="000000"/>
                <w:szCs w:val="24"/>
              </w:rPr>
            </w:pPr>
            <w:r>
              <w:rPr>
                <w:rFonts w:ascii="宋体" w:hAnsi="宋体"/>
                <w:color w:val="000000"/>
                <w:szCs w:val="24"/>
              </w:rPr>
              <w:t>2.8782</w:t>
            </w:r>
          </w:p>
        </w:tc>
      </w:tr>
      <w:tr w:rsidR="00B84757" w14:paraId="41BACBEB" w14:textId="77777777">
        <w:tc>
          <w:tcPr>
            <w:tcW w:w="1295" w:type="dxa"/>
            <w:shd w:val="clear" w:color="auto" w:fill="FFFFFF"/>
          </w:tcPr>
          <w:p w14:paraId="4069BD03" w14:textId="77777777" w:rsidR="00B84757" w:rsidRDefault="00000000">
            <w:pPr>
              <w:spacing w:after="0"/>
              <w:jc w:val="center"/>
              <w:rPr>
                <w:rFonts w:ascii="宋体" w:hAnsi="宋体"/>
                <w:color w:val="000000"/>
                <w:szCs w:val="24"/>
              </w:rPr>
            </w:pPr>
            <w:r>
              <w:rPr>
                <w:rFonts w:ascii="宋体" w:hAnsi="宋体"/>
                <w:color w:val="000000"/>
                <w:szCs w:val="24"/>
              </w:rPr>
              <w:t>ind</w:t>
            </w:r>
          </w:p>
        </w:tc>
        <w:tc>
          <w:tcPr>
            <w:tcW w:w="1295" w:type="dxa"/>
            <w:shd w:val="clear" w:color="auto" w:fill="FFFFFF"/>
          </w:tcPr>
          <w:p w14:paraId="33850524" w14:textId="77777777" w:rsidR="00B84757" w:rsidRDefault="00000000">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112302E2" w14:textId="77777777" w:rsidR="00B84757" w:rsidRDefault="00000000">
            <w:pPr>
              <w:spacing w:after="0"/>
              <w:jc w:val="center"/>
              <w:rPr>
                <w:rFonts w:ascii="宋体" w:hAnsi="宋体"/>
                <w:color w:val="000000"/>
                <w:szCs w:val="24"/>
              </w:rPr>
            </w:pPr>
            <w:r>
              <w:rPr>
                <w:rFonts w:ascii="宋体" w:hAnsi="宋体"/>
                <w:color w:val="000000"/>
                <w:szCs w:val="24"/>
              </w:rPr>
              <w:t>0.3955</w:t>
            </w:r>
          </w:p>
        </w:tc>
        <w:tc>
          <w:tcPr>
            <w:tcW w:w="1295" w:type="dxa"/>
            <w:shd w:val="clear" w:color="auto" w:fill="FFFFFF"/>
          </w:tcPr>
          <w:p w14:paraId="0732528D" w14:textId="77777777" w:rsidR="00B84757" w:rsidRDefault="00000000">
            <w:pPr>
              <w:spacing w:after="0"/>
              <w:jc w:val="center"/>
              <w:rPr>
                <w:rFonts w:ascii="宋体" w:hAnsi="宋体"/>
                <w:color w:val="000000"/>
                <w:szCs w:val="24"/>
              </w:rPr>
            </w:pPr>
            <w:r>
              <w:rPr>
                <w:rFonts w:ascii="宋体" w:hAnsi="宋体"/>
                <w:color w:val="000000"/>
                <w:szCs w:val="24"/>
              </w:rPr>
              <w:t>0.0763</w:t>
            </w:r>
          </w:p>
        </w:tc>
        <w:tc>
          <w:tcPr>
            <w:tcW w:w="1295" w:type="dxa"/>
            <w:shd w:val="clear" w:color="auto" w:fill="FFFFFF"/>
          </w:tcPr>
          <w:p w14:paraId="30959269" w14:textId="77777777" w:rsidR="00B84757" w:rsidRDefault="00000000">
            <w:pPr>
              <w:spacing w:after="0"/>
              <w:jc w:val="center"/>
              <w:rPr>
                <w:rFonts w:ascii="宋体" w:hAnsi="宋体"/>
                <w:color w:val="000000"/>
                <w:szCs w:val="24"/>
              </w:rPr>
            </w:pPr>
            <w:r>
              <w:rPr>
                <w:rFonts w:ascii="宋体" w:hAnsi="宋体"/>
                <w:color w:val="000000"/>
                <w:szCs w:val="24"/>
              </w:rPr>
              <w:t>0.1583</w:t>
            </w:r>
          </w:p>
        </w:tc>
        <w:tc>
          <w:tcPr>
            <w:tcW w:w="1295" w:type="dxa"/>
            <w:shd w:val="clear" w:color="auto" w:fill="FFFFFF"/>
          </w:tcPr>
          <w:p w14:paraId="751E9FE8" w14:textId="77777777" w:rsidR="00B84757" w:rsidRDefault="00000000">
            <w:pPr>
              <w:spacing w:after="0"/>
              <w:jc w:val="center"/>
              <w:rPr>
                <w:rFonts w:ascii="宋体" w:hAnsi="宋体"/>
                <w:color w:val="000000"/>
                <w:szCs w:val="24"/>
              </w:rPr>
            </w:pPr>
            <w:r>
              <w:rPr>
                <w:rFonts w:ascii="宋体" w:hAnsi="宋体"/>
                <w:color w:val="000000"/>
                <w:szCs w:val="24"/>
              </w:rPr>
              <w:t>0.4049</w:t>
            </w:r>
          </w:p>
        </w:tc>
        <w:tc>
          <w:tcPr>
            <w:tcW w:w="1295" w:type="dxa"/>
            <w:shd w:val="clear" w:color="auto" w:fill="FFFFFF"/>
          </w:tcPr>
          <w:p w14:paraId="32E97859" w14:textId="77777777" w:rsidR="00B84757" w:rsidRDefault="00000000">
            <w:pPr>
              <w:spacing w:after="0"/>
              <w:jc w:val="center"/>
              <w:rPr>
                <w:rFonts w:ascii="宋体" w:hAnsi="宋体"/>
                <w:color w:val="000000"/>
                <w:szCs w:val="24"/>
              </w:rPr>
            </w:pPr>
            <w:r>
              <w:rPr>
                <w:rFonts w:ascii="宋体" w:hAnsi="宋体"/>
                <w:color w:val="000000"/>
                <w:szCs w:val="24"/>
              </w:rPr>
              <w:t>0.5398</w:t>
            </w:r>
          </w:p>
        </w:tc>
      </w:tr>
      <w:tr w:rsidR="00B84757" w14:paraId="0AD8AA24" w14:textId="77777777">
        <w:tc>
          <w:tcPr>
            <w:tcW w:w="1295" w:type="dxa"/>
            <w:shd w:val="clear" w:color="auto" w:fill="FFFFFF"/>
          </w:tcPr>
          <w:p w14:paraId="362DCB31" w14:textId="77777777" w:rsidR="00B84757" w:rsidRDefault="00000000">
            <w:pPr>
              <w:spacing w:after="0"/>
              <w:jc w:val="center"/>
              <w:rPr>
                <w:rFonts w:ascii="宋体" w:hAnsi="宋体"/>
                <w:color w:val="000000"/>
                <w:szCs w:val="24"/>
              </w:rPr>
            </w:pPr>
            <w:r>
              <w:rPr>
                <w:rFonts w:ascii="宋体" w:hAnsi="宋体"/>
                <w:color w:val="000000"/>
                <w:szCs w:val="24"/>
              </w:rPr>
              <w:t>urb</w:t>
            </w:r>
          </w:p>
        </w:tc>
        <w:tc>
          <w:tcPr>
            <w:tcW w:w="1295" w:type="dxa"/>
            <w:shd w:val="clear" w:color="auto" w:fill="FFFFFF"/>
          </w:tcPr>
          <w:p w14:paraId="15D8E1F5" w14:textId="77777777" w:rsidR="00B84757" w:rsidRDefault="00000000">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3C612E99" w14:textId="77777777" w:rsidR="00B84757" w:rsidRDefault="00000000">
            <w:pPr>
              <w:spacing w:after="0"/>
              <w:jc w:val="center"/>
              <w:rPr>
                <w:rFonts w:ascii="宋体" w:hAnsi="宋体"/>
                <w:color w:val="000000"/>
                <w:szCs w:val="24"/>
              </w:rPr>
            </w:pPr>
            <w:r>
              <w:rPr>
                <w:rFonts w:ascii="宋体" w:hAnsi="宋体"/>
                <w:color w:val="000000"/>
                <w:szCs w:val="24"/>
              </w:rPr>
              <w:t>0.6266</w:t>
            </w:r>
          </w:p>
        </w:tc>
        <w:tc>
          <w:tcPr>
            <w:tcW w:w="1295" w:type="dxa"/>
            <w:shd w:val="clear" w:color="auto" w:fill="FFFFFF"/>
          </w:tcPr>
          <w:p w14:paraId="77457F11" w14:textId="77777777" w:rsidR="00B84757" w:rsidRDefault="00000000">
            <w:pPr>
              <w:spacing w:after="0"/>
              <w:jc w:val="center"/>
              <w:rPr>
                <w:rFonts w:ascii="宋体" w:hAnsi="宋体"/>
                <w:color w:val="000000"/>
                <w:szCs w:val="24"/>
              </w:rPr>
            </w:pPr>
            <w:r>
              <w:rPr>
                <w:rFonts w:ascii="宋体" w:hAnsi="宋体"/>
                <w:color w:val="000000"/>
                <w:szCs w:val="24"/>
              </w:rPr>
              <w:t>0.1071</w:t>
            </w:r>
          </w:p>
        </w:tc>
        <w:tc>
          <w:tcPr>
            <w:tcW w:w="1295" w:type="dxa"/>
            <w:shd w:val="clear" w:color="auto" w:fill="FFFFFF"/>
          </w:tcPr>
          <w:p w14:paraId="4028A710" w14:textId="77777777" w:rsidR="00B84757" w:rsidRDefault="00000000">
            <w:pPr>
              <w:spacing w:after="0"/>
              <w:jc w:val="center"/>
              <w:rPr>
                <w:rFonts w:ascii="宋体" w:hAnsi="宋体"/>
                <w:color w:val="000000"/>
                <w:szCs w:val="24"/>
              </w:rPr>
            </w:pPr>
            <w:r>
              <w:rPr>
                <w:rFonts w:ascii="宋体" w:hAnsi="宋体"/>
                <w:color w:val="000000"/>
                <w:szCs w:val="24"/>
              </w:rPr>
              <w:t>0.4293</w:t>
            </w:r>
          </w:p>
        </w:tc>
        <w:tc>
          <w:tcPr>
            <w:tcW w:w="1295" w:type="dxa"/>
            <w:shd w:val="clear" w:color="auto" w:fill="FFFFFF"/>
          </w:tcPr>
          <w:p w14:paraId="729DDC43" w14:textId="77777777" w:rsidR="00B84757" w:rsidRDefault="00000000">
            <w:pPr>
              <w:spacing w:after="0"/>
              <w:jc w:val="center"/>
              <w:rPr>
                <w:rFonts w:ascii="宋体" w:hAnsi="宋体"/>
                <w:color w:val="000000"/>
                <w:szCs w:val="24"/>
              </w:rPr>
            </w:pPr>
            <w:r>
              <w:rPr>
                <w:rFonts w:ascii="宋体" w:hAnsi="宋体"/>
                <w:color w:val="000000"/>
                <w:szCs w:val="24"/>
              </w:rPr>
              <w:t>0.6101</w:t>
            </w:r>
          </w:p>
        </w:tc>
        <w:tc>
          <w:tcPr>
            <w:tcW w:w="1295" w:type="dxa"/>
            <w:shd w:val="clear" w:color="auto" w:fill="FFFFFF"/>
          </w:tcPr>
          <w:p w14:paraId="2D17F32C" w14:textId="77777777" w:rsidR="00B84757" w:rsidRDefault="00000000">
            <w:pPr>
              <w:spacing w:after="0"/>
              <w:jc w:val="center"/>
              <w:rPr>
                <w:rFonts w:ascii="宋体" w:hAnsi="宋体"/>
                <w:color w:val="000000"/>
                <w:szCs w:val="24"/>
              </w:rPr>
            </w:pPr>
            <w:r>
              <w:rPr>
                <w:rFonts w:ascii="宋体" w:hAnsi="宋体"/>
                <w:color w:val="000000"/>
                <w:szCs w:val="24"/>
              </w:rPr>
              <w:t>0.8933</w:t>
            </w:r>
          </w:p>
        </w:tc>
      </w:tr>
      <w:tr w:rsidR="00B84757" w14:paraId="438418C0" w14:textId="77777777">
        <w:tc>
          <w:tcPr>
            <w:tcW w:w="1295" w:type="dxa"/>
            <w:shd w:val="clear" w:color="auto" w:fill="FFFFFF"/>
          </w:tcPr>
          <w:p w14:paraId="3503E1AC" w14:textId="77777777" w:rsidR="00B84757" w:rsidRDefault="00000000">
            <w:pPr>
              <w:spacing w:after="0"/>
              <w:jc w:val="center"/>
              <w:rPr>
                <w:rFonts w:ascii="宋体" w:hAnsi="宋体"/>
                <w:color w:val="000000"/>
                <w:szCs w:val="24"/>
              </w:rPr>
            </w:pPr>
            <w:r>
              <w:rPr>
                <w:rFonts w:ascii="宋体" w:hAnsi="宋体"/>
                <w:color w:val="000000"/>
                <w:szCs w:val="24"/>
              </w:rPr>
              <w:t>rd</w:t>
            </w:r>
          </w:p>
        </w:tc>
        <w:tc>
          <w:tcPr>
            <w:tcW w:w="1295" w:type="dxa"/>
            <w:shd w:val="clear" w:color="auto" w:fill="FFFFFF"/>
          </w:tcPr>
          <w:p w14:paraId="70F55EF8" w14:textId="77777777" w:rsidR="00B84757" w:rsidRDefault="00000000">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104947FB" w14:textId="77777777" w:rsidR="00B84757" w:rsidRDefault="00000000">
            <w:pPr>
              <w:spacing w:after="0"/>
              <w:jc w:val="center"/>
              <w:rPr>
                <w:rFonts w:ascii="宋体" w:hAnsi="宋体"/>
                <w:color w:val="000000"/>
                <w:szCs w:val="24"/>
              </w:rPr>
            </w:pPr>
            <w:r>
              <w:rPr>
                <w:rFonts w:ascii="宋体" w:hAnsi="宋体"/>
                <w:color w:val="000000"/>
                <w:szCs w:val="24"/>
              </w:rPr>
              <w:t>0.0185</w:t>
            </w:r>
          </w:p>
        </w:tc>
        <w:tc>
          <w:tcPr>
            <w:tcW w:w="1295" w:type="dxa"/>
            <w:shd w:val="clear" w:color="auto" w:fill="FFFFFF"/>
          </w:tcPr>
          <w:p w14:paraId="665B33A2" w14:textId="77777777" w:rsidR="00B84757" w:rsidRDefault="00000000">
            <w:pPr>
              <w:spacing w:after="0"/>
              <w:jc w:val="center"/>
              <w:rPr>
                <w:rFonts w:ascii="宋体" w:hAnsi="宋体"/>
                <w:color w:val="000000"/>
                <w:szCs w:val="24"/>
              </w:rPr>
            </w:pPr>
            <w:r>
              <w:rPr>
                <w:rFonts w:ascii="宋体" w:hAnsi="宋体"/>
                <w:color w:val="000000"/>
                <w:szCs w:val="24"/>
              </w:rPr>
              <w:t>0.0118</w:t>
            </w:r>
          </w:p>
        </w:tc>
        <w:tc>
          <w:tcPr>
            <w:tcW w:w="1295" w:type="dxa"/>
            <w:shd w:val="clear" w:color="auto" w:fill="FFFFFF"/>
          </w:tcPr>
          <w:p w14:paraId="53D8CAAE" w14:textId="77777777" w:rsidR="00B84757" w:rsidRDefault="00000000">
            <w:pPr>
              <w:spacing w:after="0"/>
              <w:jc w:val="center"/>
              <w:rPr>
                <w:rFonts w:ascii="宋体" w:hAnsi="宋体"/>
                <w:color w:val="000000"/>
                <w:szCs w:val="24"/>
              </w:rPr>
            </w:pPr>
            <w:r>
              <w:rPr>
                <w:rFonts w:ascii="宋体" w:hAnsi="宋体"/>
                <w:color w:val="000000"/>
                <w:szCs w:val="24"/>
              </w:rPr>
              <w:t>0.0045</w:t>
            </w:r>
          </w:p>
        </w:tc>
        <w:tc>
          <w:tcPr>
            <w:tcW w:w="1295" w:type="dxa"/>
            <w:shd w:val="clear" w:color="auto" w:fill="FFFFFF"/>
          </w:tcPr>
          <w:p w14:paraId="3EE46694" w14:textId="77777777" w:rsidR="00B84757" w:rsidRDefault="00000000">
            <w:pPr>
              <w:spacing w:after="0"/>
              <w:jc w:val="center"/>
              <w:rPr>
                <w:rFonts w:ascii="宋体" w:hAnsi="宋体"/>
                <w:color w:val="000000"/>
                <w:szCs w:val="24"/>
              </w:rPr>
            </w:pPr>
            <w:r>
              <w:rPr>
                <w:rFonts w:ascii="宋体" w:hAnsi="宋体"/>
                <w:color w:val="000000"/>
                <w:szCs w:val="24"/>
              </w:rPr>
              <w:t>0.0168</w:t>
            </w:r>
          </w:p>
        </w:tc>
        <w:tc>
          <w:tcPr>
            <w:tcW w:w="1295" w:type="dxa"/>
            <w:shd w:val="clear" w:color="auto" w:fill="FFFFFF"/>
          </w:tcPr>
          <w:p w14:paraId="5B400EC9" w14:textId="77777777" w:rsidR="00B84757" w:rsidRDefault="00000000">
            <w:pPr>
              <w:spacing w:after="0"/>
              <w:jc w:val="center"/>
              <w:rPr>
                <w:rFonts w:ascii="宋体" w:hAnsi="宋体"/>
                <w:color w:val="000000"/>
                <w:szCs w:val="24"/>
              </w:rPr>
            </w:pPr>
            <w:r>
              <w:rPr>
                <w:rFonts w:ascii="宋体" w:hAnsi="宋体"/>
                <w:color w:val="000000"/>
                <w:szCs w:val="24"/>
              </w:rPr>
              <w:t>0.0683</w:t>
            </w:r>
          </w:p>
        </w:tc>
      </w:tr>
      <w:tr w:rsidR="00B84757" w14:paraId="2F043A19" w14:textId="77777777">
        <w:tc>
          <w:tcPr>
            <w:tcW w:w="1295" w:type="dxa"/>
            <w:shd w:val="clear" w:color="auto" w:fill="FFFFFF"/>
          </w:tcPr>
          <w:p w14:paraId="3DB64E86" w14:textId="77777777" w:rsidR="00B84757" w:rsidRDefault="00000000">
            <w:pPr>
              <w:spacing w:after="0"/>
              <w:jc w:val="center"/>
              <w:rPr>
                <w:rFonts w:ascii="宋体" w:hAnsi="宋体"/>
                <w:color w:val="000000"/>
                <w:szCs w:val="24"/>
              </w:rPr>
            </w:pPr>
            <w:r>
              <w:rPr>
                <w:rFonts w:ascii="宋体" w:hAnsi="宋体"/>
                <w:color w:val="000000"/>
                <w:szCs w:val="24"/>
              </w:rPr>
              <w:t>open</w:t>
            </w:r>
          </w:p>
        </w:tc>
        <w:tc>
          <w:tcPr>
            <w:tcW w:w="1295" w:type="dxa"/>
            <w:shd w:val="clear" w:color="auto" w:fill="FFFFFF"/>
          </w:tcPr>
          <w:p w14:paraId="15EF3D2E" w14:textId="77777777" w:rsidR="00B84757" w:rsidRDefault="00000000">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160AC0AA" w14:textId="77777777" w:rsidR="00B84757" w:rsidRDefault="00000000">
            <w:pPr>
              <w:spacing w:after="0"/>
              <w:jc w:val="center"/>
              <w:rPr>
                <w:rFonts w:ascii="宋体" w:hAnsi="宋体"/>
                <w:color w:val="000000"/>
                <w:szCs w:val="24"/>
              </w:rPr>
            </w:pPr>
            <w:r>
              <w:rPr>
                <w:rFonts w:ascii="宋体" w:hAnsi="宋体"/>
                <w:color w:val="000000"/>
                <w:szCs w:val="24"/>
              </w:rPr>
              <w:t>0.2426</w:t>
            </w:r>
          </w:p>
        </w:tc>
        <w:tc>
          <w:tcPr>
            <w:tcW w:w="1295" w:type="dxa"/>
            <w:shd w:val="clear" w:color="auto" w:fill="FFFFFF"/>
          </w:tcPr>
          <w:p w14:paraId="358E0104" w14:textId="77777777" w:rsidR="00B84757" w:rsidRDefault="00000000">
            <w:pPr>
              <w:spacing w:after="0"/>
              <w:jc w:val="center"/>
              <w:rPr>
                <w:rFonts w:ascii="宋体" w:hAnsi="宋体"/>
                <w:color w:val="000000"/>
                <w:szCs w:val="24"/>
              </w:rPr>
            </w:pPr>
            <w:r>
              <w:rPr>
                <w:rFonts w:ascii="宋体" w:hAnsi="宋体"/>
                <w:color w:val="000000"/>
                <w:szCs w:val="24"/>
              </w:rPr>
              <w:t>0.2399</w:t>
            </w:r>
          </w:p>
        </w:tc>
        <w:tc>
          <w:tcPr>
            <w:tcW w:w="1295" w:type="dxa"/>
            <w:shd w:val="clear" w:color="auto" w:fill="FFFFFF"/>
          </w:tcPr>
          <w:p w14:paraId="23C9C654" w14:textId="77777777" w:rsidR="00B84757" w:rsidRDefault="00000000">
            <w:pPr>
              <w:spacing w:after="0"/>
              <w:jc w:val="center"/>
              <w:rPr>
                <w:rFonts w:ascii="宋体" w:hAnsi="宋体"/>
                <w:color w:val="000000"/>
                <w:szCs w:val="24"/>
              </w:rPr>
            </w:pPr>
            <w:r>
              <w:rPr>
                <w:rFonts w:ascii="宋体" w:hAnsi="宋体"/>
                <w:color w:val="000000"/>
                <w:szCs w:val="24"/>
              </w:rPr>
              <w:t>0.0077</w:t>
            </w:r>
          </w:p>
        </w:tc>
        <w:tc>
          <w:tcPr>
            <w:tcW w:w="1295" w:type="dxa"/>
            <w:shd w:val="clear" w:color="auto" w:fill="FFFFFF"/>
          </w:tcPr>
          <w:p w14:paraId="0ECA501F" w14:textId="77777777" w:rsidR="00B84757" w:rsidRDefault="00000000">
            <w:pPr>
              <w:spacing w:after="0"/>
              <w:jc w:val="center"/>
              <w:rPr>
                <w:rFonts w:ascii="宋体" w:hAnsi="宋体"/>
                <w:color w:val="000000"/>
                <w:szCs w:val="24"/>
              </w:rPr>
            </w:pPr>
            <w:r>
              <w:rPr>
                <w:rFonts w:ascii="宋体" w:hAnsi="宋体"/>
                <w:color w:val="000000"/>
                <w:szCs w:val="24"/>
              </w:rPr>
              <w:t>0.1383</w:t>
            </w:r>
          </w:p>
        </w:tc>
        <w:tc>
          <w:tcPr>
            <w:tcW w:w="1295" w:type="dxa"/>
            <w:shd w:val="clear" w:color="auto" w:fill="FFFFFF"/>
          </w:tcPr>
          <w:p w14:paraId="0270734E" w14:textId="77777777" w:rsidR="00B84757" w:rsidRDefault="00000000">
            <w:pPr>
              <w:spacing w:after="0"/>
              <w:jc w:val="center"/>
              <w:rPr>
                <w:rFonts w:ascii="宋体" w:hAnsi="宋体"/>
                <w:color w:val="000000"/>
                <w:szCs w:val="24"/>
              </w:rPr>
            </w:pPr>
            <w:r>
              <w:rPr>
                <w:rFonts w:ascii="宋体" w:hAnsi="宋体"/>
                <w:color w:val="000000"/>
                <w:szCs w:val="24"/>
              </w:rPr>
              <w:t>1.1137</w:t>
            </w:r>
          </w:p>
        </w:tc>
      </w:tr>
      <w:tr w:rsidR="00B84757" w14:paraId="0849404F" w14:textId="77777777">
        <w:tc>
          <w:tcPr>
            <w:tcW w:w="1295" w:type="dxa"/>
            <w:tcBorders>
              <w:bottom w:val="single" w:sz="12" w:space="0" w:color="000000"/>
            </w:tcBorders>
            <w:shd w:val="clear" w:color="auto" w:fill="FFFFFF"/>
          </w:tcPr>
          <w:p w14:paraId="5035A4DB" w14:textId="77777777" w:rsidR="00B84757" w:rsidRDefault="00000000">
            <w:pPr>
              <w:spacing w:after="0"/>
              <w:jc w:val="center"/>
              <w:rPr>
                <w:rFonts w:ascii="宋体" w:hAnsi="宋体"/>
                <w:color w:val="000000"/>
                <w:szCs w:val="24"/>
              </w:rPr>
            </w:pPr>
            <w:r>
              <w:rPr>
                <w:rFonts w:ascii="宋体" w:hAnsi="宋体"/>
                <w:color w:val="000000"/>
                <w:szCs w:val="24"/>
              </w:rPr>
              <w:lastRenderedPageBreak/>
              <w:t>es</w:t>
            </w:r>
          </w:p>
        </w:tc>
        <w:tc>
          <w:tcPr>
            <w:tcW w:w="1295" w:type="dxa"/>
            <w:tcBorders>
              <w:bottom w:val="single" w:sz="12" w:space="0" w:color="000000"/>
            </w:tcBorders>
            <w:shd w:val="clear" w:color="auto" w:fill="FFFFFF"/>
          </w:tcPr>
          <w:p w14:paraId="350232E3" w14:textId="77777777" w:rsidR="00B84757" w:rsidRDefault="00000000">
            <w:pPr>
              <w:spacing w:after="0"/>
              <w:jc w:val="center"/>
              <w:rPr>
                <w:rFonts w:ascii="宋体" w:hAnsi="宋体"/>
                <w:color w:val="000000"/>
                <w:szCs w:val="24"/>
              </w:rPr>
            </w:pPr>
            <w:r>
              <w:rPr>
                <w:rFonts w:ascii="宋体" w:hAnsi="宋体"/>
                <w:color w:val="000000"/>
                <w:szCs w:val="24"/>
              </w:rPr>
              <w:t>240</w:t>
            </w:r>
          </w:p>
        </w:tc>
        <w:tc>
          <w:tcPr>
            <w:tcW w:w="1295" w:type="dxa"/>
            <w:tcBorders>
              <w:bottom w:val="single" w:sz="12" w:space="0" w:color="000000"/>
            </w:tcBorders>
            <w:shd w:val="clear" w:color="auto" w:fill="FFFFFF"/>
          </w:tcPr>
          <w:p w14:paraId="3066F353" w14:textId="77777777" w:rsidR="00B84757" w:rsidRDefault="00000000">
            <w:pPr>
              <w:spacing w:after="0"/>
              <w:jc w:val="center"/>
              <w:rPr>
                <w:rFonts w:ascii="宋体" w:hAnsi="宋体"/>
                <w:color w:val="000000"/>
                <w:szCs w:val="24"/>
              </w:rPr>
            </w:pPr>
            <w:r>
              <w:rPr>
                <w:rFonts w:ascii="宋体" w:hAnsi="宋体"/>
                <w:color w:val="000000"/>
                <w:szCs w:val="24"/>
              </w:rPr>
              <w:t>0.3418</w:t>
            </w:r>
          </w:p>
        </w:tc>
        <w:tc>
          <w:tcPr>
            <w:tcW w:w="1295" w:type="dxa"/>
            <w:tcBorders>
              <w:bottom w:val="single" w:sz="12" w:space="0" w:color="000000"/>
            </w:tcBorders>
            <w:shd w:val="clear" w:color="auto" w:fill="FFFFFF"/>
          </w:tcPr>
          <w:p w14:paraId="78918E37" w14:textId="77777777" w:rsidR="00B84757" w:rsidRDefault="00000000">
            <w:pPr>
              <w:spacing w:after="0"/>
              <w:jc w:val="center"/>
              <w:rPr>
                <w:rFonts w:ascii="宋体" w:hAnsi="宋体"/>
                <w:color w:val="000000"/>
                <w:szCs w:val="24"/>
              </w:rPr>
            </w:pPr>
            <w:r>
              <w:rPr>
                <w:rFonts w:ascii="宋体" w:hAnsi="宋体"/>
                <w:color w:val="000000"/>
                <w:szCs w:val="24"/>
              </w:rPr>
              <w:t>0.1414</w:t>
            </w:r>
          </w:p>
        </w:tc>
        <w:tc>
          <w:tcPr>
            <w:tcW w:w="1295" w:type="dxa"/>
            <w:tcBorders>
              <w:bottom w:val="single" w:sz="12" w:space="0" w:color="000000"/>
            </w:tcBorders>
            <w:shd w:val="clear" w:color="auto" w:fill="FFFFFF"/>
          </w:tcPr>
          <w:p w14:paraId="0309D6BC" w14:textId="77777777" w:rsidR="00B84757" w:rsidRDefault="00000000">
            <w:pPr>
              <w:spacing w:after="0"/>
              <w:jc w:val="center"/>
              <w:rPr>
                <w:rFonts w:ascii="宋体" w:hAnsi="宋体"/>
                <w:color w:val="000000"/>
                <w:szCs w:val="24"/>
              </w:rPr>
            </w:pPr>
            <w:r>
              <w:rPr>
                <w:rFonts w:ascii="宋体" w:hAnsi="宋体"/>
                <w:color w:val="000000"/>
                <w:szCs w:val="24"/>
              </w:rPr>
              <w:t>0.0056</w:t>
            </w:r>
          </w:p>
        </w:tc>
        <w:tc>
          <w:tcPr>
            <w:tcW w:w="1295" w:type="dxa"/>
            <w:tcBorders>
              <w:bottom w:val="single" w:sz="12" w:space="0" w:color="000000"/>
            </w:tcBorders>
            <w:shd w:val="clear" w:color="auto" w:fill="FFFFFF"/>
          </w:tcPr>
          <w:p w14:paraId="2B7F9C6D" w14:textId="77777777" w:rsidR="00B84757" w:rsidRDefault="00000000">
            <w:pPr>
              <w:spacing w:after="0"/>
              <w:jc w:val="center"/>
              <w:rPr>
                <w:rFonts w:ascii="宋体" w:hAnsi="宋体"/>
                <w:color w:val="000000"/>
                <w:szCs w:val="24"/>
              </w:rPr>
            </w:pPr>
            <w:r>
              <w:rPr>
                <w:rFonts w:ascii="宋体" w:hAnsi="宋体"/>
                <w:color w:val="000000"/>
                <w:szCs w:val="24"/>
              </w:rPr>
              <w:t>0.3469</w:t>
            </w:r>
          </w:p>
        </w:tc>
        <w:tc>
          <w:tcPr>
            <w:tcW w:w="1295" w:type="dxa"/>
            <w:tcBorders>
              <w:bottom w:val="single" w:sz="12" w:space="0" w:color="000000"/>
            </w:tcBorders>
            <w:shd w:val="clear" w:color="auto" w:fill="FFFFFF"/>
          </w:tcPr>
          <w:p w14:paraId="59A0C8EE" w14:textId="77777777" w:rsidR="00B84757" w:rsidRDefault="00000000">
            <w:pPr>
              <w:spacing w:after="0"/>
              <w:jc w:val="center"/>
              <w:rPr>
                <w:rFonts w:ascii="宋体" w:hAnsi="宋体"/>
                <w:color w:val="000000"/>
                <w:szCs w:val="24"/>
              </w:rPr>
            </w:pPr>
            <w:r>
              <w:rPr>
                <w:rFonts w:ascii="宋体" w:hAnsi="宋体"/>
                <w:color w:val="000000"/>
                <w:szCs w:val="24"/>
              </w:rPr>
              <w:t>0.6371</w:t>
            </w:r>
          </w:p>
        </w:tc>
      </w:tr>
    </w:tbl>
    <w:p w14:paraId="7D34D51C" w14:textId="77777777" w:rsidR="00B84757" w:rsidRDefault="00000000">
      <w:pPr>
        <w:pStyle w:val="a7"/>
      </w:pPr>
      <w:r>
        <w:t>表</w:t>
      </w:r>
      <w:r>
        <w:t xml:space="preserve"> </w:t>
      </w:r>
      <w:r>
        <w:fldChar w:fldCharType="begin"/>
      </w:r>
      <w:r>
        <w:instrText xml:space="preserve"> SEQ </w:instrText>
      </w:r>
      <w:r>
        <w:instrText>表</w:instrText>
      </w:r>
      <w:r>
        <w:instrText xml:space="preserve"> \* ARABIC </w:instrText>
      </w:r>
      <w:r>
        <w:fldChar w:fldCharType="separate"/>
      </w:r>
      <w:r>
        <w:t>5</w:t>
      </w:r>
      <w:r>
        <w:fldChar w:fldCharType="end"/>
      </w:r>
      <w:bookmarkStart w:id="32" w:name="_Toc30929"/>
      <w:r>
        <w:rPr>
          <w:rFonts w:hint="eastAsia"/>
          <w:lang w:eastAsia="zh-CN"/>
        </w:rPr>
        <w:t xml:space="preserve"> </w:t>
      </w:r>
      <w:r>
        <w:t>变量相关系数矩阵</w:t>
      </w:r>
      <w:bookmarkEnd w:id="32"/>
    </w:p>
    <w:tbl>
      <w:tblPr>
        <w:tblStyle w:val="af6"/>
        <w:tblW w:w="4999" w:type="pct"/>
        <w:tblBorders>
          <w:left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080"/>
        <w:gridCol w:w="1080"/>
        <w:gridCol w:w="1080"/>
        <w:gridCol w:w="1080"/>
        <w:gridCol w:w="1081"/>
        <w:gridCol w:w="1081"/>
        <w:gridCol w:w="1081"/>
        <w:gridCol w:w="1081"/>
      </w:tblGrid>
      <w:tr w:rsidR="00B84757" w14:paraId="715A726A" w14:textId="77777777">
        <w:tc>
          <w:tcPr>
            <w:tcW w:w="625" w:type="pct"/>
            <w:tcBorders>
              <w:top w:val="single" w:sz="12" w:space="0" w:color="000000"/>
              <w:bottom w:val="single" w:sz="4" w:space="0" w:color="000000"/>
              <w:tl2br w:val="nil"/>
            </w:tcBorders>
            <w:shd w:val="clear" w:color="auto" w:fill="FFFFFF"/>
          </w:tcPr>
          <w:p w14:paraId="6EE09F23" w14:textId="77777777" w:rsidR="00B84757" w:rsidRDefault="00000000">
            <w:pPr>
              <w:spacing w:after="0"/>
              <w:jc w:val="center"/>
              <w:rPr>
                <w:rFonts w:ascii="宋体" w:hAnsi="宋体"/>
                <w:color w:val="000000"/>
                <w:szCs w:val="24"/>
              </w:rPr>
            </w:pPr>
            <w:r>
              <w:rPr>
                <w:rFonts w:ascii="宋体" w:hAnsi="宋体"/>
                <w:color w:val="000000"/>
                <w:szCs w:val="24"/>
              </w:rPr>
              <w:t>变量</w:t>
            </w:r>
          </w:p>
        </w:tc>
        <w:tc>
          <w:tcPr>
            <w:tcW w:w="625" w:type="pct"/>
            <w:tcBorders>
              <w:top w:val="single" w:sz="12" w:space="0" w:color="000000"/>
              <w:bottom w:val="single" w:sz="4" w:space="0" w:color="000000"/>
            </w:tcBorders>
            <w:shd w:val="clear" w:color="auto" w:fill="FFFFFF"/>
          </w:tcPr>
          <w:p w14:paraId="3A45E73E" w14:textId="77777777" w:rsidR="00B84757" w:rsidRDefault="00000000">
            <w:pPr>
              <w:spacing w:after="0"/>
              <w:jc w:val="center"/>
              <w:rPr>
                <w:rFonts w:ascii="宋体" w:hAnsi="宋体"/>
                <w:color w:val="000000"/>
                <w:szCs w:val="24"/>
              </w:rPr>
            </w:pPr>
            <w:r>
              <w:rPr>
                <w:rFonts w:ascii="宋体" w:hAnsi="宋体"/>
                <w:color w:val="000000"/>
                <w:szCs w:val="24"/>
              </w:rPr>
              <w:t>eff</w:t>
            </w:r>
          </w:p>
        </w:tc>
        <w:tc>
          <w:tcPr>
            <w:tcW w:w="625" w:type="pct"/>
            <w:tcBorders>
              <w:top w:val="single" w:sz="12" w:space="0" w:color="000000"/>
              <w:bottom w:val="single" w:sz="4" w:space="0" w:color="000000"/>
            </w:tcBorders>
            <w:shd w:val="clear" w:color="auto" w:fill="FFFFFF"/>
          </w:tcPr>
          <w:p w14:paraId="26C51429" w14:textId="77777777" w:rsidR="00B84757" w:rsidRDefault="00000000">
            <w:pPr>
              <w:spacing w:after="0"/>
              <w:jc w:val="center"/>
              <w:rPr>
                <w:rFonts w:ascii="宋体" w:hAnsi="宋体"/>
                <w:color w:val="000000"/>
                <w:szCs w:val="24"/>
              </w:rPr>
            </w:pPr>
            <w:r>
              <w:rPr>
                <w:rFonts w:ascii="宋体" w:hAnsi="宋体"/>
                <w:color w:val="000000"/>
                <w:szCs w:val="24"/>
              </w:rPr>
              <w:t>lntl</w:t>
            </w:r>
          </w:p>
        </w:tc>
        <w:tc>
          <w:tcPr>
            <w:tcW w:w="625" w:type="pct"/>
            <w:tcBorders>
              <w:top w:val="single" w:sz="12" w:space="0" w:color="000000"/>
              <w:bottom w:val="single" w:sz="4" w:space="0" w:color="000000"/>
            </w:tcBorders>
            <w:shd w:val="clear" w:color="auto" w:fill="FFFFFF"/>
          </w:tcPr>
          <w:p w14:paraId="71A32C2D" w14:textId="77777777" w:rsidR="00B84757" w:rsidRDefault="00000000">
            <w:pPr>
              <w:spacing w:after="0"/>
              <w:jc w:val="center"/>
              <w:rPr>
                <w:rFonts w:ascii="宋体" w:hAnsi="宋体"/>
                <w:color w:val="000000"/>
                <w:szCs w:val="24"/>
              </w:rPr>
            </w:pPr>
            <w:r>
              <w:rPr>
                <w:rFonts w:ascii="宋体" w:hAnsi="宋体"/>
                <w:color w:val="000000"/>
                <w:szCs w:val="24"/>
              </w:rPr>
              <w:t>ind</w:t>
            </w:r>
          </w:p>
        </w:tc>
        <w:tc>
          <w:tcPr>
            <w:tcW w:w="625" w:type="pct"/>
            <w:tcBorders>
              <w:top w:val="single" w:sz="12" w:space="0" w:color="000000"/>
              <w:bottom w:val="single" w:sz="4" w:space="0" w:color="000000"/>
            </w:tcBorders>
            <w:shd w:val="clear" w:color="auto" w:fill="FFFFFF"/>
          </w:tcPr>
          <w:p w14:paraId="1BE2BEE6" w14:textId="77777777" w:rsidR="00B84757" w:rsidRDefault="00000000">
            <w:pPr>
              <w:spacing w:after="0"/>
              <w:jc w:val="center"/>
              <w:rPr>
                <w:rFonts w:ascii="宋体" w:hAnsi="宋体"/>
                <w:color w:val="000000"/>
                <w:szCs w:val="24"/>
              </w:rPr>
            </w:pPr>
            <w:r>
              <w:rPr>
                <w:rFonts w:ascii="宋体" w:hAnsi="宋体"/>
                <w:color w:val="000000"/>
                <w:szCs w:val="24"/>
              </w:rPr>
              <w:t>urb</w:t>
            </w:r>
          </w:p>
        </w:tc>
        <w:tc>
          <w:tcPr>
            <w:tcW w:w="625" w:type="pct"/>
            <w:tcBorders>
              <w:top w:val="single" w:sz="12" w:space="0" w:color="000000"/>
              <w:bottom w:val="single" w:sz="4" w:space="0" w:color="000000"/>
            </w:tcBorders>
            <w:shd w:val="clear" w:color="auto" w:fill="FFFFFF"/>
          </w:tcPr>
          <w:p w14:paraId="64C23D77" w14:textId="77777777" w:rsidR="00B84757" w:rsidRDefault="00000000">
            <w:pPr>
              <w:spacing w:after="0"/>
              <w:jc w:val="center"/>
              <w:rPr>
                <w:rFonts w:ascii="宋体" w:hAnsi="宋体"/>
                <w:color w:val="000000"/>
                <w:szCs w:val="24"/>
              </w:rPr>
            </w:pPr>
            <w:r>
              <w:rPr>
                <w:rFonts w:ascii="宋体" w:hAnsi="宋体"/>
                <w:color w:val="000000"/>
                <w:szCs w:val="24"/>
              </w:rPr>
              <w:t>rd</w:t>
            </w:r>
          </w:p>
        </w:tc>
        <w:tc>
          <w:tcPr>
            <w:tcW w:w="625" w:type="pct"/>
            <w:tcBorders>
              <w:top w:val="single" w:sz="12" w:space="0" w:color="000000"/>
              <w:bottom w:val="single" w:sz="4" w:space="0" w:color="000000"/>
            </w:tcBorders>
            <w:shd w:val="clear" w:color="auto" w:fill="FFFFFF"/>
          </w:tcPr>
          <w:p w14:paraId="0ABCFC1D" w14:textId="77777777" w:rsidR="00B84757" w:rsidRDefault="00000000">
            <w:pPr>
              <w:spacing w:after="0"/>
              <w:jc w:val="center"/>
              <w:rPr>
                <w:rFonts w:ascii="宋体" w:hAnsi="宋体"/>
                <w:color w:val="000000"/>
                <w:szCs w:val="24"/>
              </w:rPr>
            </w:pPr>
            <w:r>
              <w:rPr>
                <w:rFonts w:ascii="宋体" w:hAnsi="宋体"/>
                <w:color w:val="000000"/>
                <w:szCs w:val="24"/>
              </w:rPr>
              <w:t>open</w:t>
            </w:r>
          </w:p>
        </w:tc>
        <w:tc>
          <w:tcPr>
            <w:tcW w:w="625" w:type="pct"/>
            <w:tcBorders>
              <w:top w:val="single" w:sz="12" w:space="0" w:color="000000"/>
              <w:bottom w:val="single" w:sz="4" w:space="0" w:color="000000"/>
            </w:tcBorders>
            <w:shd w:val="clear" w:color="auto" w:fill="FFFFFF"/>
          </w:tcPr>
          <w:p w14:paraId="0F209E02" w14:textId="77777777" w:rsidR="00B84757" w:rsidRDefault="00000000">
            <w:pPr>
              <w:spacing w:after="0"/>
              <w:jc w:val="center"/>
              <w:rPr>
                <w:rFonts w:ascii="宋体" w:hAnsi="宋体"/>
                <w:color w:val="000000"/>
                <w:szCs w:val="24"/>
              </w:rPr>
            </w:pPr>
            <w:r>
              <w:rPr>
                <w:rFonts w:ascii="宋体" w:hAnsi="宋体"/>
                <w:color w:val="000000"/>
                <w:szCs w:val="24"/>
              </w:rPr>
              <w:t>es</w:t>
            </w:r>
          </w:p>
        </w:tc>
      </w:tr>
      <w:tr w:rsidR="00B84757" w14:paraId="6B638C17" w14:textId="77777777">
        <w:tc>
          <w:tcPr>
            <w:tcW w:w="625" w:type="pct"/>
            <w:tcBorders>
              <w:top w:val="single" w:sz="4" w:space="0" w:color="000000"/>
            </w:tcBorders>
            <w:shd w:val="clear" w:color="auto" w:fill="FFFFFF"/>
          </w:tcPr>
          <w:p w14:paraId="35E4357C" w14:textId="77777777" w:rsidR="00B84757" w:rsidRDefault="00000000">
            <w:pPr>
              <w:spacing w:after="0"/>
              <w:rPr>
                <w:rFonts w:ascii="宋体" w:hAnsi="宋体"/>
                <w:color w:val="000000"/>
                <w:szCs w:val="24"/>
              </w:rPr>
            </w:pPr>
            <w:r>
              <w:rPr>
                <w:rFonts w:ascii="宋体" w:hAnsi="宋体"/>
                <w:color w:val="000000"/>
                <w:szCs w:val="24"/>
              </w:rPr>
              <w:t>eff</w:t>
            </w:r>
          </w:p>
        </w:tc>
        <w:tc>
          <w:tcPr>
            <w:tcW w:w="625" w:type="pct"/>
            <w:tcBorders>
              <w:top w:val="single" w:sz="4" w:space="0" w:color="000000"/>
            </w:tcBorders>
            <w:shd w:val="clear" w:color="auto" w:fill="FFFFFF"/>
          </w:tcPr>
          <w:p w14:paraId="0EE49BF5" w14:textId="77777777" w:rsidR="00B84757" w:rsidRDefault="00000000">
            <w:pPr>
              <w:spacing w:after="0"/>
              <w:jc w:val="center"/>
              <w:rPr>
                <w:rFonts w:ascii="宋体" w:hAnsi="宋体"/>
                <w:color w:val="000000"/>
                <w:szCs w:val="24"/>
              </w:rPr>
            </w:pPr>
            <w:r>
              <w:rPr>
                <w:rFonts w:ascii="宋体" w:hAnsi="宋体"/>
                <w:color w:val="000000"/>
                <w:szCs w:val="24"/>
              </w:rPr>
              <w:t>1.0000</w:t>
            </w:r>
          </w:p>
        </w:tc>
        <w:tc>
          <w:tcPr>
            <w:tcW w:w="625" w:type="pct"/>
            <w:tcBorders>
              <w:top w:val="single" w:sz="4" w:space="0" w:color="000000"/>
            </w:tcBorders>
            <w:shd w:val="clear" w:color="auto" w:fill="FFFFFF"/>
          </w:tcPr>
          <w:p w14:paraId="733FCB89" w14:textId="77777777" w:rsidR="00B84757" w:rsidRDefault="00000000">
            <w:pPr>
              <w:spacing w:after="0"/>
              <w:jc w:val="center"/>
              <w:rPr>
                <w:rFonts w:ascii="宋体" w:hAnsi="宋体"/>
                <w:color w:val="000000"/>
                <w:szCs w:val="24"/>
              </w:rPr>
            </w:pPr>
            <w:r>
              <w:rPr>
                <w:rFonts w:ascii="宋体" w:hAnsi="宋体"/>
                <w:color w:val="000000"/>
                <w:szCs w:val="24"/>
              </w:rPr>
              <w:t>0.5214</w:t>
            </w:r>
          </w:p>
        </w:tc>
        <w:tc>
          <w:tcPr>
            <w:tcW w:w="625" w:type="pct"/>
            <w:tcBorders>
              <w:top w:val="single" w:sz="4" w:space="0" w:color="000000"/>
            </w:tcBorders>
            <w:shd w:val="clear" w:color="auto" w:fill="FFFFFF"/>
          </w:tcPr>
          <w:p w14:paraId="7170362F" w14:textId="77777777" w:rsidR="00B84757" w:rsidRDefault="00000000">
            <w:pPr>
              <w:spacing w:after="0"/>
              <w:jc w:val="center"/>
              <w:rPr>
                <w:rFonts w:ascii="宋体" w:hAnsi="宋体"/>
                <w:color w:val="000000"/>
                <w:szCs w:val="24"/>
              </w:rPr>
            </w:pPr>
            <w:r>
              <w:rPr>
                <w:rFonts w:ascii="宋体" w:hAnsi="宋体"/>
                <w:color w:val="000000"/>
                <w:szCs w:val="24"/>
              </w:rPr>
              <w:t>-0.3033</w:t>
            </w:r>
          </w:p>
        </w:tc>
        <w:tc>
          <w:tcPr>
            <w:tcW w:w="625" w:type="pct"/>
            <w:tcBorders>
              <w:top w:val="single" w:sz="4" w:space="0" w:color="000000"/>
            </w:tcBorders>
            <w:shd w:val="clear" w:color="auto" w:fill="FFFFFF"/>
          </w:tcPr>
          <w:p w14:paraId="78DBAD2B" w14:textId="77777777" w:rsidR="00B84757" w:rsidRDefault="00000000">
            <w:pPr>
              <w:spacing w:after="0"/>
              <w:jc w:val="center"/>
              <w:rPr>
                <w:rFonts w:ascii="宋体" w:hAnsi="宋体"/>
                <w:color w:val="000000"/>
                <w:szCs w:val="24"/>
              </w:rPr>
            </w:pPr>
            <w:r>
              <w:rPr>
                <w:rFonts w:ascii="宋体" w:hAnsi="宋体"/>
                <w:color w:val="000000"/>
                <w:szCs w:val="24"/>
              </w:rPr>
              <w:t>0.4978</w:t>
            </w:r>
          </w:p>
        </w:tc>
        <w:tc>
          <w:tcPr>
            <w:tcW w:w="625" w:type="pct"/>
            <w:tcBorders>
              <w:top w:val="single" w:sz="4" w:space="0" w:color="000000"/>
            </w:tcBorders>
            <w:shd w:val="clear" w:color="auto" w:fill="FFFFFF"/>
          </w:tcPr>
          <w:p w14:paraId="1E8F53D1" w14:textId="77777777" w:rsidR="00B84757" w:rsidRDefault="00000000">
            <w:pPr>
              <w:spacing w:after="0"/>
              <w:jc w:val="center"/>
              <w:rPr>
                <w:rFonts w:ascii="宋体" w:hAnsi="宋体"/>
                <w:color w:val="000000"/>
                <w:szCs w:val="24"/>
              </w:rPr>
            </w:pPr>
            <w:r>
              <w:rPr>
                <w:rFonts w:ascii="宋体" w:hAnsi="宋体"/>
                <w:color w:val="000000"/>
                <w:szCs w:val="24"/>
              </w:rPr>
              <w:t>0.4681</w:t>
            </w:r>
          </w:p>
        </w:tc>
        <w:tc>
          <w:tcPr>
            <w:tcW w:w="625" w:type="pct"/>
            <w:tcBorders>
              <w:top w:val="single" w:sz="4" w:space="0" w:color="000000"/>
            </w:tcBorders>
            <w:shd w:val="clear" w:color="auto" w:fill="FFFFFF"/>
          </w:tcPr>
          <w:p w14:paraId="7B8F42E0" w14:textId="77777777" w:rsidR="00B84757" w:rsidRDefault="00000000">
            <w:pPr>
              <w:spacing w:after="0"/>
              <w:jc w:val="center"/>
              <w:rPr>
                <w:rFonts w:ascii="宋体" w:hAnsi="宋体"/>
                <w:color w:val="000000"/>
                <w:szCs w:val="24"/>
              </w:rPr>
            </w:pPr>
            <w:r>
              <w:rPr>
                <w:rFonts w:ascii="宋体" w:hAnsi="宋体"/>
                <w:color w:val="000000"/>
                <w:szCs w:val="24"/>
              </w:rPr>
              <w:t>0.5284</w:t>
            </w:r>
          </w:p>
        </w:tc>
        <w:tc>
          <w:tcPr>
            <w:tcW w:w="625" w:type="pct"/>
            <w:tcBorders>
              <w:top w:val="single" w:sz="4" w:space="0" w:color="000000"/>
            </w:tcBorders>
            <w:shd w:val="clear" w:color="auto" w:fill="FFFFFF"/>
          </w:tcPr>
          <w:p w14:paraId="4205964B" w14:textId="77777777" w:rsidR="00B84757" w:rsidRDefault="00000000">
            <w:pPr>
              <w:spacing w:after="0"/>
              <w:jc w:val="center"/>
              <w:rPr>
                <w:rFonts w:ascii="宋体" w:hAnsi="宋体"/>
                <w:color w:val="000000"/>
                <w:szCs w:val="24"/>
              </w:rPr>
            </w:pPr>
            <w:r>
              <w:rPr>
                <w:rFonts w:ascii="宋体" w:hAnsi="宋体"/>
                <w:color w:val="000000"/>
                <w:szCs w:val="24"/>
              </w:rPr>
              <w:t>-0.6814</w:t>
            </w:r>
          </w:p>
        </w:tc>
      </w:tr>
      <w:tr w:rsidR="00B84757" w14:paraId="12131B1C" w14:textId="77777777">
        <w:tc>
          <w:tcPr>
            <w:tcW w:w="625" w:type="pct"/>
            <w:shd w:val="clear" w:color="auto" w:fill="FFFFFF"/>
          </w:tcPr>
          <w:p w14:paraId="65024E2E" w14:textId="77777777" w:rsidR="00B84757" w:rsidRDefault="00000000">
            <w:pPr>
              <w:spacing w:after="0"/>
              <w:rPr>
                <w:rFonts w:ascii="宋体" w:hAnsi="宋体"/>
                <w:color w:val="000000"/>
                <w:szCs w:val="24"/>
              </w:rPr>
            </w:pPr>
            <w:r>
              <w:rPr>
                <w:rFonts w:ascii="宋体" w:hAnsi="宋体"/>
                <w:color w:val="000000"/>
                <w:szCs w:val="24"/>
              </w:rPr>
              <w:t>lntl</w:t>
            </w:r>
          </w:p>
        </w:tc>
        <w:tc>
          <w:tcPr>
            <w:tcW w:w="625" w:type="pct"/>
            <w:shd w:val="clear" w:color="auto" w:fill="FFFFFF"/>
          </w:tcPr>
          <w:p w14:paraId="247E366B" w14:textId="77777777" w:rsidR="00B84757" w:rsidRDefault="00000000">
            <w:pPr>
              <w:spacing w:after="0"/>
              <w:jc w:val="center"/>
              <w:rPr>
                <w:rFonts w:ascii="宋体" w:hAnsi="宋体"/>
                <w:color w:val="000000"/>
                <w:szCs w:val="24"/>
              </w:rPr>
            </w:pPr>
            <w:r>
              <w:rPr>
                <w:rFonts w:ascii="宋体" w:hAnsi="宋体"/>
                <w:color w:val="000000"/>
                <w:szCs w:val="24"/>
              </w:rPr>
              <w:t>0.5214</w:t>
            </w:r>
          </w:p>
        </w:tc>
        <w:tc>
          <w:tcPr>
            <w:tcW w:w="625" w:type="pct"/>
            <w:shd w:val="clear" w:color="auto" w:fill="FFFFFF"/>
          </w:tcPr>
          <w:p w14:paraId="18FA7C71" w14:textId="77777777" w:rsidR="00B84757" w:rsidRDefault="00000000">
            <w:pPr>
              <w:spacing w:after="0"/>
              <w:jc w:val="center"/>
              <w:rPr>
                <w:rFonts w:ascii="宋体" w:hAnsi="宋体"/>
                <w:color w:val="000000"/>
                <w:szCs w:val="24"/>
              </w:rPr>
            </w:pPr>
            <w:r>
              <w:rPr>
                <w:rFonts w:ascii="宋体" w:hAnsi="宋体"/>
                <w:color w:val="000000"/>
                <w:szCs w:val="24"/>
              </w:rPr>
              <w:t>1.0000</w:t>
            </w:r>
          </w:p>
        </w:tc>
        <w:tc>
          <w:tcPr>
            <w:tcW w:w="625" w:type="pct"/>
            <w:shd w:val="clear" w:color="auto" w:fill="FFFFFF"/>
          </w:tcPr>
          <w:p w14:paraId="5C84BF29" w14:textId="77777777" w:rsidR="00B84757" w:rsidRDefault="00000000">
            <w:pPr>
              <w:spacing w:after="0"/>
              <w:jc w:val="center"/>
              <w:rPr>
                <w:rFonts w:ascii="宋体" w:hAnsi="宋体"/>
                <w:color w:val="000000"/>
                <w:szCs w:val="24"/>
              </w:rPr>
            </w:pPr>
            <w:r>
              <w:rPr>
                <w:rFonts w:ascii="宋体" w:hAnsi="宋体"/>
                <w:color w:val="000000"/>
                <w:szCs w:val="24"/>
              </w:rPr>
              <w:t>-0.2740</w:t>
            </w:r>
          </w:p>
        </w:tc>
        <w:tc>
          <w:tcPr>
            <w:tcW w:w="625" w:type="pct"/>
            <w:shd w:val="clear" w:color="auto" w:fill="FFFFFF"/>
          </w:tcPr>
          <w:p w14:paraId="6BA66601" w14:textId="77777777" w:rsidR="00B84757" w:rsidRDefault="00000000">
            <w:pPr>
              <w:spacing w:after="0"/>
              <w:jc w:val="center"/>
              <w:rPr>
                <w:rFonts w:ascii="宋体" w:hAnsi="宋体"/>
                <w:color w:val="000000"/>
                <w:szCs w:val="24"/>
              </w:rPr>
            </w:pPr>
            <w:r>
              <w:rPr>
                <w:rFonts w:ascii="宋体" w:hAnsi="宋体"/>
                <w:color w:val="000000"/>
                <w:szCs w:val="24"/>
              </w:rPr>
              <w:t>0.8104</w:t>
            </w:r>
          </w:p>
        </w:tc>
        <w:tc>
          <w:tcPr>
            <w:tcW w:w="625" w:type="pct"/>
            <w:shd w:val="clear" w:color="auto" w:fill="FFFFFF"/>
          </w:tcPr>
          <w:p w14:paraId="69A41398" w14:textId="77777777" w:rsidR="00B84757" w:rsidRDefault="00000000">
            <w:pPr>
              <w:spacing w:after="0"/>
              <w:jc w:val="center"/>
              <w:rPr>
                <w:rFonts w:ascii="宋体" w:hAnsi="宋体"/>
                <w:color w:val="000000"/>
                <w:szCs w:val="24"/>
              </w:rPr>
            </w:pPr>
            <w:r>
              <w:rPr>
                <w:rFonts w:ascii="宋体" w:hAnsi="宋体"/>
                <w:color w:val="000000"/>
                <w:szCs w:val="24"/>
              </w:rPr>
              <w:t>0.7493</w:t>
            </w:r>
          </w:p>
        </w:tc>
        <w:tc>
          <w:tcPr>
            <w:tcW w:w="625" w:type="pct"/>
            <w:shd w:val="clear" w:color="auto" w:fill="FFFFFF"/>
          </w:tcPr>
          <w:p w14:paraId="5690A953" w14:textId="77777777" w:rsidR="00B84757" w:rsidRDefault="00000000">
            <w:pPr>
              <w:spacing w:after="0"/>
              <w:jc w:val="center"/>
              <w:rPr>
                <w:rFonts w:ascii="宋体" w:hAnsi="宋体"/>
                <w:color w:val="000000"/>
                <w:szCs w:val="24"/>
              </w:rPr>
            </w:pPr>
            <w:r>
              <w:rPr>
                <w:rFonts w:ascii="宋体" w:hAnsi="宋体"/>
                <w:color w:val="000000"/>
                <w:szCs w:val="24"/>
              </w:rPr>
              <w:t>0.8931</w:t>
            </w:r>
          </w:p>
        </w:tc>
        <w:tc>
          <w:tcPr>
            <w:tcW w:w="625" w:type="pct"/>
            <w:shd w:val="clear" w:color="auto" w:fill="FFFFFF"/>
          </w:tcPr>
          <w:p w14:paraId="06BCBFB4" w14:textId="77777777" w:rsidR="00B84757" w:rsidRDefault="00000000">
            <w:pPr>
              <w:spacing w:after="0"/>
              <w:jc w:val="center"/>
              <w:rPr>
                <w:rFonts w:ascii="宋体" w:hAnsi="宋体"/>
                <w:color w:val="000000"/>
                <w:szCs w:val="24"/>
              </w:rPr>
            </w:pPr>
            <w:r>
              <w:rPr>
                <w:rFonts w:ascii="宋体" w:hAnsi="宋体"/>
                <w:color w:val="000000"/>
                <w:szCs w:val="24"/>
              </w:rPr>
              <w:t>-0.6252</w:t>
            </w:r>
          </w:p>
        </w:tc>
      </w:tr>
      <w:tr w:rsidR="00B84757" w14:paraId="2B51CF89" w14:textId="77777777">
        <w:tc>
          <w:tcPr>
            <w:tcW w:w="625" w:type="pct"/>
            <w:shd w:val="clear" w:color="auto" w:fill="FFFFFF"/>
          </w:tcPr>
          <w:p w14:paraId="0203B5ED" w14:textId="77777777" w:rsidR="00B84757" w:rsidRDefault="00000000">
            <w:pPr>
              <w:spacing w:after="0"/>
              <w:rPr>
                <w:rFonts w:ascii="宋体" w:hAnsi="宋体"/>
                <w:color w:val="000000"/>
                <w:szCs w:val="24"/>
              </w:rPr>
            </w:pPr>
            <w:r>
              <w:rPr>
                <w:rFonts w:ascii="宋体" w:hAnsi="宋体"/>
                <w:color w:val="000000"/>
                <w:szCs w:val="24"/>
              </w:rPr>
              <w:t>ind</w:t>
            </w:r>
          </w:p>
        </w:tc>
        <w:tc>
          <w:tcPr>
            <w:tcW w:w="625" w:type="pct"/>
            <w:shd w:val="clear" w:color="auto" w:fill="FFFFFF"/>
          </w:tcPr>
          <w:p w14:paraId="6366F3C7" w14:textId="77777777" w:rsidR="00B84757" w:rsidRDefault="00000000">
            <w:pPr>
              <w:spacing w:after="0"/>
              <w:jc w:val="center"/>
              <w:rPr>
                <w:rFonts w:ascii="宋体" w:hAnsi="宋体"/>
                <w:color w:val="000000"/>
                <w:szCs w:val="24"/>
              </w:rPr>
            </w:pPr>
            <w:r>
              <w:rPr>
                <w:rFonts w:ascii="宋体" w:hAnsi="宋体"/>
                <w:color w:val="000000"/>
                <w:szCs w:val="24"/>
              </w:rPr>
              <w:t>-0.3033</w:t>
            </w:r>
          </w:p>
        </w:tc>
        <w:tc>
          <w:tcPr>
            <w:tcW w:w="625" w:type="pct"/>
            <w:shd w:val="clear" w:color="auto" w:fill="FFFFFF"/>
          </w:tcPr>
          <w:p w14:paraId="7FA2F95A" w14:textId="77777777" w:rsidR="00B84757" w:rsidRDefault="00000000">
            <w:pPr>
              <w:spacing w:after="0"/>
              <w:jc w:val="center"/>
              <w:rPr>
                <w:rFonts w:ascii="宋体" w:hAnsi="宋体"/>
                <w:color w:val="000000"/>
                <w:szCs w:val="24"/>
              </w:rPr>
            </w:pPr>
            <w:r>
              <w:rPr>
                <w:rFonts w:ascii="宋体" w:hAnsi="宋体"/>
                <w:color w:val="000000"/>
                <w:szCs w:val="24"/>
              </w:rPr>
              <w:t>-0.2740</w:t>
            </w:r>
          </w:p>
        </w:tc>
        <w:tc>
          <w:tcPr>
            <w:tcW w:w="625" w:type="pct"/>
            <w:shd w:val="clear" w:color="auto" w:fill="FFFFFF"/>
          </w:tcPr>
          <w:p w14:paraId="2A44DD4B" w14:textId="77777777" w:rsidR="00B84757" w:rsidRDefault="00000000">
            <w:pPr>
              <w:spacing w:after="0"/>
              <w:jc w:val="center"/>
              <w:rPr>
                <w:rFonts w:ascii="宋体" w:hAnsi="宋体"/>
                <w:color w:val="000000"/>
                <w:szCs w:val="24"/>
              </w:rPr>
            </w:pPr>
            <w:r>
              <w:rPr>
                <w:rFonts w:ascii="宋体" w:hAnsi="宋体"/>
                <w:color w:val="000000"/>
                <w:szCs w:val="24"/>
              </w:rPr>
              <w:t>1.0000</w:t>
            </w:r>
          </w:p>
        </w:tc>
        <w:tc>
          <w:tcPr>
            <w:tcW w:w="625" w:type="pct"/>
            <w:shd w:val="clear" w:color="auto" w:fill="FFFFFF"/>
          </w:tcPr>
          <w:p w14:paraId="2EEA59CB" w14:textId="77777777" w:rsidR="00B84757" w:rsidRDefault="00000000">
            <w:pPr>
              <w:spacing w:after="0"/>
              <w:jc w:val="center"/>
              <w:rPr>
                <w:rFonts w:ascii="宋体" w:hAnsi="宋体"/>
                <w:color w:val="000000"/>
                <w:szCs w:val="24"/>
              </w:rPr>
            </w:pPr>
            <w:r>
              <w:rPr>
                <w:rFonts w:ascii="宋体" w:hAnsi="宋体"/>
                <w:color w:val="000000"/>
                <w:szCs w:val="24"/>
              </w:rPr>
              <w:t>-0.2930</w:t>
            </w:r>
          </w:p>
        </w:tc>
        <w:tc>
          <w:tcPr>
            <w:tcW w:w="625" w:type="pct"/>
            <w:shd w:val="clear" w:color="auto" w:fill="FFFFFF"/>
          </w:tcPr>
          <w:p w14:paraId="6F838886" w14:textId="77777777" w:rsidR="00B84757" w:rsidRDefault="00000000">
            <w:pPr>
              <w:spacing w:after="0"/>
              <w:jc w:val="center"/>
              <w:rPr>
                <w:rFonts w:ascii="宋体" w:hAnsi="宋体"/>
                <w:color w:val="000000"/>
                <w:szCs w:val="24"/>
              </w:rPr>
            </w:pPr>
            <w:r>
              <w:rPr>
                <w:rFonts w:ascii="宋体" w:hAnsi="宋体"/>
                <w:color w:val="000000"/>
                <w:szCs w:val="24"/>
              </w:rPr>
              <w:t>-0.2958</w:t>
            </w:r>
          </w:p>
        </w:tc>
        <w:tc>
          <w:tcPr>
            <w:tcW w:w="625" w:type="pct"/>
            <w:shd w:val="clear" w:color="auto" w:fill="FFFFFF"/>
          </w:tcPr>
          <w:p w14:paraId="24197D55" w14:textId="77777777" w:rsidR="00B84757" w:rsidRDefault="00000000">
            <w:pPr>
              <w:spacing w:after="0"/>
              <w:jc w:val="center"/>
              <w:rPr>
                <w:rFonts w:ascii="宋体" w:hAnsi="宋体"/>
                <w:color w:val="000000"/>
                <w:szCs w:val="24"/>
              </w:rPr>
            </w:pPr>
            <w:r>
              <w:rPr>
                <w:rFonts w:ascii="宋体" w:hAnsi="宋体"/>
                <w:color w:val="000000"/>
                <w:szCs w:val="24"/>
              </w:rPr>
              <w:t>-0.3212</w:t>
            </w:r>
          </w:p>
        </w:tc>
        <w:tc>
          <w:tcPr>
            <w:tcW w:w="625" w:type="pct"/>
            <w:shd w:val="clear" w:color="auto" w:fill="FFFFFF"/>
          </w:tcPr>
          <w:p w14:paraId="00E9FB14" w14:textId="77777777" w:rsidR="00B84757" w:rsidRDefault="00000000">
            <w:pPr>
              <w:spacing w:after="0"/>
              <w:jc w:val="center"/>
              <w:rPr>
                <w:rFonts w:ascii="宋体" w:hAnsi="宋体"/>
                <w:color w:val="000000"/>
                <w:szCs w:val="24"/>
              </w:rPr>
            </w:pPr>
            <w:r>
              <w:rPr>
                <w:rFonts w:ascii="宋体" w:hAnsi="宋体"/>
                <w:color w:val="000000"/>
                <w:szCs w:val="24"/>
              </w:rPr>
              <w:t>0.5283</w:t>
            </w:r>
          </w:p>
        </w:tc>
      </w:tr>
      <w:tr w:rsidR="00B84757" w14:paraId="1526AA7B" w14:textId="77777777">
        <w:tc>
          <w:tcPr>
            <w:tcW w:w="625" w:type="pct"/>
            <w:shd w:val="clear" w:color="auto" w:fill="FFFFFF"/>
          </w:tcPr>
          <w:p w14:paraId="7C93871F" w14:textId="77777777" w:rsidR="00B84757" w:rsidRDefault="00000000">
            <w:pPr>
              <w:spacing w:after="0"/>
              <w:rPr>
                <w:rFonts w:ascii="宋体" w:hAnsi="宋体"/>
                <w:color w:val="000000"/>
                <w:szCs w:val="24"/>
              </w:rPr>
            </w:pPr>
            <w:r>
              <w:rPr>
                <w:rFonts w:ascii="宋体" w:hAnsi="宋体"/>
                <w:color w:val="000000"/>
                <w:szCs w:val="24"/>
              </w:rPr>
              <w:t>urb</w:t>
            </w:r>
          </w:p>
        </w:tc>
        <w:tc>
          <w:tcPr>
            <w:tcW w:w="625" w:type="pct"/>
            <w:shd w:val="clear" w:color="auto" w:fill="FFFFFF"/>
          </w:tcPr>
          <w:p w14:paraId="42B39920" w14:textId="77777777" w:rsidR="00B84757" w:rsidRDefault="00000000">
            <w:pPr>
              <w:spacing w:after="0"/>
              <w:jc w:val="center"/>
              <w:rPr>
                <w:rFonts w:ascii="宋体" w:hAnsi="宋体"/>
                <w:color w:val="000000"/>
                <w:szCs w:val="24"/>
              </w:rPr>
            </w:pPr>
            <w:r>
              <w:rPr>
                <w:rFonts w:ascii="宋体" w:hAnsi="宋体"/>
                <w:color w:val="000000"/>
                <w:szCs w:val="24"/>
              </w:rPr>
              <w:t>0.4978</w:t>
            </w:r>
          </w:p>
        </w:tc>
        <w:tc>
          <w:tcPr>
            <w:tcW w:w="625" w:type="pct"/>
            <w:shd w:val="clear" w:color="auto" w:fill="FFFFFF"/>
          </w:tcPr>
          <w:p w14:paraId="7F062F39" w14:textId="77777777" w:rsidR="00B84757" w:rsidRDefault="00000000">
            <w:pPr>
              <w:spacing w:after="0"/>
              <w:jc w:val="center"/>
              <w:rPr>
                <w:rFonts w:ascii="宋体" w:hAnsi="宋体"/>
                <w:color w:val="000000"/>
                <w:szCs w:val="24"/>
              </w:rPr>
            </w:pPr>
            <w:r>
              <w:rPr>
                <w:rFonts w:ascii="宋体" w:hAnsi="宋体"/>
                <w:color w:val="000000"/>
                <w:szCs w:val="24"/>
              </w:rPr>
              <w:t>0.8104</w:t>
            </w:r>
          </w:p>
        </w:tc>
        <w:tc>
          <w:tcPr>
            <w:tcW w:w="625" w:type="pct"/>
            <w:shd w:val="clear" w:color="auto" w:fill="FFFFFF"/>
          </w:tcPr>
          <w:p w14:paraId="2B4E8C4E" w14:textId="77777777" w:rsidR="00B84757" w:rsidRDefault="00000000">
            <w:pPr>
              <w:spacing w:after="0"/>
              <w:jc w:val="center"/>
              <w:rPr>
                <w:rFonts w:ascii="宋体" w:hAnsi="宋体"/>
                <w:color w:val="000000"/>
                <w:szCs w:val="24"/>
              </w:rPr>
            </w:pPr>
            <w:r>
              <w:rPr>
                <w:rFonts w:ascii="宋体" w:hAnsi="宋体"/>
                <w:color w:val="000000"/>
                <w:szCs w:val="24"/>
              </w:rPr>
              <w:t>-0.2930</w:t>
            </w:r>
          </w:p>
        </w:tc>
        <w:tc>
          <w:tcPr>
            <w:tcW w:w="625" w:type="pct"/>
            <w:shd w:val="clear" w:color="auto" w:fill="FFFFFF"/>
          </w:tcPr>
          <w:p w14:paraId="7F6943B4" w14:textId="77777777" w:rsidR="00B84757" w:rsidRDefault="00000000">
            <w:pPr>
              <w:spacing w:after="0"/>
              <w:jc w:val="center"/>
              <w:rPr>
                <w:rFonts w:ascii="宋体" w:hAnsi="宋体"/>
                <w:color w:val="000000"/>
                <w:szCs w:val="24"/>
              </w:rPr>
            </w:pPr>
            <w:r>
              <w:rPr>
                <w:rFonts w:ascii="宋体" w:hAnsi="宋体"/>
                <w:color w:val="000000"/>
                <w:szCs w:val="24"/>
              </w:rPr>
              <w:t>1.0000</w:t>
            </w:r>
          </w:p>
        </w:tc>
        <w:tc>
          <w:tcPr>
            <w:tcW w:w="625" w:type="pct"/>
            <w:shd w:val="clear" w:color="auto" w:fill="FFFFFF"/>
          </w:tcPr>
          <w:p w14:paraId="04575983" w14:textId="77777777" w:rsidR="00B84757" w:rsidRDefault="00000000">
            <w:pPr>
              <w:spacing w:after="0"/>
              <w:jc w:val="center"/>
              <w:rPr>
                <w:rFonts w:ascii="宋体" w:hAnsi="宋体"/>
                <w:color w:val="000000"/>
                <w:szCs w:val="24"/>
              </w:rPr>
            </w:pPr>
            <w:r>
              <w:rPr>
                <w:rFonts w:ascii="宋体" w:hAnsi="宋体"/>
                <w:color w:val="000000"/>
                <w:szCs w:val="24"/>
              </w:rPr>
              <w:t>0.7936</w:t>
            </w:r>
          </w:p>
        </w:tc>
        <w:tc>
          <w:tcPr>
            <w:tcW w:w="625" w:type="pct"/>
            <w:shd w:val="clear" w:color="auto" w:fill="FFFFFF"/>
          </w:tcPr>
          <w:p w14:paraId="2611B9A7" w14:textId="77777777" w:rsidR="00B84757" w:rsidRDefault="00000000">
            <w:pPr>
              <w:spacing w:after="0"/>
              <w:jc w:val="center"/>
              <w:rPr>
                <w:rFonts w:ascii="宋体" w:hAnsi="宋体"/>
                <w:color w:val="000000"/>
                <w:szCs w:val="24"/>
              </w:rPr>
            </w:pPr>
            <w:r>
              <w:rPr>
                <w:rFonts w:ascii="宋体" w:hAnsi="宋体"/>
                <w:color w:val="000000"/>
                <w:szCs w:val="24"/>
              </w:rPr>
              <w:t>0.8188</w:t>
            </w:r>
          </w:p>
        </w:tc>
        <w:tc>
          <w:tcPr>
            <w:tcW w:w="625" w:type="pct"/>
            <w:shd w:val="clear" w:color="auto" w:fill="FFFFFF"/>
          </w:tcPr>
          <w:p w14:paraId="110C04F3" w14:textId="77777777" w:rsidR="00B84757" w:rsidRDefault="00000000">
            <w:pPr>
              <w:spacing w:after="0"/>
              <w:jc w:val="center"/>
              <w:rPr>
                <w:rFonts w:ascii="宋体" w:hAnsi="宋体"/>
                <w:color w:val="000000"/>
                <w:szCs w:val="24"/>
              </w:rPr>
            </w:pPr>
            <w:r>
              <w:rPr>
                <w:rFonts w:ascii="宋体" w:hAnsi="宋体"/>
                <w:color w:val="000000"/>
                <w:szCs w:val="24"/>
              </w:rPr>
              <w:t>-0.6054</w:t>
            </w:r>
          </w:p>
        </w:tc>
      </w:tr>
      <w:tr w:rsidR="00B84757" w14:paraId="2EDEACCD" w14:textId="77777777">
        <w:tc>
          <w:tcPr>
            <w:tcW w:w="625" w:type="pct"/>
            <w:shd w:val="clear" w:color="auto" w:fill="FFFFFF"/>
          </w:tcPr>
          <w:p w14:paraId="0767001D" w14:textId="77777777" w:rsidR="00B84757" w:rsidRDefault="00000000">
            <w:pPr>
              <w:spacing w:after="0"/>
              <w:rPr>
                <w:rFonts w:ascii="宋体" w:hAnsi="宋体"/>
                <w:color w:val="000000"/>
                <w:szCs w:val="24"/>
              </w:rPr>
            </w:pPr>
            <w:r>
              <w:rPr>
                <w:rFonts w:ascii="宋体" w:hAnsi="宋体"/>
                <w:color w:val="000000"/>
                <w:szCs w:val="24"/>
              </w:rPr>
              <w:t>rd</w:t>
            </w:r>
          </w:p>
        </w:tc>
        <w:tc>
          <w:tcPr>
            <w:tcW w:w="625" w:type="pct"/>
            <w:shd w:val="clear" w:color="auto" w:fill="FFFFFF"/>
          </w:tcPr>
          <w:p w14:paraId="157BFA55" w14:textId="77777777" w:rsidR="00B84757" w:rsidRDefault="00000000">
            <w:pPr>
              <w:spacing w:after="0"/>
              <w:jc w:val="center"/>
              <w:rPr>
                <w:rFonts w:ascii="宋体" w:hAnsi="宋体"/>
                <w:color w:val="000000"/>
                <w:szCs w:val="24"/>
              </w:rPr>
            </w:pPr>
            <w:r>
              <w:rPr>
                <w:rFonts w:ascii="宋体" w:hAnsi="宋体"/>
                <w:color w:val="000000"/>
                <w:szCs w:val="24"/>
              </w:rPr>
              <w:t>0.4681</w:t>
            </w:r>
          </w:p>
        </w:tc>
        <w:tc>
          <w:tcPr>
            <w:tcW w:w="625" w:type="pct"/>
            <w:shd w:val="clear" w:color="auto" w:fill="FFFFFF"/>
          </w:tcPr>
          <w:p w14:paraId="503F3F48" w14:textId="77777777" w:rsidR="00B84757" w:rsidRDefault="00000000">
            <w:pPr>
              <w:spacing w:after="0"/>
              <w:jc w:val="center"/>
              <w:rPr>
                <w:rFonts w:ascii="宋体" w:hAnsi="宋体"/>
                <w:color w:val="000000"/>
                <w:szCs w:val="24"/>
              </w:rPr>
            </w:pPr>
            <w:r>
              <w:rPr>
                <w:rFonts w:ascii="宋体" w:hAnsi="宋体"/>
                <w:color w:val="000000"/>
                <w:szCs w:val="24"/>
              </w:rPr>
              <w:t>0.7493</w:t>
            </w:r>
          </w:p>
        </w:tc>
        <w:tc>
          <w:tcPr>
            <w:tcW w:w="625" w:type="pct"/>
            <w:shd w:val="clear" w:color="auto" w:fill="FFFFFF"/>
          </w:tcPr>
          <w:p w14:paraId="256B9409" w14:textId="77777777" w:rsidR="00B84757" w:rsidRDefault="00000000">
            <w:pPr>
              <w:spacing w:after="0"/>
              <w:jc w:val="center"/>
              <w:rPr>
                <w:rFonts w:ascii="宋体" w:hAnsi="宋体"/>
                <w:color w:val="000000"/>
                <w:szCs w:val="24"/>
              </w:rPr>
            </w:pPr>
            <w:r>
              <w:rPr>
                <w:rFonts w:ascii="宋体" w:hAnsi="宋体"/>
                <w:color w:val="000000"/>
                <w:szCs w:val="24"/>
              </w:rPr>
              <w:t>-0.2958</w:t>
            </w:r>
          </w:p>
        </w:tc>
        <w:tc>
          <w:tcPr>
            <w:tcW w:w="625" w:type="pct"/>
            <w:shd w:val="clear" w:color="auto" w:fill="FFFFFF"/>
          </w:tcPr>
          <w:p w14:paraId="2B1ADFCF" w14:textId="77777777" w:rsidR="00B84757" w:rsidRDefault="00000000">
            <w:pPr>
              <w:spacing w:after="0"/>
              <w:jc w:val="center"/>
              <w:rPr>
                <w:rFonts w:ascii="宋体" w:hAnsi="宋体"/>
                <w:color w:val="000000"/>
                <w:szCs w:val="24"/>
              </w:rPr>
            </w:pPr>
            <w:r>
              <w:rPr>
                <w:rFonts w:ascii="宋体" w:hAnsi="宋体"/>
                <w:color w:val="000000"/>
                <w:szCs w:val="24"/>
              </w:rPr>
              <w:t>0.7936</w:t>
            </w:r>
          </w:p>
        </w:tc>
        <w:tc>
          <w:tcPr>
            <w:tcW w:w="625" w:type="pct"/>
            <w:shd w:val="clear" w:color="auto" w:fill="FFFFFF"/>
          </w:tcPr>
          <w:p w14:paraId="4108C710" w14:textId="77777777" w:rsidR="00B84757" w:rsidRDefault="00000000">
            <w:pPr>
              <w:spacing w:after="0"/>
              <w:jc w:val="center"/>
              <w:rPr>
                <w:rFonts w:ascii="宋体" w:hAnsi="宋体"/>
                <w:color w:val="000000"/>
                <w:szCs w:val="24"/>
              </w:rPr>
            </w:pPr>
            <w:r>
              <w:rPr>
                <w:rFonts w:ascii="宋体" w:hAnsi="宋体"/>
                <w:color w:val="000000"/>
                <w:szCs w:val="24"/>
              </w:rPr>
              <w:t>1.0000</w:t>
            </w:r>
          </w:p>
        </w:tc>
        <w:tc>
          <w:tcPr>
            <w:tcW w:w="625" w:type="pct"/>
            <w:shd w:val="clear" w:color="auto" w:fill="FFFFFF"/>
          </w:tcPr>
          <w:p w14:paraId="08C999DE" w14:textId="77777777" w:rsidR="00B84757" w:rsidRDefault="00000000">
            <w:pPr>
              <w:spacing w:after="0"/>
              <w:jc w:val="center"/>
              <w:rPr>
                <w:rFonts w:ascii="宋体" w:hAnsi="宋体"/>
                <w:color w:val="000000"/>
                <w:szCs w:val="24"/>
              </w:rPr>
            </w:pPr>
            <w:r>
              <w:rPr>
                <w:rFonts w:ascii="宋体" w:hAnsi="宋体"/>
                <w:color w:val="000000"/>
                <w:szCs w:val="24"/>
              </w:rPr>
              <w:t>0.8127</w:t>
            </w:r>
          </w:p>
        </w:tc>
        <w:tc>
          <w:tcPr>
            <w:tcW w:w="625" w:type="pct"/>
            <w:shd w:val="clear" w:color="auto" w:fill="FFFFFF"/>
          </w:tcPr>
          <w:p w14:paraId="39208016" w14:textId="77777777" w:rsidR="00B84757" w:rsidRDefault="00000000">
            <w:pPr>
              <w:spacing w:after="0"/>
              <w:jc w:val="center"/>
              <w:rPr>
                <w:rFonts w:ascii="宋体" w:hAnsi="宋体"/>
                <w:color w:val="000000"/>
                <w:szCs w:val="24"/>
              </w:rPr>
            </w:pPr>
            <w:r>
              <w:rPr>
                <w:rFonts w:ascii="宋体" w:hAnsi="宋体"/>
                <w:color w:val="000000"/>
                <w:szCs w:val="24"/>
              </w:rPr>
              <w:t>-0.5688</w:t>
            </w:r>
          </w:p>
        </w:tc>
      </w:tr>
      <w:tr w:rsidR="00B84757" w14:paraId="7F7250CC" w14:textId="77777777">
        <w:tc>
          <w:tcPr>
            <w:tcW w:w="625" w:type="pct"/>
            <w:shd w:val="clear" w:color="auto" w:fill="FFFFFF"/>
          </w:tcPr>
          <w:p w14:paraId="2F980206" w14:textId="77777777" w:rsidR="00B84757" w:rsidRDefault="00000000">
            <w:pPr>
              <w:spacing w:after="0"/>
              <w:rPr>
                <w:rFonts w:ascii="宋体" w:hAnsi="宋体"/>
                <w:color w:val="000000"/>
                <w:szCs w:val="24"/>
              </w:rPr>
            </w:pPr>
            <w:r>
              <w:rPr>
                <w:rFonts w:ascii="宋体" w:hAnsi="宋体"/>
                <w:color w:val="000000"/>
                <w:szCs w:val="24"/>
              </w:rPr>
              <w:t>open</w:t>
            </w:r>
          </w:p>
        </w:tc>
        <w:tc>
          <w:tcPr>
            <w:tcW w:w="625" w:type="pct"/>
            <w:shd w:val="clear" w:color="auto" w:fill="FFFFFF"/>
          </w:tcPr>
          <w:p w14:paraId="759279F1" w14:textId="77777777" w:rsidR="00B84757" w:rsidRDefault="00000000">
            <w:pPr>
              <w:spacing w:after="0"/>
              <w:jc w:val="center"/>
              <w:rPr>
                <w:rFonts w:ascii="宋体" w:hAnsi="宋体"/>
                <w:color w:val="000000"/>
                <w:szCs w:val="24"/>
              </w:rPr>
            </w:pPr>
            <w:r>
              <w:rPr>
                <w:rFonts w:ascii="宋体" w:hAnsi="宋体"/>
                <w:color w:val="000000"/>
                <w:szCs w:val="24"/>
              </w:rPr>
              <w:t>0.5284</w:t>
            </w:r>
          </w:p>
        </w:tc>
        <w:tc>
          <w:tcPr>
            <w:tcW w:w="625" w:type="pct"/>
            <w:shd w:val="clear" w:color="auto" w:fill="FFFFFF"/>
          </w:tcPr>
          <w:p w14:paraId="0F5D039F" w14:textId="77777777" w:rsidR="00B84757" w:rsidRDefault="00000000">
            <w:pPr>
              <w:spacing w:after="0"/>
              <w:jc w:val="center"/>
              <w:rPr>
                <w:rFonts w:ascii="宋体" w:hAnsi="宋体"/>
                <w:color w:val="000000"/>
                <w:szCs w:val="24"/>
              </w:rPr>
            </w:pPr>
            <w:r>
              <w:rPr>
                <w:rFonts w:ascii="宋体" w:hAnsi="宋体"/>
                <w:color w:val="000000"/>
                <w:szCs w:val="24"/>
              </w:rPr>
              <w:t>0.8931</w:t>
            </w:r>
          </w:p>
        </w:tc>
        <w:tc>
          <w:tcPr>
            <w:tcW w:w="625" w:type="pct"/>
            <w:shd w:val="clear" w:color="auto" w:fill="FFFFFF"/>
          </w:tcPr>
          <w:p w14:paraId="7E60A1FB" w14:textId="77777777" w:rsidR="00B84757" w:rsidRDefault="00000000">
            <w:pPr>
              <w:spacing w:after="0"/>
              <w:jc w:val="center"/>
              <w:rPr>
                <w:rFonts w:ascii="宋体" w:hAnsi="宋体"/>
                <w:color w:val="000000"/>
                <w:szCs w:val="24"/>
              </w:rPr>
            </w:pPr>
            <w:r>
              <w:rPr>
                <w:rFonts w:ascii="宋体" w:hAnsi="宋体"/>
                <w:color w:val="000000"/>
                <w:szCs w:val="24"/>
              </w:rPr>
              <w:t>-0.3212</w:t>
            </w:r>
          </w:p>
        </w:tc>
        <w:tc>
          <w:tcPr>
            <w:tcW w:w="625" w:type="pct"/>
            <w:shd w:val="clear" w:color="auto" w:fill="FFFFFF"/>
          </w:tcPr>
          <w:p w14:paraId="5C33155D" w14:textId="77777777" w:rsidR="00B84757" w:rsidRDefault="00000000">
            <w:pPr>
              <w:spacing w:after="0"/>
              <w:jc w:val="center"/>
              <w:rPr>
                <w:rFonts w:ascii="宋体" w:hAnsi="宋体"/>
                <w:color w:val="000000"/>
                <w:szCs w:val="24"/>
              </w:rPr>
            </w:pPr>
            <w:r>
              <w:rPr>
                <w:rFonts w:ascii="宋体" w:hAnsi="宋体"/>
                <w:color w:val="000000"/>
                <w:szCs w:val="24"/>
              </w:rPr>
              <w:t>0.8188</w:t>
            </w:r>
          </w:p>
        </w:tc>
        <w:tc>
          <w:tcPr>
            <w:tcW w:w="625" w:type="pct"/>
            <w:shd w:val="clear" w:color="auto" w:fill="FFFFFF"/>
          </w:tcPr>
          <w:p w14:paraId="2EC7824E" w14:textId="77777777" w:rsidR="00B84757" w:rsidRDefault="00000000">
            <w:pPr>
              <w:spacing w:after="0"/>
              <w:jc w:val="center"/>
              <w:rPr>
                <w:rFonts w:ascii="宋体" w:hAnsi="宋体"/>
                <w:color w:val="000000"/>
                <w:szCs w:val="24"/>
              </w:rPr>
            </w:pPr>
            <w:r>
              <w:rPr>
                <w:rFonts w:ascii="宋体" w:hAnsi="宋体"/>
                <w:color w:val="000000"/>
                <w:szCs w:val="24"/>
              </w:rPr>
              <w:t>0.8127</w:t>
            </w:r>
          </w:p>
        </w:tc>
        <w:tc>
          <w:tcPr>
            <w:tcW w:w="625" w:type="pct"/>
            <w:shd w:val="clear" w:color="auto" w:fill="FFFFFF"/>
          </w:tcPr>
          <w:p w14:paraId="36DEA4EE" w14:textId="77777777" w:rsidR="00B84757" w:rsidRDefault="00000000">
            <w:pPr>
              <w:spacing w:after="0"/>
              <w:jc w:val="center"/>
              <w:rPr>
                <w:rFonts w:ascii="宋体" w:hAnsi="宋体"/>
                <w:color w:val="000000"/>
                <w:szCs w:val="24"/>
              </w:rPr>
            </w:pPr>
            <w:r>
              <w:rPr>
                <w:rFonts w:ascii="宋体" w:hAnsi="宋体"/>
                <w:color w:val="000000"/>
                <w:szCs w:val="24"/>
              </w:rPr>
              <w:t>1.0000</w:t>
            </w:r>
          </w:p>
        </w:tc>
        <w:tc>
          <w:tcPr>
            <w:tcW w:w="625" w:type="pct"/>
            <w:shd w:val="clear" w:color="auto" w:fill="FFFFFF"/>
          </w:tcPr>
          <w:p w14:paraId="166A19F4" w14:textId="77777777" w:rsidR="00B84757" w:rsidRDefault="00000000">
            <w:pPr>
              <w:spacing w:after="0"/>
              <w:jc w:val="center"/>
              <w:rPr>
                <w:rFonts w:ascii="宋体" w:hAnsi="宋体"/>
                <w:color w:val="000000"/>
                <w:szCs w:val="24"/>
              </w:rPr>
            </w:pPr>
            <w:r>
              <w:rPr>
                <w:rFonts w:ascii="宋体" w:hAnsi="宋体"/>
                <w:color w:val="000000"/>
                <w:szCs w:val="24"/>
              </w:rPr>
              <w:t>-0.6771</w:t>
            </w:r>
          </w:p>
        </w:tc>
      </w:tr>
      <w:tr w:rsidR="00B84757" w14:paraId="6569AC7A" w14:textId="77777777">
        <w:trPr>
          <w:trHeight w:val="90"/>
        </w:trPr>
        <w:tc>
          <w:tcPr>
            <w:tcW w:w="625" w:type="pct"/>
            <w:tcBorders>
              <w:bottom w:val="single" w:sz="12" w:space="0" w:color="000000"/>
            </w:tcBorders>
            <w:shd w:val="clear" w:color="auto" w:fill="FFFFFF"/>
          </w:tcPr>
          <w:p w14:paraId="5F9293ED" w14:textId="77777777" w:rsidR="00B84757" w:rsidRDefault="00000000">
            <w:pPr>
              <w:spacing w:after="0"/>
              <w:rPr>
                <w:rFonts w:ascii="宋体" w:hAnsi="宋体"/>
                <w:color w:val="000000"/>
                <w:szCs w:val="24"/>
              </w:rPr>
            </w:pPr>
            <w:r>
              <w:rPr>
                <w:rFonts w:ascii="宋体" w:hAnsi="宋体"/>
                <w:color w:val="000000"/>
                <w:szCs w:val="24"/>
              </w:rPr>
              <w:t>es</w:t>
            </w:r>
          </w:p>
        </w:tc>
        <w:tc>
          <w:tcPr>
            <w:tcW w:w="625" w:type="pct"/>
            <w:tcBorders>
              <w:bottom w:val="single" w:sz="12" w:space="0" w:color="000000"/>
            </w:tcBorders>
            <w:shd w:val="clear" w:color="auto" w:fill="FFFFFF"/>
          </w:tcPr>
          <w:p w14:paraId="1541C1A5" w14:textId="77777777" w:rsidR="00B84757" w:rsidRDefault="00000000">
            <w:pPr>
              <w:spacing w:after="0"/>
              <w:jc w:val="center"/>
              <w:rPr>
                <w:rFonts w:ascii="宋体" w:hAnsi="宋体"/>
                <w:color w:val="000000"/>
                <w:szCs w:val="24"/>
              </w:rPr>
            </w:pPr>
            <w:r>
              <w:rPr>
                <w:rFonts w:ascii="宋体" w:hAnsi="宋体"/>
                <w:color w:val="000000"/>
                <w:szCs w:val="24"/>
              </w:rPr>
              <w:t>-0.6814</w:t>
            </w:r>
          </w:p>
        </w:tc>
        <w:tc>
          <w:tcPr>
            <w:tcW w:w="625" w:type="pct"/>
            <w:tcBorders>
              <w:bottom w:val="single" w:sz="12" w:space="0" w:color="000000"/>
            </w:tcBorders>
            <w:shd w:val="clear" w:color="auto" w:fill="FFFFFF"/>
          </w:tcPr>
          <w:p w14:paraId="16AE828D" w14:textId="77777777" w:rsidR="00B84757" w:rsidRDefault="00000000">
            <w:pPr>
              <w:spacing w:after="0"/>
              <w:jc w:val="center"/>
              <w:rPr>
                <w:rFonts w:ascii="宋体" w:hAnsi="宋体"/>
                <w:color w:val="000000"/>
                <w:szCs w:val="24"/>
              </w:rPr>
            </w:pPr>
            <w:r>
              <w:rPr>
                <w:rFonts w:ascii="宋体" w:hAnsi="宋体"/>
                <w:color w:val="000000"/>
                <w:szCs w:val="24"/>
              </w:rPr>
              <w:t>-0.6252</w:t>
            </w:r>
          </w:p>
        </w:tc>
        <w:tc>
          <w:tcPr>
            <w:tcW w:w="625" w:type="pct"/>
            <w:tcBorders>
              <w:bottom w:val="single" w:sz="12" w:space="0" w:color="000000"/>
            </w:tcBorders>
            <w:shd w:val="clear" w:color="auto" w:fill="FFFFFF"/>
          </w:tcPr>
          <w:p w14:paraId="3FD32A1F" w14:textId="77777777" w:rsidR="00B84757" w:rsidRDefault="00000000">
            <w:pPr>
              <w:spacing w:after="0"/>
              <w:jc w:val="center"/>
              <w:rPr>
                <w:rFonts w:ascii="宋体" w:hAnsi="宋体"/>
                <w:color w:val="000000"/>
                <w:szCs w:val="24"/>
              </w:rPr>
            </w:pPr>
            <w:r>
              <w:rPr>
                <w:rFonts w:ascii="宋体" w:hAnsi="宋体"/>
                <w:color w:val="000000"/>
                <w:szCs w:val="24"/>
              </w:rPr>
              <w:t>0.5283</w:t>
            </w:r>
          </w:p>
        </w:tc>
        <w:tc>
          <w:tcPr>
            <w:tcW w:w="625" w:type="pct"/>
            <w:tcBorders>
              <w:bottom w:val="single" w:sz="12" w:space="0" w:color="000000"/>
            </w:tcBorders>
            <w:shd w:val="clear" w:color="auto" w:fill="FFFFFF"/>
          </w:tcPr>
          <w:p w14:paraId="2303CB5E" w14:textId="77777777" w:rsidR="00B84757" w:rsidRDefault="00000000">
            <w:pPr>
              <w:spacing w:after="0"/>
              <w:jc w:val="center"/>
              <w:rPr>
                <w:rFonts w:ascii="宋体" w:hAnsi="宋体"/>
                <w:color w:val="000000"/>
                <w:szCs w:val="24"/>
              </w:rPr>
            </w:pPr>
            <w:r>
              <w:rPr>
                <w:rFonts w:ascii="宋体" w:hAnsi="宋体"/>
                <w:color w:val="000000"/>
                <w:szCs w:val="24"/>
              </w:rPr>
              <w:t>-0.6054</w:t>
            </w:r>
          </w:p>
        </w:tc>
        <w:tc>
          <w:tcPr>
            <w:tcW w:w="625" w:type="pct"/>
            <w:tcBorders>
              <w:bottom w:val="single" w:sz="12" w:space="0" w:color="000000"/>
            </w:tcBorders>
            <w:shd w:val="clear" w:color="auto" w:fill="FFFFFF"/>
          </w:tcPr>
          <w:p w14:paraId="639DA266" w14:textId="77777777" w:rsidR="00B84757" w:rsidRDefault="00000000">
            <w:pPr>
              <w:spacing w:after="0"/>
              <w:jc w:val="center"/>
              <w:rPr>
                <w:rFonts w:ascii="宋体" w:hAnsi="宋体"/>
                <w:color w:val="000000"/>
                <w:szCs w:val="24"/>
              </w:rPr>
            </w:pPr>
            <w:r>
              <w:rPr>
                <w:rFonts w:ascii="宋体" w:hAnsi="宋体"/>
                <w:color w:val="000000"/>
                <w:szCs w:val="24"/>
              </w:rPr>
              <w:t>-0.5688</w:t>
            </w:r>
          </w:p>
        </w:tc>
        <w:tc>
          <w:tcPr>
            <w:tcW w:w="625" w:type="pct"/>
            <w:tcBorders>
              <w:bottom w:val="single" w:sz="12" w:space="0" w:color="000000"/>
            </w:tcBorders>
            <w:shd w:val="clear" w:color="auto" w:fill="FFFFFF"/>
          </w:tcPr>
          <w:p w14:paraId="316C074F" w14:textId="77777777" w:rsidR="00B84757" w:rsidRDefault="00000000">
            <w:pPr>
              <w:spacing w:after="0"/>
              <w:jc w:val="center"/>
              <w:rPr>
                <w:rFonts w:ascii="宋体" w:hAnsi="宋体"/>
                <w:color w:val="000000"/>
                <w:szCs w:val="24"/>
              </w:rPr>
            </w:pPr>
            <w:r>
              <w:rPr>
                <w:rFonts w:ascii="宋体" w:hAnsi="宋体"/>
                <w:color w:val="000000"/>
                <w:szCs w:val="24"/>
              </w:rPr>
              <w:t>-0.6771</w:t>
            </w:r>
          </w:p>
        </w:tc>
        <w:tc>
          <w:tcPr>
            <w:tcW w:w="625" w:type="pct"/>
            <w:tcBorders>
              <w:bottom w:val="single" w:sz="12" w:space="0" w:color="000000"/>
            </w:tcBorders>
            <w:shd w:val="clear" w:color="auto" w:fill="FFFFFF"/>
          </w:tcPr>
          <w:p w14:paraId="18613CE4" w14:textId="77777777" w:rsidR="00B84757" w:rsidRDefault="00000000">
            <w:pPr>
              <w:spacing w:after="0"/>
              <w:jc w:val="center"/>
              <w:rPr>
                <w:rFonts w:ascii="宋体" w:hAnsi="宋体"/>
                <w:color w:val="000000"/>
                <w:szCs w:val="24"/>
              </w:rPr>
            </w:pPr>
            <w:r>
              <w:rPr>
                <w:rFonts w:ascii="宋体" w:hAnsi="宋体"/>
                <w:color w:val="000000"/>
                <w:szCs w:val="24"/>
              </w:rPr>
              <w:t>1.0000</w:t>
            </w:r>
          </w:p>
        </w:tc>
      </w:tr>
    </w:tbl>
    <w:p w14:paraId="220AA042" w14:textId="77777777" w:rsidR="00B84757" w:rsidRDefault="00000000">
      <w:pPr>
        <w:jc w:val="both"/>
        <w:rPr>
          <w:lang w:eastAsia="zh-CN"/>
        </w:rPr>
      </w:pPr>
      <w:r>
        <w:rPr>
          <w:rFonts w:hint="eastAsia"/>
          <w:noProof/>
          <w:lang w:eastAsia="zh-CN"/>
        </w:rPr>
        <w:drawing>
          <wp:inline distT="0" distB="0" distL="114300" distR="114300" wp14:anchorId="360E8D3F" wp14:editId="674D709E">
            <wp:extent cx="6057265" cy="2478405"/>
            <wp:effectExtent l="0" t="0" r="635" b="10795"/>
            <wp:docPr id="31" name="图片 31" descr="correlation_ellipse_matrices_comb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orrelation_ellipse_matrices_combined"/>
                    <pic:cNvPicPr>
                      <a:picLocks noChangeAspect="1"/>
                    </pic:cNvPicPr>
                  </pic:nvPicPr>
                  <pic:blipFill>
                    <a:blip r:embed="rId15"/>
                    <a:srcRect l="277" t="3651"/>
                    <a:stretch>
                      <a:fillRect/>
                    </a:stretch>
                  </pic:blipFill>
                  <pic:spPr>
                    <a:xfrm>
                      <a:off x="0" y="0"/>
                      <a:ext cx="6057265" cy="2478405"/>
                    </a:xfrm>
                    <a:prstGeom prst="rect">
                      <a:avLst/>
                    </a:prstGeom>
                  </pic:spPr>
                </pic:pic>
              </a:graphicData>
            </a:graphic>
          </wp:inline>
        </w:drawing>
      </w:r>
    </w:p>
    <w:p w14:paraId="0CB2D8F3" w14:textId="77777777" w:rsidR="00B84757" w:rsidRDefault="00000000">
      <w:pPr>
        <w:pStyle w:val="a7"/>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7</w:t>
      </w:r>
      <w:r>
        <w:fldChar w:fldCharType="end"/>
      </w:r>
      <w:bookmarkStart w:id="33" w:name="_Toc10668"/>
      <w:r>
        <w:rPr>
          <w:rFonts w:hint="eastAsia"/>
          <w:lang w:eastAsia="zh-CN"/>
        </w:rPr>
        <w:t xml:space="preserve"> </w:t>
      </w:r>
      <w:r>
        <w:rPr>
          <w:rFonts w:hint="eastAsia"/>
          <w:lang w:eastAsia="zh-CN"/>
        </w:rPr>
        <w:t>核心变量相关关系椭圆矩阵图</w:t>
      </w:r>
      <w:bookmarkEnd w:id="33"/>
    </w:p>
    <w:p w14:paraId="44399501" w14:textId="77777777" w:rsidR="00B84757" w:rsidRDefault="00000000">
      <w:pPr>
        <w:ind w:firstLine="720"/>
        <w:rPr>
          <w:lang w:eastAsia="zh-CN"/>
        </w:rPr>
      </w:pPr>
      <w:r>
        <w:rPr>
          <w:rFonts w:hint="eastAsia"/>
          <w:lang w:eastAsia="zh-CN"/>
        </w:rPr>
        <w:t>相关关系图进一步展示了主要变量之间的线性关联方向与强弱。总体上，碳排放效率与夜间灯光聚合度、城镇化率、研发投入和对外开放水平呈正相关，与能源结构呈负相关，这与表</w:t>
      </w:r>
      <w:r>
        <w:rPr>
          <w:rFonts w:hint="eastAsia"/>
          <w:lang w:eastAsia="zh-CN"/>
        </w:rPr>
        <w:t>5</w:t>
      </w:r>
      <w:r>
        <w:rPr>
          <w:rFonts w:hint="eastAsia"/>
          <w:lang w:eastAsia="zh-CN"/>
        </w:rPr>
        <w:t>中的相关系数结果基本一致，也为后续回归分析提供了初步直观依据。</w:t>
      </w:r>
    </w:p>
    <w:p w14:paraId="70162013" w14:textId="77777777" w:rsidR="00B84757" w:rsidRDefault="00000000">
      <w:pPr>
        <w:pStyle w:val="a7"/>
      </w:pPr>
      <w:r>
        <w:t>表</w:t>
      </w:r>
      <w:r>
        <w:t xml:space="preserve"> </w:t>
      </w:r>
      <w:r>
        <w:fldChar w:fldCharType="begin"/>
      </w:r>
      <w:r>
        <w:instrText xml:space="preserve"> SEQ </w:instrText>
      </w:r>
      <w:r>
        <w:instrText>表</w:instrText>
      </w:r>
      <w:r>
        <w:instrText xml:space="preserve"> \* ARABIC </w:instrText>
      </w:r>
      <w:r>
        <w:fldChar w:fldCharType="separate"/>
      </w:r>
      <w:r>
        <w:t>6</w:t>
      </w:r>
      <w:r>
        <w:fldChar w:fldCharType="end"/>
      </w:r>
      <w:bookmarkStart w:id="34" w:name="_Toc5016"/>
      <w:r>
        <w:rPr>
          <w:rFonts w:hint="eastAsia"/>
          <w:lang w:eastAsia="zh-CN"/>
        </w:rPr>
        <w:t xml:space="preserve"> </w:t>
      </w:r>
      <w:r>
        <w:t>VIF</w:t>
      </w:r>
      <w:r>
        <w:t>检验结果</w:t>
      </w:r>
      <w:bookmarkEnd w:id="34"/>
    </w:p>
    <w:tbl>
      <w:tblPr>
        <w:tblStyle w:val="af6"/>
        <w:tblW w:w="0" w:type="auto"/>
        <w:tblBorders>
          <w:left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868"/>
        <w:gridCol w:w="2893"/>
        <w:gridCol w:w="2885"/>
      </w:tblGrid>
      <w:tr w:rsidR="00B84757" w14:paraId="351B2182" w14:textId="77777777">
        <w:tc>
          <w:tcPr>
            <w:tcW w:w="3022" w:type="dxa"/>
            <w:tcBorders>
              <w:top w:val="single" w:sz="12" w:space="0" w:color="000000"/>
              <w:bottom w:val="single" w:sz="4" w:space="0" w:color="000000"/>
              <w:tl2br w:val="nil"/>
            </w:tcBorders>
            <w:shd w:val="clear" w:color="auto" w:fill="FFFFFF"/>
          </w:tcPr>
          <w:p w14:paraId="1BD97B81" w14:textId="77777777" w:rsidR="00B84757" w:rsidRDefault="00000000">
            <w:pPr>
              <w:spacing w:after="0"/>
              <w:jc w:val="center"/>
              <w:rPr>
                <w:color w:val="000000"/>
                <w:szCs w:val="24"/>
              </w:rPr>
            </w:pPr>
            <w:r>
              <w:rPr>
                <w:rFonts w:ascii="宋体" w:hAnsi="宋体"/>
                <w:color w:val="000000"/>
                <w:szCs w:val="24"/>
              </w:rPr>
              <w:lastRenderedPageBreak/>
              <w:t>变量</w:t>
            </w:r>
          </w:p>
        </w:tc>
        <w:tc>
          <w:tcPr>
            <w:tcW w:w="3022" w:type="dxa"/>
            <w:tcBorders>
              <w:top w:val="single" w:sz="12" w:space="0" w:color="000000"/>
              <w:bottom w:val="single" w:sz="4" w:space="0" w:color="000000"/>
            </w:tcBorders>
            <w:shd w:val="clear" w:color="auto" w:fill="FFFFFF"/>
          </w:tcPr>
          <w:p w14:paraId="0163CE6C" w14:textId="77777777" w:rsidR="00B84757" w:rsidRDefault="00000000">
            <w:pPr>
              <w:spacing w:after="0"/>
              <w:jc w:val="center"/>
              <w:rPr>
                <w:color w:val="000000"/>
                <w:szCs w:val="24"/>
              </w:rPr>
            </w:pPr>
            <w:r>
              <w:rPr>
                <w:rFonts w:ascii="宋体" w:hAnsi="宋体"/>
                <w:color w:val="000000"/>
                <w:szCs w:val="24"/>
              </w:rPr>
              <w:t>VIF</w:t>
            </w:r>
          </w:p>
        </w:tc>
        <w:tc>
          <w:tcPr>
            <w:tcW w:w="3022" w:type="dxa"/>
            <w:tcBorders>
              <w:top w:val="single" w:sz="12" w:space="0" w:color="000000"/>
              <w:bottom w:val="single" w:sz="4" w:space="0" w:color="000000"/>
            </w:tcBorders>
            <w:shd w:val="clear" w:color="auto" w:fill="FFFFFF"/>
          </w:tcPr>
          <w:p w14:paraId="6CF2AE71" w14:textId="77777777" w:rsidR="00B84757" w:rsidRDefault="00000000">
            <w:pPr>
              <w:spacing w:after="0"/>
              <w:jc w:val="center"/>
              <w:rPr>
                <w:color w:val="000000"/>
                <w:szCs w:val="24"/>
              </w:rPr>
            </w:pPr>
            <w:r>
              <w:rPr>
                <w:rFonts w:ascii="宋体" w:hAnsi="宋体"/>
                <w:color w:val="000000"/>
                <w:szCs w:val="24"/>
              </w:rPr>
              <w:t>容忍度</w:t>
            </w:r>
          </w:p>
        </w:tc>
      </w:tr>
      <w:tr w:rsidR="00B84757" w14:paraId="7BEB1E7B" w14:textId="77777777">
        <w:tc>
          <w:tcPr>
            <w:tcW w:w="3022" w:type="dxa"/>
            <w:tcBorders>
              <w:top w:val="single" w:sz="4" w:space="0" w:color="000000"/>
            </w:tcBorders>
            <w:shd w:val="clear" w:color="auto" w:fill="FFFFFF"/>
          </w:tcPr>
          <w:p w14:paraId="6CE1525D" w14:textId="77777777" w:rsidR="00B84757" w:rsidRDefault="00000000">
            <w:pPr>
              <w:spacing w:after="0"/>
              <w:jc w:val="center"/>
              <w:rPr>
                <w:color w:val="000000"/>
                <w:szCs w:val="24"/>
              </w:rPr>
            </w:pPr>
            <w:r>
              <w:rPr>
                <w:rFonts w:ascii="宋体" w:hAnsi="宋体"/>
                <w:color w:val="000000"/>
                <w:szCs w:val="24"/>
              </w:rPr>
              <w:t>lntl</w:t>
            </w:r>
          </w:p>
        </w:tc>
        <w:tc>
          <w:tcPr>
            <w:tcW w:w="3022" w:type="dxa"/>
            <w:tcBorders>
              <w:top w:val="single" w:sz="4" w:space="0" w:color="000000"/>
            </w:tcBorders>
            <w:shd w:val="clear" w:color="auto" w:fill="FFFFFF"/>
          </w:tcPr>
          <w:p w14:paraId="1B21A755" w14:textId="77777777" w:rsidR="00B84757" w:rsidRDefault="00000000">
            <w:pPr>
              <w:spacing w:after="0"/>
              <w:jc w:val="center"/>
              <w:rPr>
                <w:color w:val="000000"/>
                <w:szCs w:val="24"/>
              </w:rPr>
            </w:pPr>
            <w:r>
              <w:rPr>
                <w:rFonts w:ascii="宋体" w:hAnsi="宋体"/>
                <w:color w:val="000000"/>
                <w:szCs w:val="24"/>
              </w:rPr>
              <w:t>17.8900</w:t>
            </w:r>
          </w:p>
        </w:tc>
        <w:tc>
          <w:tcPr>
            <w:tcW w:w="3022" w:type="dxa"/>
            <w:tcBorders>
              <w:top w:val="single" w:sz="4" w:space="0" w:color="000000"/>
            </w:tcBorders>
            <w:shd w:val="clear" w:color="auto" w:fill="FFFFFF"/>
          </w:tcPr>
          <w:p w14:paraId="751D30EE" w14:textId="77777777" w:rsidR="00B84757" w:rsidRDefault="00000000">
            <w:pPr>
              <w:spacing w:after="0"/>
              <w:jc w:val="center"/>
              <w:rPr>
                <w:color w:val="000000"/>
                <w:szCs w:val="24"/>
              </w:rPr>
            </w:pPr>
            <w:r>
              <w:rPr>
                <w:rFonts w:ascii="宋体" w:hAnsi="宋体"/>
                <w:color w:val="000000"/>
                <w:szCs w:val="24"/>
              </w:rPr>
              <w:t>0.0559</w:t>
            </w:r>
          </w:p>
        </w:tc>
      </w:tr>
      <w:tr w:rsidR="00B84757" w14:paraId="44296B9A" w14:textId="77777777">
        <w:tc>
          <w:tcPr>
            <w:tcW w:w="3022" w:type="dxa"/>
            <w:shd w:val="clear" w:color="auto" w:fill="FFFFFF"/>
          </w:tcPr>
          <w:p w14:paraId="05FD56FD" w14:textId="77777777" w:rsidR="00B84757" w:rsidRDefault="00000000">
            <w:pPr>
              <w:spacing w:after="0"/>
              <w:jc w:val="center"/>
              <w:rPr>
                <w:color w:val="000000"/>
                <w:szCs w:val="24"/>
              </w:rPr>
            </w:pPr>
            <w:r>
              <w:rPr>
                <w:rFonts w:ascii="宋体" w:hAnsi="宋体"/>
                <w:color w:val="000000"/>
                <w:szCs w:val="24"/>
              </w:rPr>
              <w:t>ind</w:t>
            </w:r>
          </w:p>
        </w:tc>
        <w:tc>
          <w:tcPr>
            <w:tcW w:w="3022" w:type="dxa"/>
            <w:shd w:val="clear" w:color="auto" w:fill="FFFFFF"/>
          </w:tcPr>
          <w:p w14:paraId="62FED697" w14:textId="77777777" w:rsidR="00B84757" w:rsidRDefault="00000000">
            <w:pPr>
              <w:spacing w:after="0"/>
              <w:jc w:val="center"/>
              <w:rPr>
                <w:color w:val="000000"/>
                <w:szCs w:val="24"/>
              </w:rPr>
            </w:pPr>
            <w:r>
              <w:rPr>
                <w:rFonts w:ascii="宋体" w:hAnsi="宋体"/>
                <w:color w:val="000000"/>
                <w:szCs w:val="24"/>
              </w:rPr>
              <w:t>33.5406</w:t>
            </w:r>
          </w:p>
        </w:tc>
        <w:tc>
          <w:tcPr>
            <w:tcW w:w="3022" w:type="dxa"/>
            <w:shd w:val="clear" w:color="auto" w:fill="FFFFFF"/>
          </w:tcPr>
          <w:p w14:paraId="657B3EE9" w14:textId="77777777" w:rsidR="00B84757" w:rsidRDefault="00000000">
            <w:pPr>
              <w:spacing w:after="0"/>
              <w:jc w:val="center"/>
              <w:rPr>
                <w:color w:val="000000"/>
                <w:szCs w:val="24"/>
              </w:rPr>
            </w:pPr>
            <w:r>
              <w:rPr>
                <w:rFonts w:ascii="宋体" w:hAnsi="宋体"/>
                <w:color w:val="000000"/>
                <w:szCs w:val="24"/>
              </w:rPr>
              <w:t>0.0298</w:t>
            </w:r>
          </w:p>
        </w:tc>
      </w:tr>
      <w:tr w:rsidR="00B84757" w14:paraId="0235DB08" w14:textId="77777777">
        <w:tc>
          <w:tcPr>
            <w:tcW w:w="3022" w:type="dxa"/>
            <w:shd w:val="clear" w:color="auto" w:fill="FFFFFF"/>
          </w:tcPr>
          <w:p w14:paraId="0411CF90" w14:textId="77777777" w:rsidR="00B84757" w:rsidRDefault="00000000">
            <w:pPr>
              <w:spacing w:after="0"/>
              <w:jc w:val="center"/>
              <w:rPr>
                <w:color w:val="000000"/>
                <w:szCs w:val="24"/>
              </w:rPr>
            </w:pPr>
            <w:r>
              <w:rPr>
                <w:rFonts w:ascii="宋体" w:hAnsi="宋体"/>
                <w:color w:val="000000"/>
                <w:szCs w:val="24"/>
              </w:rPr>
              <w:t>urb</w:t>
            </w:r>
          </w:p>
        </w:tc>
        <w:tc>
          <w:tcPr>
            <w:tcW w:w="3022" w:type="dxa"/>
            <w:shd w:val="clear" w:color="auto" w:fill="FFFFFF"/>
          </w:tcPr>
          <w:p w14:paraId="3A5467E8" w14:textId="77777777" w:rsidR="00B84757" w:rsidRDefault="00000000">
            <w:pPr>
              <w:spacing w:after="0"/>
              <w:jc w:val="center"/>
              <w:rPr>
                <w:color w:val="000000"/>
                <w:szCs w:val="24"/>
              </w:rPr>
            </w:pPr>
            <w:r>
              <w:rPr>
                <w:rFonts w:ascii="宋体" w:hAnsi="宋体"/>
                <w:color w:val="000000"/>
                <w:szCs w:val="24"/>
              </w:rPr>
              <w:t>45.4590</w:t>
            </w:r>
          </w:p>
        </w:tc>
        <w:tc>
          <w:tcPr>
            <w:tcW w:w="3022" w:type="dxa"/>
            <w:shd w:val="clear" w:color="auto" w:fill="FFFFFF"/>
          </w:tcPr>
          <w:p w14:paraId="532309A5" w14:textId="77777777" w:rsidR="00B84757" w:rsidRDefault="00000000">
            <w:pPr>
              <w:spacing w:after="0"/>
              <w:jc w:val="center"/>
              <w:rPr>
                <w:color w:val="000000"/>
                <w:szCs w:val="24"/>
              </w:rPr>
            </w:pPr>
            <w:r>
              <w:rPr>
                <w:rFonts w:ascii="宋体" w:hAnsi="宋体"/>
                <w:color w:val="000000"/>
                <w:szCs w:val="24"/>
              </w:rPr>
              <w:t>0.0220</w:t>
            </w:r>
          </w:p>
        </w:tc>
      </w:tr>
      <w:tr w:rsidR="00B84757" w14:paraId="1FCE7759" w14:textId="77777777">
        <w:tc>
          <w:tcPr>
            <w:tcW w:w="3022" w:type="dxa"/>
            <w:shd w:val="clear" w:color="auto" w:fill="FFFFFF"/>
          </w:tcPr>
          <w:p w14:paraId="67207E72" w14:textId="77777777" w:rsidR="00B84757" w:rsidRDefault="00000000">
            <w:pPr>
              <w:spacing w:after="0"/>
              <w:jc w:val="center"/>
              <w:rPr>
                <w:color w:val="000000"/>
                <w:szCs w:val="24"/>
              </w:rPr>
            </w:pPr>
            <w:r>
              <w:rPr>
                <w:rFonts w:ascii="宋体" w:hAnsi="宋体"/>
                <w:color w:val="000000"/>
                <w:szCs w:val="24"/>
              </w:rPr>
              <w:t>rd</w:t>
            </w:r>
          </w:p>
        </w:tc>
        <w:tc>
          <w:tcPr>
            <w:tcW w:w="3022" w:type="dxa"/>
            <w:shd w:val="clear" w:color="auto" w:fill="FFFFFF"/>
          </w:tcPr>
          <w:p w14:paraId="649FD2A0" w14:textId="77777777" w:rsidR="00B84757" w:rsidRDefault="00000000">
            <w:pPr>
              <w:spacing w:after="0"/>
              <w:jc w:val="center"/>
              <w:rPr>
                <w:color w:val="000000"/>
                <w:szCs w:val="24"/>
              </w:rPr>
            </w:pPr>
            <w:r>
              <w:rPr>
                <w:rFonts w:ascii="宋体" w:hAnsi="宋体"/>
                <w:color w:val="000000"/>
                <w:szCs w:val="24"/>
              </w:rPr>
              <w:t>11.5645</w:t>
            </w:r>
          </w:p>
        </w:tc>
        <w:tc>
          <w:tcPr>
            <w:tcW w:w="3022" w:type="dxa"/>
            <w:shd w:val="clear" w:color="auto" w:fill="FFFFFF"/>
          </w:tcPr>
          <w:p w14:paraId="62603497" w14:textId="77777777" w:rsidR="00B84757" w:rsidRDefault="00000000">
            <w:pPr>
              <w:spacing w:after="0"/>
              <w:jc w:val="center"/>
              <w:rPr>
                <w:color w:val="000000"/>
                <w:szCs w:val="24"/>
              </w:rPr>
            </w:pPr>
            <w:r>
              <w:rPr>
                <w:rFonts w:ascii="宋体" w:hAnsi="宋体"/>
                <w:color w:val="000000"/>
                <w:szCs w:val="24"/>
              </w:rPr>
              <w:t>0.0865</w:t>
            </w:r>
          </w:p>
        </w:tc>
      </w:tr>
      <w:tr w:rsidR="00B84757" w14:paraId="03DE046C" w14:textId="77777777">
        <w:tc>
          <w:tcPr>
            <w:tcW w:w="3022" w:type="dxa"/>
            <w:shd w:val="clear" w:color="auto" w:fill="FFFFFF"/>
          </w:tcPr>
          <w:p w14:paraId="4EC559CA" w14:textId="77777777" w:rsidR="00B84757" w:rsidRDefault="00000000">
            <w:pPr>
              <w:spacing w:after="0"/>
              <w:jc w:val="center"/>
              <w:rPr>
                <w:color w:val="000000"/>
                <w:szCs w:val="24"/>
              </w:rPr>
            </w:pPr>
            <w:r>
              <w:rPr>
                <w:rFonts w:ascii="宋体" w:hAnsi="宋体"/>
                <w:color w:val="000000"/>
                <w:szCs w:val="24"/>
              </w:rPr>
              <w:t>open</w:t>
            </w:r>
          </w:p>
        </w:tc>
        <w:tc>
          <w:tcPr>
            <w:tcW w:w="3022" w:type="dxa"/>
            <w:shd w:val="clear" w:color="auto" w:fill="FFFFFF"/>
          </w:tcPr>
          <w:p w14:paraId="041266AA" w14:textId="77777777" w:rsidR="00B84757" w:rsidRDefault="00000000">
            <w:pPr>
              <w:spacing w:after="0"/>
              <w:jc w:val="center"/>
              <w:rPr>
                <w:color w:val="000000"/>
                <w:szCs w:val="24"/>
              </w:rPr>
            </w:pPr>
            <w:r>
              <w:rPr>
                <w:rFonts w:ascii="宋体" w:hAnsi="宋体"/>
                <w:color w:val="000000"/>
                <w:szCs w:val="24"/>
              </w:rPr>
              <w:t>14.2813</w:t>
            </w:r>
          </w:p>
        </w:tc>
        <w:tc>
          <w:tcPr>
            <w:tcW w:w="3022" w:type="dxa"/>
            <w:shd w:val="clear" w:color="auto" w:fill="FFFFFF"/>
          </w:tcPr>
          <w:p w14:paraId="50F937C9" w14:textId="77777777" w:rsidR="00B84757" w:rsidRDefault="00000000">
            <w:pPr>
              <w:spacing w:after="0"/>
              <w:jc w:val="center"/>
              <w:rPr>
                <w:color w:val="000000"/>
                <w:szCs w:val="24"/>
              </w:rPr>
            </w:pPr>
            <w:r>
              <w:rPr>
                <w:rFonts w:ascii="宋体" w:hAnsi="宋体"/>
                <w:color w:val="000000"/>
                <w:szCs w:val="24"/>
              </w:rPr>
              <w:t>0.0700</w:t>
            </w:r>
          </w:p>
        </w:tc>
      </w:tr>
      <w:tr w:rsidR="00B84757" w14:paraId="58059598" w14:textId="77777777">
        <w:tc>
          <w:tcPr>
            <w:tcW w:w="3022" w:type="dxa"/>
            <w:tcBorders>
              <w:bottom w:val="single" w:sz="12" w:space="0" w:color="000000"/>
            </w:tcBorders>
            <w:shd w:val="clear" w:color="auto" w:fill="FFFFFF"/>
          </w:tcPr>
          <w:p w14:paraId="775C5402" w14:textId="77777777" w:rsidR="00B84757" w:rsidRDefault="00000000">
            <w:pPr>
              <w:spacing w:after="0"/>
              <w:jc w:val="center"/>
              <w:rPr>
                <w:color w:val="000000"/>
                <w:szCs w:val="24"/>
              </w:rPr>
            </w:pPr>
            <w:r>
              <w:rPr>
                <w:rFonts w:ascii="宋体" w:hAnsi="宋体"/>
                <w:color w:val="000000"/>
                <w:szCs w:val="24"/>
              </w:rPr>
              <w:t>es</w:t>
            </w:r>
          </w:p>
        </w:tc>
        <w:tc>
          <w:tcPr>
            <w:tcW w:w="3022" w:type="dxa"/>
            <w:tcBorders>
              <w:bottom w:val="single" w:sz="12" w:space="0" w:color="000000"/>
            </w:tcBorders>
            <w:shd w:val="clear" w:color="auto" w:fill="FFFFFF"/>
          </w:tcPr>
          <w:p w14:paraId="2C0FDA72" w14:textId="77777777" w:rsidR="00B84757" w:rsidRDefault="00000000">
            <w:pPr>
              <w:spacing w:after="0"/>
              <w:jc w:val="center"/>
              <w:rPr>
                <w:color w:val="000000"/>
                <w:szCs w:val="24"/>
              </w:rPr>
            </w:pPr>
            <w:r>
              <w:rPr>
                <w:rFonts w:ascii="宋体" w:hAnsi="宋体"/>
                <w:color w:val="000000"/>
                <w:szCs w:val="24"/>
              </w:rPr>
              <w:t>15.1535</w:t>
            </w:r>
          </w:p>
        </w:tc>
        <w:tc>
          <w:tcPr>
            <w:tcW w:w="3022" w:type="dxa"/>
            <w:tcBorders>
              <w:bottom w:val="single" w:sz="12" w:space="0" w:color="000000"/>
            </w:tcBorders>
            <w:shd w:val="clear" w:color="auto" w:fill="FFFFFF"/>
          </w:tcPr>
          <w:p w14:paraId="773C1BDB" w14:textId="77777777" w:rsidR="00B84757" w:rsidRDefault="00000000">
            <w:pPr>
              <w:spacing w:after="0"/>
              <w:jc w:val="center"/>
              <w:rPr>
                <w:color w:val="000000"/>
                <w:szCs w:val="24"/>
              </w:rPr>
            </w:pPr>
            <w:r>
              <w:rPr>
                <w:rFonts w:ascii="宋体" w:hAnsi="宋体"/>
                <w:color w:val="000000"/>
                <w:szCs w:val="24"/>
              </w:rPr>
              <w:t>0.0660</w:t>
            </w:r>
          </w:p>
        </w:tc>
      </w:tr>
    </w:tbl>
    <w:p w14:paraId="6948DDEE" w14:textId="77777777" w:rsidR="00B84757" w:rsidRDefault="00000000">
      <w:pPr>
        <w:jc w:val="center"/>
        <w:rPr>
          <w:lang w:eastAsia="zh-CN"/>
        </w:rPr>
      </w:pPr>
      <w:r>
        <w:rPr>
          <w:noProof/>
          <w:lang w:eastAsia="zh-CN"/>
        </w:rPr>
        <w:drawing>
          <wp:inline distT="0" distB="0" distL="114300" distR="114300" wp14:anchorId="20E64939" wp14:editId="3D93D1CB">
            <wp:extent cx="5399405" cy="3212465"/>
            <wp:effectExtent l="0" t="0" r="10795" b="635"/>
            <wp:docPr id="24" name="图片 24" descr="vif_cleveland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vif_cleveland_plot"/>
                    <pic:cNvPicPr>
                      <a:picLocks noChangeAspect="1"/>
                    </pic:cNvPicPr>
                  </pic:nvPicPr>
                  <pic:blipFill>
                    <a:blip r:embed="rId16"/>
                    <a:stretch>
                      <a:fillRect/>
                    </a:stretch>
                  </pic:blipFill>
                  <pic:spPr>
                    <a:xfrm>
                      <a:off x="0" y="0"/>
                      <a:ext cx="5399405" cy="3212465"/>
                    </a:xfrm>
                    <a:prstGeom prst="rect">
                      <a:avLst/>
                    </a:prstGeom>
                  </pic:spPr>
                </pic:pic>
              </a:graphicData>
            </a:graphic>
          </wp:inline>
        </w:drawing>
      </w:r>
    </w:p>
    <w:p w14:paraId="2B76DB03" w14:textId="77777777" w:rsidR="00B84757" w:rsidRDefault="00000000">
      <w:pPr>
        <w:pStyle w:val="a7"/>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8</w:t>
      </w:r>
      <w:r>
        <w:fldChar w:fldCharType="end"/>
      </w:r>
      <w:bookmarkStart w:id="35" w:name="_Toc5525"/>
      <w:r>
        <w:rPr>
          <w:rFonts w:hint="eastAsia"/>
          <w:lang w:eastAsia="zh-CN"/>
        </w:rPr>
        <w:t xml:space="preserve"> </w:t>
      </w:r>
      <w:r>
        <w:rPr>
          <w:rFonts w:hint="eastAsia"/>
          <w:lang w:eastAsia="zh-CN"/>
        </w:rPr>
        <w:t>核心解释变量</w:t>
      </w:r>
      <w:r>
        <w:rPr>
          <w:rFonts w:hint="eastAsia"/>
          <w:lang w:eastAsia="zh-CN"/>
        </w:rPr>
        <w:t>VIF</w:t>
      </w:r>
      <w:r>
        <w:rPr>
          <w:rFonts w:hint="eastAsia"/>
          <w:lang w:eastAsia="zh-CN"/>
        </w:rPr>
        <w:t>检验图</w:t>
      </w:r>
      <w:bookmarkEnd w:id="35"/>
    </w:p>
    <w:p w14:paraId="09BCDCFB" w14:textId="77777777" w:rsidR="00B84757" w:rsidRDefault="00000000">
      <w:pPr>
        <w:ind w:firstLine="720"/>
        <w:rPr>
          <w:lang w:eastAsia="zh-CN"/>
        </w:rPr>
      </w:pPr>
      <w:r>
        <w:rPr>
          <w:rFonts w:hint="eastAsia"/>
          <w:lang w:eastAsia="zh-CN"/>
        </w:rPr>
        <w:t>VIF</w:t>
      </w:r>
      <w:r>
        <w:rPr>
          <w:rFonts w:hint="eastAsia"/>
          <w:lang w:eastAsia="zh-CN"/>
        </w:rPr>
        <w:t>检验结果表明，部分解释变量之间存在较强相关性，说明简单相关层面下确有多重共线性风险。基于此，本文在后续估计中采用双向固定效应模型，并结合稳健标准误和稳健性检验对回归结果进行进一步校验，以避免对单一系数作过度解读。</w:t>
      </w:r>
    </w:p>
    <w:p w14:paraId="2D764953" w14:textId="77777777" w:rsidR="00B84757" w:rsidRDefault="00000000">
      <w:pPr>
        <w:pStyle w:val="1"/>
        <w:jc w:val="both"/>
        <w:rPr>
          <w:color w:val="auto"/>
          <w:szCs w:val="30"/>
          <w:lang w:eastAsia="zh-CN"/>
        </w:rPr>
      </w:pPr>
      <w:bookmarkStart w:id="36" w:name="_Toc5121"/>
      <w:r>
        <w:rPr>
          <w:color w:val="auto"/>
          <w:szCs w:val="30"/>
          <w:lang w:eastAsia="zh-CN"/>
        </w:rPr>
        <w:lastRenderedPageBreak/>
        <w:t>五、省际碳排放效率测度结果</w:t>
      </w:r>
      <w:bookmarkEnd w:id="36"/>
    </w:p>
    <w:p w14:paraId="2DE7BB36" w14:textId="77777777" w:rsidR="00B84757" w:rsidRDefault="00000000">
      <w:pPr>
        <w:pStyle w:val="21"/>
        <w:jc w:val="both"/>
        <w:rPr>
          <w:rFonts w:ascii="楷体" w:hAnsi="楷体"/>
          <w:color w:val="auto"/>
          <w:lang w:eastAsia="zh-CN"/>
        </w:rPr>
      </w:pPr>
      <w:bookmarkStart w:id="37" w:name="_Toc4146"/>
      <w:r>
        <w:rPr>
          <w:rFonts w:ascii="楷体" w:hAnsi="楷体"/>
          <w:color w:val="auto"/>
          <w:lang w:eastAsia="zh-CN"/>
        </w:rPr>
        <w:t>（一）静态碳排放效率的总体特征</w:t>
      </w:r>
      <w:bookmarkEnd w:id="37"/>
    </w:p>
    <w:p w14:paraId="2E05DA17"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由第一阶段测度结果可知，2015—2022年全国30个省份碳排放效率均值为0.5272，其中最高值为1.2500，最低值为0.2180，表明我国省域碳排放效率存在较为明显的地区差异。从总体分布看，不同地区在经济产出与碳排放约束之间的协调能力仍存在显著分化，这一判断与现有关于中国区域环境效率“整体改善但差异明显”的研究结论基本一致。</w:t>
      </w:r>
    </w:p>
    <w:p w14:paraId="318C652B"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从时间演变看，研究期内全国平均碳排放效率总体呈“波动上升”特征：由2015年的0.4183提升至2022年的0.6350，期间在2021年出现轻微回落，但并未改变整体改善趋势。这表明在“双碳”目标、节能减排政策和产业结构调整共同推动下，省域绿色发展效率总体趋于提升，但不同省份改善速度并不一致。由于本文采用的是超效率SBM模型，部分省份效率值大于1属于正常现象，这意味着该地区不仅位于有效前沿附近，而且在有效单元内部仍具有相对优势。</w:t>
      </w:r>
    </w:p>
    <w:p w14:paraId="72120107" w14:textId="77777777" w:rsidR="00B84757" w:rsidRDefault="00000000">
      <w:pPr>
        <w:pStyle w:val="a7"/>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Pr>
          <w:lang w:eastAsia="zh-CN"/>
        </w:rPr>
        <w:t>7</w:t>
      </w:r>
      <w:r>
        <w:fldChar w:fldCharType="end"/>
      </w:r>
      <w:bookmarkStart w:id="38" w:name="_Toc24853"/>
      <w:r>
        <w:rPr>
          <w:rFonts w:hint="eastAsia"/>
          <w:lang w:eastAsia="zh-CN"/>
        </w:rPr>
        <w:t xml:space="preserve"> </w:t>
      </w:r>
      <w:r>
        <w:rPr>
          <w:lang w:eastAsia="zh-CN"/>
        </w:rPr>
        <w:t>2015—2022</w:t>
      </w:r>
      <w:r>
        <w:rPr>
          <w:lang w:eastAsia="zh-CN"/>
        </w:rPr>
        <w:t>年全国平均碳排放效率年度统计</w:t>
      </w:r>
      <w:bookmarkEnd w:id="38"/>
    </w:p>
    <w:tbl>
      <w:tblPr>
        <w:tblStyle w:val="af6"/>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711"/>
        <w:gridCol w:w="1733"/>
        <w:gridCol w:w="1734"/>
        <w:gridCol w:w="1734"/>
        <w:gridCol w:w="1734"/>
      </w:tblGrid>
      <w:tr w:rsidR="00B84757" w14:paraId="7895308F" w14:textId="77777777">
        <w:trPr>
          <w:jc w:val="center"/>
        </w:trPr>
        <w:tc>
          <w:tcPr>
            <w:tcW w:w="1813" w:type="dxa"/>
            <w:tcBorders>
              <w:top w:val="single" w:sz="12" w:space="0" w:color="000000"/>
              <w:bottom w:val="single" w:sz="4" w:space="0" w:color="000000"/>
              <w:tl2br w:val="nil"/>
            </w:tcBorders>
            <w:shd w:val="clear" w:color="auto" w:fill="FFFFFF"/>
          </w:tcPr>
          <w:p w14:paraId="37BE64A7" w14:textId="77777777" w:rsidR="00B84757" w:rsidRDefault="00000000">
            <w:pPr>
              <w:spacing w:after="0"/>
              <w:jc w:val="both"/>
              <w:rPr>
                <w:rFonts w:ascii="宋体" w:hAnsi="宋体"/>
                <w:color w:val="000000"/>
                <w:szCs w:val="24"/>
              </w:rPr>
            </w:pPr>
            <w:r>
              <w:rPr>
                <w:rFonts w:ascii="宋体" w:hAnsi="宋体"/>
                <w:color w:val="000000"/>
                <w:szCs w:val="24"/>
              </w:rPr>
              <w:t>年份</w:t>
            </w:r>
          </w:p>
        </w:tc>
        <w:tc>
          <w:tcPr>
            <w:tcW w:w="1813" w:type="dxa"/>
            <w:tcBorders>
              <w:top w:val="single" w:sz="12" w:space="0" w:color="000000"/>
              <w:bottom w:val="single" w:sz="4" w:space="0" w:color="000000"/>
            </w:tcBorders>
            <w:shd w:val="clear" w:color="auto" w:fill="FFFFFF"/>
          </w:tcPr>
          <w:p w14:paraId="1E281EEE" w14:textId="77777777" w:rsidR="00B84757" w:rsidRDefault="00000000">
            <w:pPr>
              <w:spacing w:after="0"/>
              <w:jc w:val="both"/>
              <w:rPr>
                <w:rFonts w:ascii="宋体" w:hAnsi="宋体"/>
                <w:color w:val="000000"/>
                <w:szCs w:val="24"/>
              </w:rPr>
            </w:pPr>
            <w:r>
              <w:rPr>
                <w:rFonts w:ascii="宋体" w:hAnsi="宋体"/>
                <w:color w:val="000000"/>
                <w:szCs w:val="24"/>
              </w:rPr>
              <w:t>均值</w:t>
            </w:r>
          </w:p>
        </w:tc>
        <w:tc>
          <w:tcPr>
            <w:tcW w:w="1813" w:type="dxa"/>
            <w:tcBorders>
              <w:top w:val="single" w:sz="12" w:space="0" w:color="000000"/>
              <w:bottom w:val="single" w:sz="4" w:space="0" w:color="000000"/>
            </w:tcBorders>
            <w:shd w:val="clear" w:color="auto" w:fill="FFFFFF"/>
          </w:tcPr>
          <w:p w14:paraId="04375626" w14:textId="77777777" w:rsidR="00B84757" w:rsidRDefault="00000000">
            <w:pPr>
              <w:spacing w:after="0"/>
              <w:jc w:val="both"/>
              <w:rPr>
                <w:rFonts w:ascii="宋体" w:hAnsi="宋体"/>
                <w:color w:val="000000"/>
                <w:szCs w:val="24"/>
              </w:rPr>
            </w:pPr>
            <w:r>
              <w:rPr>
                <w:rFonts w:ascii="宋体" w:hAnsi="宋体"/>
                <w:color w:val="000000"/>
                <w:szCs w:val="24"/>
              </w:rPr>
              <w:t>中位数</w:t>
            </w:r>
          </w:p>
        </w:tc>
        <w:tc>
          <w:tcPr>
            <w:tcW w:w="1813" w:type="dxa"/>
            <w:tcBorders>
              <w:top w:val="single" w:sz="12" w:space="0" w:color="000000"/>
              <w:bottom w:val="single" w:sz="4" w:space="0" w:color="000000"/>
            </w:tcBorders>
            <w:shd w:val="clear" w:color="auto" w:fill="FFFFFF"/>
          </w:tcPr>
          <w:p w14:paraId="59F0A06F" w14:textId="77777777" w:rsidR="00B84757" w:rsidRDefault="00000000">
            <w:pPr>
              <w:spacing w:after="0"/>
              <w:jc w:val="both"/>
              <w:rPr>
                <w:rFonts w:ascii="宋体" w:hAnsi="宋体"/>
                <w:color w:val="000000"/>
                <w:szCs w:val="24"/>
              </w:rPr>
            </w:pPr>
            <w:r>
              <w:rPr>
                <w:rFonts w:ascii="宋体" w:hAnsi="宋体"/>
                <w:color w:val="000000"/>
                <w:szCs w:val="24"/>
              </w:rPr>
              <w:t>最高值</w:t>
            </w:r>
          </w:p>
        </w:tc>
        <w:tc>
          <w:tcPr>
            <w:tcW w:w="1813" w:type="dxa"/>
            <w:tcBorders>
              <w:top w:val="single" w:sz="12" w:space="0" w:color="000000"/>
              <w:bottom w:val="single" w:sz="4" w:space="0" w:color="000000"/>
            </w:tcBorders>
            <w:shd w:val="clear" w:color="auto" w:fill="FFFFFF"/>
          </w:tcPr>
          <w:p w14:paraId="7F4797BD" w14:textId="77777777" w:rsidR="00B84757" w:rsidRDefault="00000000">
            <w:pPr>
              <w:spacing w:after="0"/>
              <w:jc w:val="both"/>
              <w:rPr>
                <w:rFonts w:ascii="宋体" w:hAnsi="宋体"/>
                <w:color w:val="000000"/>
                <w:szCs w:val="24"/>
              </w:rPr>
            </w:pPr>
            <w:r>
              <w:rPr>
                <w:rFonts w:ascii="宋体" w:hAnsi="宋体"/>
                <w:color w:val="000000"/>
                <w:szCs w:val="24"/>
              </w:rPr>
              <w:t>最低值</w:t>
            </w:r>
          </w:p>
        </w:tc>
      </w:tr>
      <w:tr w:rsidR="00B84757" w14:paraId="356B32AA" w14:textId="77777777">
        <w:trPr>
          <w:jc w:val="center"/>
        </w:trPr>
        <w:tc>
          <w:tcPr>
            <w:tcW w:w="1813" w:type="dxa"/>
            <w:tcBorders>
              <w:top w:val="single" w:sz="4" w:space="0" w:color="000000"/>
              <w:bottom w:val="nil"/>
            </w:tcBorders>
            <w:shd w:val="clear" w:color="auto" w:fill="FFFFFF"/>
          </w:tcPr>
          <w:p w14:paraId="0E74C461" w14:textId="77777777" w:rsidR="00B84757" w:rsidRDefault="00000000">
            <w:pPr>
              <w:spacing w:after="0"/>
              <w:jc w:val="both"/>
              <w:rPr>
                <w:rFonts w:ascii="宋体" w:hAnsi="宋体"/>
                <w:color w:val="000000"/>
                <w:szCs w:val="24"/>
              </w:rPr>
            </w:pPr>
            <w:r>
              <w:rPr>
                <w:rFonts w:ascii="宋体" w:hAnsi="宋体"/>
                <w:color w:val="000000"/>
                <w:szCs w:val="24"/>
              </w:rPr>
              <w:t>2015</w:t>
            </w:r>
          </w:p>
        </w:tc>
        <w:tc>
          <w:tcPr>
            <w:tcW w:w="1813" w:type="dxa"/>
            <w:tcBorders>
              <w:top w:val="single" w:sz="4" w:space="0" w:color="000000"/>
              <w:bottom w:val="nil"/>
            </w:tcBorders>
            <w:shd w:val="clear" w:color="auto" w:fill="FFFFFF"/>
          </w:tcPr>
          <w:p w14:paraId="309E7C67" w14:textId="77777777" w:rsidR="00B84757" w:rsidRDefault="00000000">
            <w:pPr>
              <w:spacing w:after="0"/>
              <w:jc w:val="both"/>
              <w:rPr>
                <w:rFonts w:ascii="宋体" w:hAnsi="宋体"/>
                <w:color w:val="000000"/>
                <w:szCs w:val="24"/>
              </w:rPr>
            </w:pPr>
            <w:r>
              <w:rPr>
                <w:rFonts w:ascii="宋体" w:hAnsi="宋体"/>
                <w:color w:val="000000"/>
                <w:szCs w:val="24"/>
              </w:rPr>
              <w:t>0.4183</w:t>
            </w:r>
          </w:p>
        </w:tc>
        <w:tc>
          <w:tcPr>
            <w:tcW w:w="1813" w:type="dxa"/>
            <w:tcBorders>
              <w:top w:val="single" w:sz="4" w:space="0" w:color="000000"/>
              <w:bottom w:val="nil"/>
            </w:tcBorders>
            <w:shd w:val="clear" w:color="auto" w:fill="FFFFFF"/>
          </w:tcPr>
          <w:p w14:paraId="4B1759FA" w14:textId="77777777" w:rsidR="00B84757" w:rsidRDefault="00000000">
            <w:pPr>
              <w:spacing w:after="0"/>
              <w:jc w:val="both"/>
              <w:rPr>
                <w:rFonts w:ascii="宋体" w:hAnsi="宋体"/>
                <w:color w:val="000000"/>
                <w:szCs w:val="24"/>
              </w:rPr>
            </w:pPr>
            <w:r>
              <w:rPr>
                <w:rFonts w:ascii="宋体" w:hAnsi="宋体"/>
                <w:color w:val="000000"/>
                <w:szCs w:val="24"/>
              </w:rPr>
              <w:t>0.3719</w:t>
            </w:r>
          </w:p>
        </w:tc>
        <w:tc>
          <w:tcPr>
            <w:tcW w:w="1813" w:type="dxa"/>
            <w:tcBorders>
              <w:top w:val="single" w:sz="4" w:space="0" w:color="000000"/>
              <w:bottom w:val="nil"/>
            </w:tcBorders>
            <w:shd w:val="clear" w:color="auto" w:fill="FFFFFF"/>
          </w:tcPr>
          <w:p w14:paraId="59E3AE80" w14:textId="77777777" w:rsidR="00B84757" w:rsidRDefault="00000000">
            <w:pPr>
              <w:spacing w:after="0"/>
              <w:jc w:val="both"/>
              <w:rPr>
                <w:rFonts w:ascii="宋体" w:hAnsi="宋体"/>
                <w:color w:val="000000"/>
                <w:szCs w:val="24"/>
              </w:rPr>
            </w:pPr>
            <w:r>
              <w:rPr>
                <w:rFonts w:ascii="宋体" w:hAnsi="宋体"/>
                <w:color w:val="000000"/>
                <w:szCs w:val="24"/>
              </w:rPr>
              <w:t>1.0545</w:t>
            </w:r>
          </w:p>
        </w:tc>
        <w:tc>
          <w:tcPr>
            <w:tcW w:w="1813" w:type="dxa"/>
            <w:tcBorders>
              <w:top w:val="single" w:sz="4" w:space="0" w:color="000000"/>
              <w:bottom w:val="nil"/>
            </w:tcBorders>
            <w:shd w:val="clear" w:color="auto" w:fill="FFFFFF"/>
          </w:tcPr>
          <w:p w14:paraId="0EAA46CF" w14:textId="77777777" w:rsidR="00B84757" w:rsidRDefault="00000000">
            <w:pPr>
              <w:spacing w:after="0"/>
              <w:jc w:val="both"/>
              <w:rPr>
                <w:rFonts w:ascii="宋体" w:hAnsi="宋体"/>
                <w:color w:val="000000"/>
                <w:szCs w:val="24"/>
              </w:rPr>
            </w:pPr>
            <w:r>
              <w:rPr>
                <w:rFonts w:ascii="宋体" w:hAnsi="宋体"/>
                <w:color w:val="000000"/>
                <w:szCs w:val="24"/>
              </w:rPr>
              <w:t>0.2180</w:t>
            </w:r>
          </w:p>
        </w:tc>
      </w:tr>
      <w:tr w:rsidR="00B84757" w14:paraId="56DBC80E" w14:textId="77777777">
        <w:trPr>
          <w:jc w:val="center"/>
        </w:trPr>
        <w:tc>
          <w:tcPr>
            <w:tcW w:w="1813" w:type="dxa"/>
            <w:tcBorders>
              <w:top w:val="nil"/>
              <w:bottom w:val="nil"/>
            </w:tcBorders>
            <w:shd w:val="clear" w:color="auto" w:fill="FFFFFF"/>
          </w:tcPr>
          <w:p w14:paraId="6C8377D3" w14:textId="77777777" w:rsidR="00B84757" w:rsidRDefault="00000000">
            <w:pPr>
              <w:spacing w:after="0"/>
              <w:jc w:val="both"/>
              <w:rPr>
                <w:rFonts w:ascii="宋体" w:hAnsi="宋体"/>
                <w:color w:val="000000"/>
                <w:szCs w:val="24"/>
              </w:rPr>
            </w:pPr>
            <w:r>
              <w:rPr>
                <w:rFonts w:ascii="宋体" w:hAnsi="宋体"/>
                <w:color w:val="000000"/>
                <w:szCs w:val="24"/>
              </w:rPr>
              <w:t>2016</w:t>
            </w:r>
          </w:p>
        </w:tc>
        <w:tc>
          <w:tcPr>
            <w:tcW w:w="1813" w:type="dxa"/>
            <w:tcBorders>
              <w:top w:val="nil"/>
              <w:bottom w:val="nil"/>
            </w:tcBorders>
            <w:shd w:val="clear" w:color="auto" w:fill="FFFFFF"/>
          </w:tcPr>
          <w:p w14:paraId="0A98D237" w14:textId="77777777" w:rsidR="00B84757" w:rsidRDefault="00000000">
            <w:pPr>
              <w:spacing w:after="0"/>
              <w:jc w:val="both"/>
              <w:rPr>
                <w:rFonts w:ascii="宋体" w:hAnsi="宋体"/>
                <w:color w:val="000000"/>
                <w:szCs w:val="24"/>
              </w:rPr>
            </w:pPr>
            <w:r>
              <w:rPr>
                <w:rFonts w:ascii="宋体" w:hAnsi="宋体"/>
                <w:color w:val="000000"/>
                <w:szCs w:val="24"/>
              </w:rPr>
              <w:t>0.4602</w:t>
            </w:r>
          </w:p>
        </w:tc>
        <w:tc>
          <w:tcPr>
            <w:tcW w:w="1813" w:type="dxa"/>
            <w:tcBorders>
              <w:top w:val="nil"/>
              <w:bottom w:val="nil"/>
            </w:tcBorders>
            <w:shd w:val="clear" w:color="auto" w:fill="FFFFFF"/>
          </w:tcPr>
          <w:p w14:paraId="23C54580" w14:textId="77777777" w:rsidR="00B84757" w:rsidRDefault="00000000">
            <w:pPr>
              <w:spacing w:after="0"/>
              <w:jc w:val="both"/>
              <w:rPr>
                <w:rFonts w:ascii="宋体" w:hAnsi="宋体"/>
                <w:color w:val="000000"/>
                <w:szCs w:val="24"/>
              </w:rPr>
            </w:pPr>
            <w:r>
              <w:rPr>
                <w:rFonts w:ascii="宋体" w:hAnsi="宋体"/>
                <w:color w:val="000000"/>
                <w:szCs w:val="24"/>
              </w:rPr>
              <w:t>0.4037</w:t>
            </w:r>
          </w:p>
        </w:tc>
        <w:tc>
          <w:tcPr>
            <w:tcW w:w="1813" w:type="dxa"/>
            <w:tcBorders>
              <w:top w:val="nil"/>
              <w:bottom w:val="nil"/>
            </w:tcBorders>
            <w:shd w:val="clear" w:color="auto" w:fill="FFFFFF"/>
          </w:tcPr>
          <w:p w14:paraId="6207F7D8" w14:textId="77777777" w:rsidR="00B84757" w:rsidRDefault="00000000">
            <w:pPr>
              <w:spacing w:after="0"/>
              <w:jc w:val="both"/>
              <w:rPr>
                <w:rFonts w:ascii="宋体" w:hAnsi="宋体"/>
                <w:color w:val="000000"/>
                <w:szCs w:val="24"/>
              </w:rPr>
            </w:pPr>
            <w:r>
              <w:rPr>
                <w:rFonts w:ascii="宋体" w:hAnsi="宋体"/>
                <w:color w:val="000000"/>
                <w:szCs w:val="24"/>
              </w:rPr>
              <w:t>1.0241</w:t>
            </w:r>
          </w:p>
        </w:tc>
        <w:tc>
          <w:tcPr>
            <w:tcW w:w="1813" w:type="dxa"/>
            <w:tcBorders>
              <w:top w:val="nil"/>
              <w:bottom w:val="nil"/>
            </w:tcBorders>
            <w:shd w:val="clear" w:color="auto" w:fill="FFFFFF"/>
          </w:tcPr>
          <w:p w14:paraId="66BC0A15" w14:textId="77777777" w:rsidR="00B84757" w:rsidRDefault="00000000">
            <w:pPr>
              <w:spacing w:after="0"/>
              <w:jc w:val="both"/>
              <w:rPr>
                <w:rFonts w:ascii="宋体" w:hAnsi="宋体"/>
                <w:color w:val="000000"/>
                <w:szCs w:val="24"/>
              </w:rPr>
            </w:pPr>
            <w:r>
              <w:rPr>
                <w:rFonts w:ascii="宋体" w:hAnsi="宋体"/>
                <w:color w:val="000000"/>
                <w:szCs w:val="24"/>
              </w:rPr>
              <w:t>0.2305</w:t>
            </w:r>
          </w:p>
        </w:tc>
      </w:tr>
      <w:tr w:rsidR="00B84757" w14:paraId="38939C40" w14:textId="77777777">
        <w:trPr>
          <w:jc w:val="center"/>
        </w:trPr>
        <w:tc>
          <w:tcPr>
            <w:tcW w:w="1813" w:type="dxa"/>
            <w:tcBorders>
              <w:top w:val="nil"/>
              <w:bottom w:val="nil"/>
            </w:tcBorders>
            <w:shd w:val="clear" w:color="auto" w:fill="FFFFFF"/>
          </w:tcPr>
          <w:p w14:paraId="4896A7AA" w14:textId="77777777" w:rsidR="00B84757" w:rsidRDefault="00000000">
            <w:pPr>
              <w:spacing w:after="0"/>
              <w:jc w:val="both"/>
              <w:rPr>
                <w:rFonts w:ascii="宋体" w:hAnsi="宋体"/>
                <w:color w:val="000000"/>
                <w:szCs w:val="24"/>
              </w:rPr>
            </w:pPr>
            <w:r>
              <w:rPr>
                <w:rFonts w:ascii="宋体" w:hAnsi="宋体"/>
                <w:color w:val="000000"/>
                <w:szCs w:val="24"/>
              </w:rPr>
              <w:t>2017</w:t>
            </w:r>
          </w:p>
        </w:tc>
        <w:tc>
          <w:tcPr>
            <w:tcW w:w="1813" w:type="dxa"/>
            <w:tcBorders>
              <w:top w:val="nil"/>
              <w:bottom w:val="nil"/>
            </w:tcBorders>
            <w:shd w:val="clear" w:color="auto" w:fill="FFFFFF"/>
          </w:tcPr>
          <w:p w14:paraId="56AAF1C8" w14:textId="77777777" w:rsidR="00B84757" w:rsidRDefault="00000000">
            <w:pPr>
              <w:spacing w:after="0"/>
              <w:jc w:val="both"/>
              <w:rPr>
                <w:rFonts w:ascii="宋体" w:hAnsi="宋体"/>
                <w:color w:val="000000"/>
                <w:szCs w:val="24"/>
              </w:rPr>
            </w:pPr>
            <w:r>
              <w:rPr>
                <w:rFonts w:ascii="宋体" w:hAnsi="宋体"/>
                <w:color w:val="000000"/>
                <w:szCs w:val="24"/>
              </w:rPr>
              <w:t>0.4814</w:t>
            </w:r>
          </w:p>
        </w:tc>
        <w:tc>
          <w:tcPr>
            <w:tcW w:w="1813" w:type="dxa"/>
            <w:tcBorders>
              <w:top w:val="nil"/>
              <w:bottom w:val="nil"/>
            </w:tcBorders>
            <w:shd w:val="clear" w:color="auto" w:fill="FFFFFF"/>
          </w:tcPr>
          <w:p w14:paraId="770A7B5E" w14:textId="77777777" w:rsidR="00B84757" w:rsidRDefault="00000000">
            <w:pPr>
              <w:spacing w:after="0"/>
              <w:jc w:val="both"/>
              <w:rPr>
                <w:rFonts w:ascii="宋体" w:hAnsi="宋体"/>
                <w:color w:val="000000"/>
                <w:szCs w:val="24"/>
              </w:rPr>
            </w:pPr>
            <w:r>
              <w:rPr>
                <w:rFonts w:ascii="宋体" w:hAnsi="宋体"/>
                <w:color w:val="000000"/>
                <w:szCs w:val="24"/>
              </w:rPr>
              <w:t>0.4647</w:t>
            </w:r>
          </w:p>
        </w:tc>
        <w:tc>
          <w:tcPr>
            <w:tcW w:w="1813" w:type="dxa"/>
            <w:tcBorders>
              <w:top w:val="nil"/>
              <w:bottom w:val="nil"/>
            </w:tcBorders>
            <w:shd w:val="clear" w:color="auto" w:fill="FFFFFF"/>
          </w:tcPr>
          <w:p w14:paraId="682BACB2" w14:textId="77777777" w:rsidR="00B84757" w:rsidRDefault="00000000">
            <w:pPr>
              <w:spacing w:after="0"/>
              <w:jc w:val="both"/>
              <w:rPr>
                <w:rFonts w:ascii="宋体" w:hAnsi="宋体"/>
                <w:color w:val="000000"/>
                <w:szCs w:val="24"/>
              </w:rPr>
            </w:pPr>
            <w:r>
              <w:rPr>
                <w:rFonts w:ascii="宋体" w:hAnsi="宋体"/>
                <w:color w:val="000000"/>
                <w:szCs w:val="24"/>
              </w:rPr>
              <w:t>1.0128</w:t>
            </w:r>
          </w:p>
        </w:tc>
        <w:tc>
          <w:tcPr>
            <w:tcW w:w="1813" w:type="dxa"/>
            <w:tcBorders>
              <w:top w:val="nil"/>
              <w:bottom w:val="nil"/>
            </w:tcBorders>
            <w:shd w:val="clear" w:color="auto" w:fill="FFFFFF"/>
          </w:tcPr>
          <w:p w14:paraId="6E8D2A10" w14:textId="77777777" w:rsidR="00B84757" w:rsidRDefault="00000000">
            <w:pPr>
              <w:spacing w:after="0"/>
              <w:jc w:val="both"/>
              <w:rPr>
                <w:rFonts w:ascii="宋体" w:hAnsi="宋体"/>
                <w:color w:val="000000"/>
                <w:szCs w:val="24"/>
              </w:rPr>
            </w:pPr>
            <w:r>
              <w:rPr>
                <w:rFonts w:ascii="宋体" w:hAnsi="宋体"/>
                <w:color w:val="000000"/>
                <w:szCs w:val="24"/>
              </w:rPr>
              <w:t>0.2407</w:t>
            </w:r>
          </w:p>
        </w:tc>
      </w:tr>
      <w:tr w:rsidR="00B84757" w14:paraId="39E85E33" w14:textId="77777777">
        <w:trPr>
          <w:jc w:val="center"/>
        </w:trPr>
        <w:tc>
          <w:tcPr>
            <w:tcW w:w="1813" w:type="dxa"/>
            <w:tcBorders>
              <w:top w:val="nil"/>
              <w:bottom w:val="nil"/>
            </w:tcBorders>
            <w:shd w:val="clear" w:color="auto" w:fill="FFFFFF"/>
          </w:tcPr>
          <w:p w14:paraId="11DE2795" w14:textId="77777777" w:rsidR="00B84757" w:rsidRDefault="00000000">
            <w:pPr>
              <w:spacing w:after="0"/>
              <w:jc w:val="both"/>
              <w:rPr>
                <w:rFonts w:ascii="宋体" w:hAnsi="宋体"/>
                <w:color w:val="000000"/>
                <w:szCs w:val="24"/>
              </w:rPr>
            </w:pPr>
            <w:r>
              <w:rPr>
                <w:rFonts w:ascii="宋体" w:hAnsi="宋体"/>
                <w:color w:val="000000"/>
                <w:szCs w:val="24"/>
              </w:rPr>
              <w:t>2018</w:t>
            </w:r>
          </w:p>
        </w:tc>
        <w:tc>
          <w:tcPr>
            <w:tcW w:w="1813" w:type="dxa"/>
            <w:tcBorders>
              <w:top w:val="nil"/>
              <w:bottom w:val="nil"/>
            </w:tcBorders>
            <w:shd w:val="clear" w:color="auto" w:fill="FFFFFF"/>
          </w:tcPr>
          <w:p w14:paraId="12A13AED" w14:textId="77777777" w:rsidR="00B84757" w:rsidRDefault="00000000">
            <w:pPr>
              <w:spacing w:after="0"/>
              <w:jc w:val="both"/>
              <w:rPr>
                <w:rFonts w:ascii="宋体" w:hAnsi="宋体"/>
                <w:color w:val="000000"/>
                <w:szCs w:val="24"/>
              </w:rPr>
            </w:pPr>
            <w:r>
              <w:rPr>
                <w:rFonts w:ascii="宋体" w:hAnsi="宋体"/>
                <w:color w:val="000000"/>
                <w:szCs w:val="24"/>
              </w:rPr>
              <w:t>0.5005</w:t>
            </w:r>
          </w:p>
        </w:tc>
        <w:tc>
          <w:tcPr>
            <w:tcW w:w="1813" w:type="dxa"/>
            <w:tcBorders>
              <w:top w:val="nil"/>
              <w:bottom w:val="nil"/>
            </w:tcBorders>
            <w:shd w:val="clear" w:color="auto" w:fill="FFFFFF"/>
          </w:tcPr>
          <w:p w14:paraId="4E5E47A0" w14:textId="77777777" w:rsidR="00B84757" w:rsidRDefault="00000000">
            <w:pPr>
              <w:spacing w:after="0"/>
              <w:jc w:val="both"/>
              <w:rPr>
                <w:rFonts w:ascii="宋体" w:hAnsi="宋体"/>
                <w:color w:val="000000"/>
                <w:szCs w:val="24"/>
              </w:rPr>
            </w:pPr>
            <w:r>
              <w:rPr>
                <w:rFonts w:ascii="宋体" w:hAnsi="宋体"/>
                <w:color w:val="000000"/>
                <w:szCs w:val="24"/>
              </w:rPr>
              <w:t>0.4567</w:t>
            </w:r>
          </w:p>
        </w:tc>
        <w:tc>
          <w:tcPr>
            <w:tcW w:w="1813" w:type="dxa"/>
            <w:tcBorders>
              <w:top w:val="nil"/>
              <w:bottom w:val="nil"/>
            </w:tcBorders>
            <w:shd w:val="clear" w:color="auto" w:fill="FFFFFF"/>
          </w:tcPr>
          <w:p w14:paraId="11EEA171" w14:textId="77777777" w:rsidR="00B84757" w:rsidRDefault="00000000">
            <w:pPr>
              <w:spacing w:after="0"/>
              <w:jc w:val="both"/>
              <w:rPr>
                <w:rFonts w:ascii="宋体" w:hAnsi="宋体"/>
                <w:color w:val="000000"/>
                <w:szCs w:val="24"/>
              </w:rPr>
            </w:pPr>
            <w:r>
              <w:rPr>
                <w:rFonts w:ascii="宋体" w:hAnsi="宋体"/>
                <w:color w:val="000000"/>
                <w:szCs w:val="24"/>
              </w:rPr>
              <w:t>1.0383</w:t>
            </w:r>
          </w:p>
        </w:tc>
        <w:tc>
          <w:tcPr>
            <w:tcW w:w="1813" w:type="dxa"/>
            <w:tcBorders>
              <w:top w:val="nil"/>
              <w:bottom w:val="nil"/>
            </w:tcBorders>
            <w:shd w:val="clear" w:color="auto" w:fill="FFFFFF"/>
          </w:tcPr>
          <w:p w14:paraId="0AB41723" w14:textId="77777777" w:rsidR="00B84757" w:rsidRDefault="00000000">
            <w:pPr>
              <w:spacing w:after="0"/>
              <w:jc w:val="both"/>
              <w:rPr>
                <w:rFonts w:ascii="宋体" w:hAnsi="宋体"/>
                <w:color w:val="000000"/>
                <w:szCs w:val="24"/>
              </w:rPr>
            </w:pPr>
            <w:r>
              <w:rPr>
                <w:rFonts w:ascii="宋体" w:hAnsi="宋体"/>
                <w:color w:val="000000"/>
                <w:szCs w:val="24"/>
              </w:rPr>
              <w:t>0.2468</w:t>
            </w:r>
          </w:p>
        </w:tc>
      </w:tr>
      <w:tr w:rsidR="00B84757" w14:paraId="5C15C517" w14:textId="77777777">
        <w:trPr>
          <w:jc w:val="center"/>
        </w:trPr>
        <w:tc>
          <w:tcPr>
            <w:tcW w:w="1813" w:type="dxa"/>
            <w:tcBorders>
              <w:top w:val="nil"/>
              <w:bottom w:val="nil"/>
            </w:tcBorders>
            <w:shd w:val="clear" w:color="auto" w:fill="FFFFFF"/>
          </w:tcPr>
          <w:p w14:paraId="2272A51E" w14:textId="77777777" w:rsidR="00B84757" w:rsidRDefault="00000000">
            <w:pPr>
              <w:spacing w:after="0"/>
              <w:jc w:val="both"/>
              <w:rPr>
                <w:rFonts w:ascii="宋体" w:hAnsi="宋体"/>
                <w:color w:val="000000"/>
                <w:szCs w:val="24"/>
              </w:rPr>
            </w:pPr>
            <w:r>
              <w:rPr>
                <w:rFonts w:ascii="宋体" w:hAnsi="宋体"/>
                <w:color w:val="000000"/>
                <w:szCs w:val="24"/>
              </w:rPr>
              <w:t>2019</w:t>
            </w:r>
          </w:p>
        </w:tc>
        <w:tc>
          <w:tcPr>
            <w:tcW w:w="1813" w:type="dxa"/>
            <w:tcBorders>
              <w:top w:val="nil"/>
              <w:bottom w:val="nil"/>
            </w:tcBorders>
            <w:shd w:val="clear" w:color="auto" w:fill="FFFFFF"/>
          </w:tcPr>
          <w:p w14:paraId="23353A87" w14:textId="77777777" w:rsidR="00B84757" w:rsidRDefault="00000000">
            <w:pPr>
              <w:spacing w:after="0"/>
              <w:jc w:val="both"/>
              <w:rPr>
                <w:rFonts w:ascii="宋体" w:hAnsi="宋体"/>
                <w:color w:val="000000"/>
                <w:szCs w:val="24"/>
              </w:rPr>
            </w:pPr>
            <w:r>
              <w:rPr>
                <w:rFonts w:ascii="宋体" w:hAnsi="宋体"/>
                <w:color w:val="000000"/>
                <w:szCs w:val="24"/>
              </w:rPr>
              <w:t>0.5431</w:t>
            </w:r>
          </w:p>
        </w:tc>
        <w:tc>
          <w:tcPr>
            <w:tcW w:w="1813" w:type="dxa"/>
            <w:tcBorders>
              <w:top w:val="nil"/>
              <w:bottom w:val="nil"/>
            </w:tcBorders>
            <w:shd w:val="clear" w:color="auto" w:fill="FFFFFF"/>
          </w:tcPr>
          <w:p w14:paraId="4C132396" w14:textId="77777777" w:rsidR="00B84757" w:rsidRDefault="00000000">
            <w:pPr>
              <w:spacing w:after="0"/>
              <w:jc w:val="both"/>
              <w:rPr>
                <w:rFonts w:ascii="宋体" w:hAnsi="宋体"/>
                <w:color w:val="000000"/>
                <w:szCs w:val="24"/>
              </w:rPr>
            </w:pPr>
            <w:r>
              <w:rPr>
                <w:rFonts w:ascii="宋体" w:hAnsi="宋体"/>
                <w:color w:val="000000"/>
                <w:szCs w:val="24"/>
              </w:rPr>
              <w:t>0.4712</w:t>
            </w:r>
          </w:p>
        </w:tc>
        <w:tc>
          <w:tcPr>
            <w:tcW w:w="1813" w:type="dxa"/>
            <w:tcBorders>
              <w:top w:val="nil"/>
              <w:bottom w:val="nil"/>
            </w:tcBorders>
            <w:shd w:val="clear" w:color="auto" w:fill="FFFFFF"/>
          </w:tcPr>
          <w:p w14:paraId="15490377" w14:textId="77777777" w:rsidR="00B84757" w:rsidRDefault="00000000">
            <w:pPr>
              <w:spacing w:after="0"/>
              <w:jc w:val="both"/>
              <w:rPr>
                <w:rFonts w:ascii="宋体" w:hAnsi="宋体"/>
                <w:color w:val="000000"/>
                <w:szCs w:val="24"/>
              </w:rPr>
            </w:pPr>
            <w:r>
              <w:rPr>
                <w:rFonts w:ascii="宋体" w:hAnsi="宋体"/>
                <w:color w:val="000000"/>
                <w:szCs w:val="24"/>
              </w:rPr>
              <w:t>1.0156</w:t>
            </w:r>
          </w:p>
        </w:tc>
        <w:tc>
          <w:tcPr>
            <w:tcW w:w="1813" w:type="dxa"/>
            <w:tcBorders>
              <w:top w:val="nil"/>
              <w:bottom w:val="nil"/>
            </w:tcBorders>
            <w:shd w:val="clear" w:color="auto" w:fill="FFFFFF"/>
          </w:tcPr>
          <w:p w14:paraId="2D16BB22" w14:textId="77777777" w:rsidR="00B84757" w:rsidRDefault="00000000">
            <w:pPr>
              <w:spacing w:after="0"/>
              <w:jc w:val="both"/>
              <w:rPr>
                <w:rFonts w:ascii="宋体" w:hAnsi="宋体"/>
                <w:color w:val="000000"/>
                <w:szCs w:val="24"/>
              </w:rPr>
            </w:pPr>
            <w:r>
              <w:rPr>
                <w:rFonts w:ascii="宋体" w:hAnsi="宋体"/>
                <w:color w:val="000000"/>
                <w:szCs w:val="24"/>
              </w:rPr>
              <w:t>0.2445</w:t>
            </w:r>
          </w:p>
        </w:tc>
      </w:tr>
      <w:tr w:rsidR="00B84757" w14:paraId="2FFD5C1C" w14:textId="77777777">
        <w:trPr>
          <w:jc w:val="center"/>
        </w:trPr>
        <w:tc>
          <w:tcPr>
            <w:tcW w:w="1813" w:type="dxa"/>
            <w:tcBorders>
              <w:top w:val="nil"/>
              <w:bottom w:val="nil"/>
            </w:tcBorders>
            <w:shd w:val="clear" w:color="auto" w:fill="FFFFFF"/>
          </w:tcPr>
          <w:p w14:paraId="4A36F6F8" w14:textId="77777777" w:rsidR="00B84757" w:rsidRDefault="00000000">
            <w:pPr>
              <w:spacing w:after="0"/>
              <w:jc w:val="both"/>
              <w:rPr>
                <w:rFonts w:ascii="宋体" w:hAnsi="宋体"/>
                <w:color w:val="000000"/>
                <w:szCs w:val="24"/>
              </w:rPr>
            </w:pPr>
            <w:r>
              <w:rPr>
                <w:rFonts w:ascii="宋体" w:hAnsi="宋体"/>
                <w:color w:val="000000"/>
                <w:szCs w:val="24"/>
              </w:rPr>
              <w:t>2020</w:t>
            </w:r>
          </w:p>
        </w:tc>
        <w:tc>
          <w:tcPr>
            <w:tcW w:w="1813" w:type="dxa"/>
            <w:tcBorders>
              <w:top w:val="nil"/>
              <w:bottom w:val="nil"/>
            </w:tcBorders>
            <w:shd w:val="clear" w:color="auto" w:fill="FFFFFF"/>
          </w:tcPr>
          <w:p w14:paraId="39AD6C59" w14:textId="77777777" w:rsidR="00B84757" w:rsidRDefault="00000000">
            <w:pPr>
              <w:spacing w:after="0"/>
              <w:jc w:val="both"/>
              <w:rPr>
                <w:rFonts w:ascii="宋体" w:hAnsi="宋体"/>
                <w:color w:val="000000"/>
                <w:szCs w:val="24"/>
              </w:rPr>
            </w:pPr>
            <w:r>
              <w:rPr>
                <w:rFonts w:ascii="宋体" w:hAnsi="宋体"/>
                <w:color w:val="000000"/>
                <w:szCs w:val="24"/>
              </w:rPr>
              <w:t>0.5989</w:t>
            </w:r>
          </w:p>
        </w:tc>
        <w:tc>
          <w:tcPr>
            <w:tcW w:w="1813" w:type="dxa"/>
            <w:tcBorders>
              <w:top w:val="nil"/>
              <w:bottom w:val="nil"/>
            </w:tcBorders>
            <w:shd w:val="clear" w:color="auto" w:fill="FFFFFF"/>
          </w:tcPr>
          <w:p w14:paraId="4D226D85" w14:textId="77777777" w:rsidR="00B84757" w:rsidRDefault="00000000">
            <w:pPr>
              <w:spacing w:after="0"/>
              <w:jc w:val="both"/>
              <w:rPr>
                <w:rFonts w:ascii="宋体" w:hAnsi="宋体"/>
                <w:color w:val="000000"/>
                <w:szCs w:val="24"/>
              </w:rPr>
            </w:pPr>
            <w:r>
              <w:rPr>
                <w:rFonts w:ascii="宋体" w:hAnsi="宋体"/>
                <w:color w:val="000000"/>
                <w:szCs w:val="24"/>
              </w:rPr>
              <w:t>0.5433</w:t>
            </w:r>
          </w:p>
        </w:tc>
        <w:tc>
          <w:tcPr>
            <w:tcW w:w="1813" w:type="dxa"/>
            <w:tcBorders>
              <w:top w:val="nil"/>
              <w:bottom w:val="nil"/>
            </w:tcBorders>
            <w:shd w:val="clear" w:color="auto" w:fill="FFFFFF"/>
          </w:tcPr>
          <w:p w14:paraId="3CD06354" w14:textId="77777777" w:rsidR="00B84757" w:rsidRDefault="00000000">
            <w:pPr>
              <w:spacing w:after="0"/>
              <w:jc w:val="both"/>
              <w:rPr>
                <w:rFonts w:ascii="宋体" w:hAnsi="宋体"/>
                <w:color w:val="000000"/>
                <w:szCs w:val="24"/>
              </w:rPr>
            </w:pPr>
            <w:r>
              <w:rPr>
                <w:rFonts w:ascii="宋体" w:hAnsi="宋体"/>
                <w:color w:val="000000"/>
                <w:szCs w:val="24"/>
              </w:rPr>
              <w:t>1.0845</w:t>
            </w:r>
          </w:p>
        </w:tc>
        <w:tc>
          <w:tcPr>
            <w:tcW w:w="1813" w:type="dxa"/>
            <w:tcBorders>
              <w:top w:val="nil"/>
              <w:bottom w:val="nil"/>
            </w:tcBorders>
            <w:shd w:val="clear" w:color="auto" w:fill="FFFFFF"/>
          </w:tcPr>
          <w:p w14:paraId="217F6974" w14:textId="77777777" w:rsidR="00B84757" w:rsidRDefault="00000000">
            <w:pPr>
              <w:spacing w:after="0"/>
              <w:jc w:val="both"/>
              <w:rPr>
                <w:rFonts w:ascii="宋体" w:hAnsi="宋体"/>
                <w:color w:val="000000"/>
                <w:szCs w:val="24"/>
              </w:rPr>
            </w:pPr>
            <w:r>
              <w:rPr>
                <w:rFonts w:ascii="宋体" w:hAnsi="宋体"/>
                <w:color w:val="000000"/>
                <w:szCs w:val="24"/>
              </w:rPr>
              <w:t>0.2588</w:t>
            </w:r>
          </w:p>
        </w:tc>
      </w:tr>
      <w:tr w:rsidR="00B84757" w14:paraId="607FA6B7" w14:textId="77777777">
        <w:trPr>
          <w:jc w:val="center"/>
        </w:trPr>
        <w:tc>
          <w:tcPr>
            <w:tcW w:w="1813" w:type="dxa"/>
            <w:tcBorders>
              <w:top w:val="nil"/>
              <w:bottom w:val="nil"/>
            </w:tcBorders>
            <w:shd w:val="clear" w:color="auto" w:fill="FFFFFF"/>
          </w:tcPr>
          <w:p w14:paraId="25C37743" w14:textId="77777777" w:rsidR="00B84757" w:rsidRDefault="00000000">
            <w:pPr>
              <w:spacing w:after="0"/>
              <w:jc w:val="both"/>
              <w:rPr>
                <w:rFonts w:ascii="宋体" w:hAnsi="宋体"/>
                <w:color w:val="000000"/>
                <w:szCs w:val="24"/>
              </w:rPr>
            </w:pPr>
            <w:r>
              <w:rPr>
                <w:rFonts w:ascii="宋体" w:hAnsi="宋体"/>
                <w:color w:val="000000"/>
                <w:szCs w:val="24"/>
              </w:rPr>
              <w:t>2021</w:t>
            </w:r>
          </w:p>
        </w:tc>
        <w:tc>
          <w:tcPr>
            <w:tcW w:w="1813" w:type="dxa"/>
            <w:tcBorders>
              <w:top w:val="nil"/>
              <w:bottom w:val="nil"/>
            </w:tcBorders>
            <w:shd w:val="clear" w:color="auto" w:fill="FFFFFF"/>
          </w:tcPr>
          <w:p w14:paraId="56C31E0E" w14:textId="77777777" w:rsidR="00B84757" w:rsidRDefault="00000000">
            <w:pPr>
              <w:spacing w:after="0"/>
              <w:jc w:val="both"/>
              <w:rPr>
                <w:rFonts w:ascii="宋体" w:hAnsi="宋体"/>
                <w:color w:val="000000"/>
                <w:szCs w:val="24"/>
              </w:rPr>
            </w:pPr>
            <w:r>
              <w:rPr>
                <w:rFonts w:ascii="宋体" w:hAnsi="宋体"/>
                <w:color w:val="000000"/>
                <w:szCs w:val="24"/>
              </w:rPr>
              <w:t>0.5801</w:t>
            </w:r>
          </w:p>
        </w:tc>
        <w:tc>
          <w:tcPr>
            <w:tcW w:w="1813" w:type="dxa"/>
            <w:tcBorders>
              <w:top w:val="nil"/>
              <w:bottom w:val="nil"/>
            </w:tcBorders>
            <w:shd w:val="clear" w:color="auto" w:fill="FFFFFF"/>
          </w:tcPr>
          <w:p w14:paraId="1664DB53" w14:textId="77777777" w:rsidR="00B84757" w:rsidRDefault="00000000">
            <w:pPr>
              <w:spacing w:after="0"/>
              <w:jc w:val="both"/>
              <w:rPr>
                <w:rFonts w:ascii="宋体" w:hAnsi="宋体"/>
                <w:color w:val="000000"/>
                <w:szCs w:val="24"/>
              </w:rPr>
            </w:pPr>
            <w:r>
              <w:rPr>
                <w:rFonts w:ascii="宋体" w:hAnsi="宋体"/>
                <w:color w:val="000000"/>
                <w:szCs w:val="24"/>
              </w:rPr>
              <w:t>0.5461</w:t>
            </w:r>
          </w:p>
        </w:tc>
        <w:tc>
          <w:tcPr>
            <w:tcW w:w="1813" w:type="dxa"/>
            <w:tcBorders>
              <w:top w:val="nil"/>
              <w:bottom w:val="nil"/>
            </w:tcBorders>
            <w:shd w:val="clear" w:color="auto" w:fill="FFFFFF"/>
          </w:tcPr>
          <w:p w14:paraId="363EC9A2" w14:textId="77777777" w:rsidR="00B84757" w:rsidRDefault="00000000">
            <w:pPr>
              <w:spacing w:after="0"/>
              <w:jc w:val="both"/>
              <w:rPr>
                <w:rFonts w:ascii="宋体" w:hAnsi="宋体"/>
                <w:color w:val="000000"/>
                <w:szCs w:val="24"/>
              </w:rPr>
            </w:pPr>
            <w:r>
              <w:rPr>
                <w:rFonts w:ascii="宋体" w:hAnsi="宋体"/>
                <w:color w:val="000000"/>
                <w:szCs w:val="24"/>
              </w:rPr>
              <w:t>1.0184</w:t>
            </w:r>
          </w:p>
        </w:tc>
        <w:tc>
          <w:tcPr>
            <w:tcW w:w="1813" w:type="dxa"/>
            <w:tcBorders>
              <w:top w:val="nil"/>
              <w:bottom w:val="nil"/>
            </w:tcBorders>
            <w:shd w:val="clear" w:color="auto" w:fill="FFFFFF"/>
          </w:tcPr>
          <w:p w14:paraId="21CA1476" w14:textId="77777777" w:rsidR="00B84757" w:rsidRDefault="00000000">
            <w:pPr>
              <w:spacing w:after="0"/>
              <w:jc w:val="both"/>
              <w:rPr>
                <w:rFonts w:ascii="宋体" w:hAnsi="宋体"/>
                <w:color w:val="000000"/>
                <w:szCs w:val="24"/>
              </w:rPr>
            </w:pPr>
            <w:r>
              <w:rPr>
                <w:rFonts w:ascii="宋体" w:hAnsi="宋体"/>
                <w:color w:val="000000"/>
                <w:szCs w:val="24"/>
              </w:rPr>
              <w:t>0.2473</w:t>
            </w:r>
          </w:p>
        </w:tc>
      </w:tr>
      <w:tr w:rsidR="00B84757" w14:paraId="4291879D" w14:textId="77777777">
        <w:trPr>
          <w:jc w:val="center"/>
        </w:trPr>
        <w:tc>
          <w:tcPr>
            <w:tcW w:w="1813" w:type="dxa"/>
            <w:tcBorders>
              <w:top w:val="nil"/>
              <w:bottom w:val="single" w:sz="12" w:space="0" w:color="000000"/>
            </w:tcBorders>
            <w:shd w:val="clear" w:color="auto" w:fill="FFFFFF"/>
          </w:tcPr>
          <w:p w14:paraId="1C2BAEFF" w14:textId="77777777" w:rsidR="00B84757" w:rsidRDefault="00000000">
            <w:pPr>
              <w:spacing w:after="0"/>
              <w:jc w:val="both"/>
              <w:rPr>
                <w:rFonts w:ascii="宋体" w:hAnsi="宋体"/>
                <w:color w:val="000000"/>
                <w:szCs w:val="24"/>
              </w:rPr>
            </w:pPr>
            <w:r>
              <w:rPr>
                <w:rFonts w:ascii="宋体" w:hAnsi="宋体"/>
                <w:color w:val="000000"/>
                <w:szCs w:val="24"/>
              </w:rPr>
              <w:t>2022</w:t>
            </w:r>
          </w:p>
        </w:tc>
        <w:tc>
          <w:tcPr>
            <w:tcW w:w="1813" w:type="dxa"/>
            <w:tcBorders>
              <w:top w:val="nil"/>
              <w:bottom w:val="single" w:sz="12" w:space="0" w:color="000000"/>
            </w:tcBorders>
            <w:shd w:val="clear" w:color="auto" w:fill="FFFFFF"/>
          </w:tcPr>
          <w:p w14:paraId="52E5316C" w14:textId="77777777" w:rsidR="00B84757" w:rsidRDefault="00000000">
            <w:pPr>
              <w:spacing w:after="0"/>
              <w:jc w:val="both"/>
              <w:rPr>
                <w:rFonts w:ascii="宋体" w:hAnsi="宋体"/>
                <w:color w:val="000000"/>
                <w:szCs w:val="24"/>
              </w:rPr>
            </w:pPr>
            <w:r>
              <w:rPr>
                <w:rFonts w:ascii="宋体" w:hAnsi="宋体"/>
                <w:color w:val="000000"/>
                <w:szCs w:val="24"/>
              </w:rPr>
              <w:t>0.6350</w:t>
            </w:r>
          </w:p>
        </w:tc>
        <w:tc>
          <w:tcPr>
            <w:tcW w:w="1813" w:type="dxa"/>
            <w:tcBorders>
              <w:top w:val="nil"/>
              <w:bottom w:val="single" w:sz="12" w:space="0" w:color="000000"/>
            </w:tcBorders>
            <w:shd w:val="clear" w:color="auto" w:fill="FFFFFF"/>
          </w:tcPr>
          <w:p w14:paraId="3DA5CC55" w14:textId="77777777" w:rsidR="00B84757" w:rsidRDefault="00000000">
            <w:pPr>
              <w:spacing w:after="0"/>
              <w:jc w:val="both"/>
              <w:rPr>
                <w:rFonts w:ascii="宋体" w:hAnsi="宋体"/>
                <w:color w:val="000000"/>
                <w:szCs w:val="24"/>
              </w:rPr>
            </w:pPr>
            <w:r>
              <w:rPr>
                <w:rFonts w:ascii="宋体" w:hAnsi="宋体"/>
                <w:color w:val="000000"/>
                <w:szCs w:val="24"/>
              </w:rPr>
              <w:t>0.5933</w:t>
            </w:r>
          </w:p>
        </w:tc>
        <w:tc>
          <w:tcPr>
            <w:tcW w:w="1813" w:type="dxa"/>
            <w:tcBorders>
              <w:top w:val="nil"/>
              <w:bottom w:val="single" w:sz="12" w:space="0" w:color="000000"/>
            </w:tcBorders>
            <w:shd w:val="clear" w:color="auto" w:fill="FFFFFF"/>
          </w:tcPr>
          <w:p w14:paraId="1C9CB964" w14:textId="77777777" w:rsidR="00B84757" w:rsidRDefault="00000000">
            <w:pPr>
              <w:spacing w:after="0"/>
              <w:jc w:val="both"/>
              <w:rPr>
                <w:rFonts w:ascii="宋体" w:hAnsi="宋体"/>
                <w:color w:val="000000"/>
                <w:szCs w:val="24"/>
              </w:rPr>
            </w:pPr>
            <w:r>
              <w:rPr>
                <w:rFonts w:ascii="宋体" w:hAnsi="宋体"/>
                <w:color w:val="000000"/>
                <w:szCs w:val="24"/>
              </w:rPr>
              <w:t>1.2500</w:t>
            </w:r>
          </w:p>
        </w:tc>
        <w:tc>
          <w:tcPr>
            <w:tcW w:w="1813" w:type="dxa"/>
            <w:tcBorders>
              <w:top w:val="nil"/>
              <w:bottom w:val="single" w:sz="12" w:space="0" w:color="000000"/>
            </w:tcBorders>
            <w:shd w:val="clear" w:color="auto" w:fill="FFFFFF"/>
          </w:tcPr>
          <w:p w14:paraId="4380E301" w14:textId="77777777" w:rsidR="00B84757" w:rsidRDefault="00000000">
            <w:pPr>
              <w:spacing w:after="0"/>
              <w:jc w:val="both"/>
              <w:rPr>
                <w:rFonts w:ascii="宋体" w:hAnsi="宋体"/>
                <w:color w:val="000000"/>
                <w:szCs w:val="24"/>
              </w:rPr>
            </w:pPr>
            <w:r>
              <w:rPr>
                <w:rFonts w:ascii="宋体" w:hAnsi="宋体"/>
                <w:color w:val="000000"/>
                <w:szCs w:val="24"/>
              </w:rPr>
              <w:t>0.2444</w:t>
            </w:r>
          </w:p>
        </w:tc>
      </w:tr>
    </w:tbl>
    <w:p w14:paraId="640C5B3D" w14:textId="77777777" w:rsidR="00B84757" w:rsidRDefault="00000000">
      <w:pPr>
        <w:spacing w:beforeLines="100" w:before="240"/>
        <w:jc w:val="center"/>
        <w:rPr>
          <w:sz w:val="22"/>
          <w:lang w:eastAsia="zh-CN"/>
        </w:rPr>
      </w:pPr>
      <w:r>
        <w:rPr>
          <w:noProof/>
          <w:sz w:val="22"/>
          <w:lang w:eastAsia="zh-CN"/>
        </w:rPr>
        <w:lastRenderedPageBreak/>
        <w:drawing>
          <wp:inline distT="0" distB="0" distL="114300" distR="114300" wp14:anchorId="6AE43A86" wp14:editId="50A62874">
            <wp:extent cx="4130675" cy="3356610"/>
            <wp:effectExtent l="0" t="0" r="9525" b="8890"/>
            <wp:docPr id="7" name="图片 7" descr="12_省际碳排放效率分级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2_省际碳排放效率分级地图"/>
                    <pic:cNvPicPr>
                      <a:picLocks noChangeAspect="1"/>
                    </pic:cNvPicPr>
                  </pic:nvPicPr>
                  <pic:blipFill>
                    <a:blip r:embed="rId17"/>
                    <a:stretch>
                      <a:fillRect/>
                    </a:stretch>
                  </pic:blipFill>
                  <pic:spPr>
                    <a:xfrm>
                      <a:off x="0" y="0"/>
                      <a:ext cx="4130675" cy="3356610"/>
                    </a:xfrm>
                    <a:prstGeom prst="rect">
                      <a:avLst/>
                    </a:prstGeom>
                  </pic:spPr>
                </pic:pic>
              </a:graphicData>
            </a:graphic>
          </wp:inline>
        </w:drawing>
      </w:r>
    </w:p>
    <w:p w14:paraId="49151EC2"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9</w:t>
      </w:r>
      <w:r>
        <w:fldChar w:fldCharType="end"/>
      </w:r>
      <w:bookmarkStart w:id="39" w:name="_Toc17026"/>
      <w:r>
        <w:rPr>
          <w:rFonts w:hint="eastAsia"/>
          <w:lang w:eastAsia="zh-CN"/>
        </w:rPr>
        <w:t xml:space="preserve"> </w:t>
      </w:r>
      <w:r>
        <w:rPr>
          <w:lang w:eastAsia="zh-CN"/>
        </w:rPr>
        <w:t>省域碳排放效率空间分布图</w:t>
      </w:r>
      <w:bookmarkEnd w:id="39"/>
    </w:p>
    <w:p w14:paraId="4A49CC05" w14:textId="77777777" w:rsidR="00B84757" w:rsidRDefault="00000000">
      <w:pPr>
        <w:ind w:firstLine="720"/>
        <w:rPr>
          <w:lang w:eastAsia="zh-CN"/>
        </w:rPr>
      </w:pPr>
      <w:r>
        <w:rPr>
          <w:lang w:eastAsia="zh-CN"/>
        </w:rPr>
        <w:t>空间分布图表明，</w:t>
      </w:r>
      <w:r>
        <w:rPr>
          <w:lang w:eastAsia="zh-CN"/>
        </w:rPr>
        <w:t>2022</w:t>
      </w:r>
      <w:r>
        <w:rPr>
          <w:lang w:eastAsia="zh-CN"/>
        </w:rPr>
        <w:t>年各省碳排放效率并非随机分布，而是呈现出较明显的空间分化特征。高值和低值地区在地理上都具有一定集中性，这一直观结果也为后文开展空间相关性检验提供了图形依据。</w:t>
      </w:r>
    </w:p>
    <w:p w14:paraId="0C24C9F7" w14:textId="77777777" w:rsidR="00B84757" w:rsidRDefault="00000000">
      <w:pPr>
        <w:jc w:val="both"/>
        <w:rPr>
          <w:sz w:val="22"/>
          <w:lang w:eastAsia="zh-CN"/>
        </w:rPr>
      </w:pPr>
      <w:r>
        <w:rPr>
          <w:rFonts w:hint="eastAsia"/>
          <w:noProof/>
          <w:sz w:val="22"/>
          <w:lang w:eastAsia="zh-CN"/>
        </w:rPr>
        <w:drawing>
          <wp:inline distT="0" distB="0" distL="114300" distR="114300" wp14:anchorId="116ADB10" wp14:editId="4B629E06">
            <wp:extent cx="5584190" cy="2792095"/>
            <wp:effectExtent l="0" t="0" r="3810" b="1905"/>
            <wp:docPr id="8" name="图片 8" descr="所有省份超效率变化折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所有省份超效率变化折线图"/>
                    <pic:cNvPicPr>
                      <a:picLocks noChangeAspect="1"/>
                    </pic:cNvPicPr>
                  </pic:nvPicPr>
                  <pic:blipFill>
                    <a:blip r:embed="rId18"/>
                    <a:stretch>
                      <a:fillRect/>
                    </a:stretch>
                  </pic:blipFill>
                  <pic:spPr>
                    <a:xfrm>
                      <a:off x="0" y="0"/>
                      <a:ext cx="5584190" cy="2792095"/>
                    </a:xfrm>
                    <a:prstGeom prst="rect">
                      <a:avLst/>
                    </a:prstGeom>
                  </pic:spPr>
                </pic:pic>
              </a:graphicData>
            </a:graphic>
          </wp:inline>
        </w:drawing>
      </w:r>
    </w:p>
    <w:p w14:paraId="7A64BCA7" w14:textId="77777777" w:rsidR="00B84757" w:rsidRDefault="00000000">
      <w:pPr>
        <w:pStyle w:val="a7"/>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10</w:t>
      </w:r>
      <w:r>
        <w:fldChar w:fldCharType="end"/>
      </w:r>
      <w:bookmarkStart w:id="40" w:name="_Toc32453"/>
      <w:r>
        <w:rPr>
          <w:rFonts w:hint="eastAsia"/>
          <w:lang w:eastAsia="zh-CN"/>
        </w:rPr>
        <w:t xml:space="preserve"> </w:t>
      </w:r>
      <w:r>
        <w:rPr>
          <w:rFonts w:hint="eastAsia"/>
          <w:lang w:eastAsia="zh-CN"/>
        </w:rPr>
        <w:t>全国</w:t>
      </w:r>
      <w:r>
        <w:rPr>
          <w:rFonts w:hint="eastAsia"/>
          <w:lang w:eastAsia="zh-CN"/>
        </w:rPr>
        <w:t>30</w:t>
      </w:r>
      <w:r>
        <w:rPr>
          <w:rFonts w:hint="eastAsia"/>
          <w:lang w:eastAsia="zh-CN"/>
        </w:rPr>
        <w:t>省份超效率演进趋势图</w:t>
      </w:r>
      <w:bookmarkEnd w:id="40"/>
    </w:p>
    <w:p w14:paraId="05A64E27" w14:textId="77777777" w:rsidR="00B84757" w:rsidRDefault="00000000">
      <w:pPr>
        <w:ind w:firstLine="720"/>
        <w:rPr>
          <w:lang w:eastAsia="zh-CN"/>
        </w:rPr>
      </w:pPr>
      <w:r>
        <w:rPr>
          <w:lang w:eastAsia="zh-CN"/>
        </w:rPr>
        <w:lastRenderedPageBreak/>
        <w:t>从各省份效率轨迹看，多数省份在样本期内总体呈上升趋势，但改善速度和波动幅度并不一致。尤其在</w:t>
      </w:r>
      <w:r>
        <w:rPr>
          <w:lang w:eastAsia="zh-CN"/>
        </w:rPr>
        <w:t>2021</w:t>
      </w:r>
      <w:r>
        <w:rPr>
          <w:lang w:eastAsia="zh-CN"/>
        </w:rPr>
        <w:t>年前后，部分省份出现短期回落，说明省际碳排放效率的提升并非同步推进，而是具有明显的阶段差异。</w:t>
      </w:r>
    </w:p>
    <w:p w14:paraId="5810EED4" w14:textId="77777777" w:rsidR="00B84757" w:rsidRDefault="00000000">
      <w:pPr>
        <w:spacing w:beforeLines="50" w:before="120"/>
        <w:jc w:val="center"/>
        <w:rPr>
          <w:sz w:val="22"/>
          <w:lang w:eastAsia="zh-CN"/>
        </w:rPr>
      </w:pPr>
      <w:r>
        <w:rPr>
          <w:noProof/>
          <w:sz w:val="22"/>
          <w:lang w:eastAsia="zh-CN"/>
        </w:rPr>
        <w:drawing>
          <wp:inline distT="0" distB="0" distL="114300" distR="114300" wp14:anchorId="21552246" wp14:editId="5A10A5F4">
            <wp:extent cx="5752465" cy="3613150"/>
            <wp:effectExtent l="0" t="0" r="635" b="6350"/>
            <wp:docPr id="9" name="图片 9" descr="13_区域效率差异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3_区域效率差异箱线图"/>
                    <pic:cNvPicPr>
                      <a:picLocks noChangeAspect="1"/>
                    </pic:cNvPicPr>
                  </pic:nvPicPr>
                  <pic:blipFill>
                    <a:blip r:embed="rId19"/>
                    <a:stretch>
                      <a:fillRect/>
                    </a:stretch>
                  </pic:blipFill>
                  <pic:spPr>
                    <a:xfrm>
                      <a:off x="0" y="0"/>
                      <a:ext cx="5752465" cy="3613150"/>
                    </a:xfrm>
                    <a:prstGeom prst="rect">
                      <a:avLst/>
                    </a:prstGeom>
                  </pic:spPr>
                </pic:pic>
              </a:graphicData>
            </a:graphic>
          </wp:inline>
        </w:drawing>
      </w:r>
    </w:p>
    <w:p w14:paraId="1CA731DB" w14:textId="77777777" w:rsidR="00B84757" w:rsidRDefault="00000000">
      <w:pPr>
        <w:pStyle w:val="a7"/>
        <w:spacing w:beforeLines="50" w:before="12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11</w:t>
      </w:r>
      <w:r>
        <w:fldChar w:fldCharType="end"/>
      </w:r>
      <w:bookmarkStart w:id="41" w:name="_Toc294"/>
      <w:r>
        <w:rPr>
          <w:rFonts w:hint="eastAsia"/>
          <w:lang w:eastAsia="zh-CN"/>
        </w:rPr>
        <w:t xml:space="preserve"> </w:t>
      </w:r>
      <w:r>
        <w:rPr>
          <w:rFonts w:hint="eastAsia"/>
          <w:lang w:eastAsia="zh-CN"/>
        </w:rPr>
        <w:t>区域碳排放效率差异箱线图</w:t>
      </w:r>
      <w:bookmarkEnd w:id="41"/>
    </w:p>
    <w:p w14:paraId="5530552E" w14:textId="77777777" w:rsidR="00B84757" w:rsidRDefault="00000000">
      <w:pPr>
        <w:ind w:firstLine="720"/>
        <w:rPr>
          <w:lang w:eastAsia="zh-CN"/>
        </w:rPr>
      </w:pPr>
      <w:r>
        <w:rPr>
          <w:lang w:eastAsia="zh-CN"/>
        </w:rPr>
        <w:t>区域箱线图不仅反映了不同区域平均效率水平的差异，也揭示了区域内部离散程度并不一致。也就是说，区域分化不仅体现在</w:t>
      </w:r>
      <w:r>
        <w:rPr>
          <w:lang w:eastAsia="zh-CN"/>
        </w:rPr>
        <w:t>“</w:t>
      </w:r>
      <w:r>
        <w:rPr>
          <w:lang w:eastAsia="zh-CN"/>
        </w:rPr>
        <w:t>均值谁更高</w:t>
      </w:r>
      <w:r>
        <w:rPr>
          <w:lang w:eastAsia="zh-CN"/>
        </w:rPr>
        <w:t>”</w:t>
      </w:r>
      <w:r>
        <w:rPr>
          <w:lang w:eastAsia="zh-CN"/>
        </w:rPr>
        <w:t>，还体现在同一区域内部省份之间的波动大小和分布特征上。</w:t>
      </w:r>
    </w:p>
    <w:p w14:paraId="3A40AF83" w14:textId="77777777" w:rsidR="00B84757" w:rsidRDefault="00000000">
      <w:pPr>
        <w:jc w:val="both"/>
        <w:rPr>
          <w:sz w:val="22"/>
          <w:lang w:eastAsia="zh-CN"/>
        </w:rPr>
      </w:pPr>
      <w:r>
        <w:rPr>
          <w:noProof/>
          <w:sz w:val="22"/>
          <w:lang w:eastAsia="zh-CN"/>
        </w:rPr>
        <w:lastRenderedPageBreak/>
        <w:drawing>
          <wp:inline distT="0" distB="0" distL="0" distR="0" wp14:anchorId="4BBB6944" wp14:editId="6FC2378F">
            <wp:extent cx="4918075" cy="5717540"/>
            <wp:effectExtent l="0" t="0" r="9525" b="10160"/>
            <wp:docPr id="16063717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71740" name="图片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918075" cy="5717540"/>
                    </a:xfrm>
                    <a:prstGeom prst="rect">
                      <a:avLst/>
                    </a:prstGeom>
                    <a:noFill/>
                    <a:ln>
                      <a:noFill/>
                    </a:ln>
                  </pic:spPr>
                </pic:pic>
              </a:graphicData>
            </a:graphic>
          </wp:inline>
        </w:drawing>
      </w:r>
    </w:p>
    <w:p w14:paraId="5E99FA59"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12</w:t>
      </w:r>
      <w:r>
        <w:fldChar w:fldCharType="end"/>
      </w:r>
      <w:bookmarkStart w:id="42" w:name="_Toc31500"/>
      <w:r>
        <w:rPr>
          <w:rFonts w:hint="eastAsia"/>
          <w:lang w:eastAsia="zh-CN"/>
        </w:rPr>
        <w:t xml:space="preserve"> </w:t>
      </w:r>
      <w:r>
        <w:rPr>
          <w:lang w:eastAsia="zh-CN"/>
        </w:rPr>
        <w:t>各省平均效率排序图</w:t>
      </w:r>
      <w:bookmarkEnd w:id="42"/>
    </w:p>
    <w:p w14:paraId="5426064B" w14:textId="77777777" w:rsidR="00B84757" w:rsidRDefault="00000000">
      <w:pPr>
        <w:ind w:firstLine="720"/>
        <w:rPr>
          <w:lang w:eastAsia="zh-CN"/>
        </w:rPr>
      </w:pPr>
      <w:r>
        <w:rPr>
          <w:lang w:eastAsia="zh-CN"/>
        </w:rPr>
        <w:t>从平均效率排序结果看，青海、北京、天津等省份位于样本前列，而安徽、甘肃、江西等省份长期处于较低区间。这一结果与前文高低效率省份对比分析相互印证，说明省际碳排放效率的分层格局具有较强稳定性。</w:t>
      </w:r>
    </w:p>
    <w:p w14:paraId="51CC3C8B" w14:textId="77777777" w:rsidR="00B84757" w:rsidRDefault="00000000">
      <w:pPr>
        <w:pStyle w:val="21"/>
        <w:jc w:val="both"/>
        <w:rPr>
          <w:rFonts w:ascii="楷体" w:hAnsi="楷体"/>
          <w:color w:val="auto"/>
          <w:lang w:eastAsia="zh-CN"/>
        </w:rPr>
      </w:pPr>
      <w:bookmarkStart w:id="43" w:name="_Toc2167"/>
      <w:r>
        <w:rPr>
          <w:rFonts w:ascii="楷体" w:hAnsi="楷体"/>
          <w:color w:val="auto"/>
          <w:lang w:eastAsia="zh-CN"/>
        </w:rPr>
        <w:t>（二）高低效率省份的对比分析</w:t>
      </w:r>
      <w:bookmarkEnd w:id="43"/>
    </w:p>
    <w:p w14:paraId="233B7D69"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进一步选取研究期内效率水平最高和最低的代表性省份进行比较，可以更直观地呈现区域差异。高效率省份中，青海、北京、天津的平均超效率分别为1.0103、</w:t>
      </w:r>
      <w:r>
        <w:rPr>
          <w:rFonts w:ascii="宋体" w:hAnsi="宋体"/>
          <w:lang w:eastAsia="zh-CN"/>
        </w:rPr>
        <w:lastRenderedPageBreak/>
        <w:t>0.9214和0.8356；低效率省份中，安徽、甘肃和江西的平均超效率分别仅为0.2676、0.2561和0.2501。这表明我国碳排放效率呈现显著的“高位集聚—低位锁定”特征，高效率地区长期保持在有效前沿附近，波动幅度相对较小；低效率地区虽有一定改善，但整体仍处于较低区间。</w:t>
      </w:r>
    </w:p>
    <w:p w14:paraId="3C46E19D" w14:textId="77777777" w:rsidR="00B84757" w:rsidRDefault="00000000">
      <w:pPr>
        <w:pStyle w:val="a7"/>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Pr>
          <w:lang w:eastAsia="zh-CN"/>
        </w:rPr>
        <w:t>8</w:t>
      </w:r>
      <w:r>
        <w:fldChar w:fldCharType="end"/>
      </w:r>
      <w:bookmarkStart w:id="44" w:name="_Toc31539"/>
      <w:r>
        <w:rPr>
          <w:rFonts w:hint="eastAsia"/>
          <w:lang w:eastAsia="zh-CN"/>
        </w:rPr>
        <w:t xml:space="preserve"> </w:t>
      </w:r>
      <w:r>
        <w:rPr>
          <w:lang w:eastAsia="zh-CN"/>
        </w:rPr>
        <w:t>代表性高低效率省份平均超效率对比</w:t>
      </w:r>
      <w:bookmarkEnd w:id="44"/>
    </w:p>
    <w:tbl>
      <w:tblPr>
        <w:tblStyle w:val="af6"/>
        <w:tblW w:w="0" w:type="auto"/>
        <w:jc w:val="center"/>
        <w:tblBorders>
          <w:left w:val="none" w:sz="0" w:space="0" w:color="auto"/>
          <w:right w:val="none" w:sz="0" w:space="0" w:color="auto"/>
          <w:insideV w:val="none" w:sz="0" w:space="0" w:color="auto"/>
        </w:tblBorders>
        <w:shd w:val="clear" w:color="auto" w:fill="FFFFFF" w:themeFill="background1"/>
        <w:tblLook w:val="04A0" w:firstRow="1" w:lastRow="0" w:firstColumn="1" w:lastColumn="0" w:noHBand="0" w:noVBand="1"/>
      </w:tblPr>
      <w:tblGrid>
        <w:gridCol w:w="2872"/>
        <w:gridCol w:w="2873"/>
        <w:gridCol w:w="2901"/>
      </w:tblGrid>
      <w:tr w:rsidR="00B84757" w14:paraId="3E1815C9" w14:textId="77777777">
        <w:trPr>
          <w:jc w:val="center"/>
        </w:trPr>
        <w:tc>
          <w:tcPr>
            <w:tcW w:w="3022" w:type="dxa"/>
            <w:tcBorders>
              <w:top w:val="single" w:sz="12" w:space="0" w:color="000000"/>
              <w:bottom w:val="single" w:sz="4" w:space="0" w:color="000000"/>
              <w:tl2br w:val="nil"/>
            </w:tcBorders>
            <w:shd w:val="clear" w:color="auto" w:fill="FFFFFF"/>
          </w:tcPr>
          <w:p w14:paraId="064A0DEB" w14:textId="77777777" w:rsidR="00B84757" w:rsidRDefault="00000000">
            <w:pPr>
              <w:spacing w:after="0"/>
              <w:jc w:val="both"/>
              <w:rPr>
                <w:rFonts w:ascii="宋体" w:hAnsi="宋体"/>
                <w:color w:val="000000"/>
                <w:szCs w:val="24"/>
              </w:rPr>
            </w:pPr>
            <w:r>
              <w:rPr>
                <w:rFonts w:ascii="宋体" w:hAnsi="宋体"/>
                <w:color w:val="000000"/>
                <w:szCs w:val="24"/>
              </w:rPr>
              <w:t>排名组别</w:t>
            </w:r>
          </w:p>
        </w:tc>
        <w:tc>
          <w:tcPr>
            <w:tcW w:w="3022" w:type="dxa"/>
            <w:tcBorders>
              <w:top w:val="single" w:sz="12" w:space="0" w:color="000000"/>
              <w:bottom w:val="single" w:sz="4" w:space="0" w:color="000000"/>
            </w:tcBorders>
            <w:shd w:val="clear" w:color="auto" w:fill="FFFFFF"/>
          </w:tcPr>
          <w:p w14:paraId="6204A797" w14:textId="77777777" w:rsidR="00B84757" w:rsidRDefault="00000000">
            <w:pPr>
              <w:spacing w:after="0"/>
              <w:jc w:val="both"/>
              <w:rPr>
                <w:rFonts w:ascii="宋体" w:hAnsi="宋体"/>
                <w:color w:val="000000"/>
                <w:szCs w:val="24"/>
              </w:rPr>
            </w:pPr>
            <w:r>
              <w:rPr>
                <w:rFonts w:ascii="宋体" w:hAnsi="宋体"/>
                <w:color w:val="000000"/>
                <w:szCs w:val="24"/>
              </w:rPr>
              <w:t>省份</w:t>
            </w:r>
          </w:p>
        </w:tc>
        <w:tc>
          <w:tcPr>
            <w:tcW w:w="3022" w:type="dxa"/>
            <w:tcBorders>
              <w:top w:val="single" w:sz="12" w:space="0" w:color="000000"/>
              <w:bottom w:val="single" w:sz="4" w:space="0" w:color="000000"/>
            </w:tcBorders>
            <w:shd w:val="clear" w:color="auto" w:fill="FFFFFF"/>
          </w:tcPr>
          <w:p w14:paraId="679E4709" w14:textId="77777777" w:rsidR="00B84757" w:rsidRDefault="00000000">
            <w:pPr>
              <w:spacing w:after="0"/>
              <w:jc w:val="both"/>
              <w:rPr>
                <w:rFonts w:ascii="宋体" w:hAnsi="宋体"/>
                <w:color w:val="000000"/>
                <w:szCs w:val="24"/>
              </w:rPr>
            </w:pPr>
            <w:r>
              <w:rPr>
                <w:rFonts w:ascii="宋体" w:hAnsi="宋体"/>
                <w:color w:val="000000"/>
                <w:szCs w:val="24"/>
              </w:rPr>
              <w:t>平均超效率</w:t>
            </w:r>
          </w:p>
        </w:tc>
      </w:tr>
      <w:tr w:rsidR="00B84757" w14:paraId="1931E02A" w14:textId="77777777">
        <w:trPr>
          <w:jc w:val="center"/>
        </w:trPr>
        <w:tc>
          <w:tcPr>
            <w:tcW w:w="3022" w:type="dxa"/>
            <w:tcBorders>
              <w:top w:val="single" w:sz="4" w:space="0" w:color="000000"/>
              <w:bottom w:val="nil"/>
            </w:tcBorders>
            <w:shd w:val="clear" w:color="auto" w:fill="FFFFFF"/>
          </w:tcPr>
          <w:p w14:paraId="3D08A0FA" w14:textId="77777777" w:rsidR="00B84757" w:rsidRDefault="00000000">
            <w:pPr>
              <w:spacing w:after="0"/>
              <w:jc w:val="both"/>
              <w:rPr>
                <w:rFonts w:ascii="宋体" w:hAnsi="宋体"/>
                <w:color w:val="000000"/>
                <w:szCs w:val="24"/>
              </w:rPr>
            </w:pPr>
            <w:r>
              <w:rPr>
                <w:rFonts w:ascii="宋体" w:hAnsi="宋体"/>
                <w:color w:val="000000"/>
                <w:szCs w:val="24"/>
              </w:rPr>
              <w:t>前三区间</w:t>
            </w:r>
          </w:p>
        </w:tc>
        <w:tc>
          <w:tcPr>
            <w:tcW w:w="3022" w:type="dxa"/>
            <w:tcBorders>
              <w:top w:val="single" w:sz="4" w:space="0" w:color="000000"/>
              <w:bottom w:val="nil"/>
            </w:tcBorders>
            <w:shd w:val="clear" w:color="auto" w:fill="FFFFFF"/>
          </w:tcPr>
          <w:p w14:paraId="0F147250" w14:textId="77777777" w:rsidR="00B84757" w:rsidRDefault="00000000">
            <w:pPr>
              <w:spacing w:after="0"/>
              <w:jc w:val="both"/>
              <w:rPr>
                <w:rFonts w:ascii="宋体" w:hAnsi="宋体"/>
                <w:color w:val="000000"/>
                <w:szCs w:val="24"/>
              </w:rPr>
            </w:pPr>
            <w:r>
              <w:rPr>
                <w:rFonts w:ascii="宋体" w:hAnsi="宋体"/>
                <w:color w:val="000000"/>
                <w:szCs w:val="24"/>
              </w:rPr>
              <w:t>青海</w:t>
            </w:r>
          </w:p>
        </w:tc>
        <w:tc>
          <w:tcPr>
            <w:tcW w:w="3022" w:type="dxa"/>
            <w:tcBorders>
              <w:top w:val="single" w:sz="4" w:space="0" w:color="000000"/>
              <w:bottom w:val="nil"/>
            </w:tcBorders>
            <w:shd w:val="clear" w:color="auto" w:fill="FFFFFF"/>
          </w:tcPr>
          <w:p w14:paraId="1E721239" w14:textId="77777777" w:rsidR="00B84757" w:rsidRDefault="00000000">
            <w:pPr>
              <w:spacing w:after="0"/>
              <w:jc w:val="both"/>
              <w:rPr>
                <w:rFonts w:ascii="宋体" w:hAnsi="宋体"/>
                <w:color w:val="000000"/>
                <w:szCs w:val="24"/>
              </w:rPr>
            </w:pPr>
            <w:r>
              <w:rPr>
                <w:rFonts w:ascii="宋体" w:hAnsi="宋体"/>
                <w:color w:val="000000"/>
                <w:szCs w:val="24"/>
              </w:rPr>
              <w:t>1.0103</w:t>
            </w:r>
          </w:p>
        </w:tc>
      </w:tr>
      <w:tr w:rsidR="00B84757" w14:paraId="07F0DC27" w14:textId="77777777">
        <w:trPr>
          <w:jc w:val="center"/>
        </w:trPr>
        <w:tc>
          <w:tcPr>
            <w:tcW w:w="3022" w:type="dxa"/>
            <w:tcBorders>
              <w:top w:val="nil"/>
              <w:bottom w:val="nil"/>
            </w:tcBorders>
            <w:shd w:val="clear" w:color="auto" w:fill="FFFFFF"/>
          </w:tcPr>
          <w:p w14:paraId="29715B5D" w14:textId="77777777" w:rsidR="00B84757" w:rsidRDefault="00B84757">
            <w:pPr>
              <w:spacing w:after="0"/>
              <w:jc w:val="both"/>
              <w:rPr>
                <w:rFonts w:ascii="宋体" w:hAnsi="宋体"/>
                <w:color w:val="000000"/>
                <w:szCs w:val="24"/>
              </w:rPr>
            </w:pPr>
          </w:p>
        </w:tc>
        <w:tc>
          <w:tcPr>
            <w:tcW w:w="3022" w:type="dxa"/>
            <w:tcBorders>
              <w:top w:val="nil"/>
              <w:bottom w:val="nil"/>
            </w:tcBorders>
            <w:shd w:val="clear" w:color="auto" w:fill="FFFFFF"/>
          </w:tcPr>
          <w:p w14:paraId="7CCAC9C9" w14:textId="77777777" w:rsidR="00B84757" w:rsidRDefault="00000000">
            <w:pPr>
              <w:spacing w:after="0"/>
              <w:jc w:val="both"/>
              <w:rPr>
                <w:rFonts w:ascii="宋体" w:hAnsi="宋体"/>
                <w:color w:val="000000"/>
                <w:szCs w:val="24"/>
              </w:rPr>
            </w:pPr>
            <w:r>
              <w:rPr>
                <w:rFonts w:ascii="宋体" w:hAnsi="宋体"/>
                <w:color w:val="000000"/>
                <w:szCs w:val="24"/>
              </w:rPr>
              <w:t>北京</w:t>
            </w:r>
          </w:p>
        </w:tc>
        <w:tc>
          <w:tcPr>
            <w:tcW w:w="3022" w:type="dxa"/>
            <w:tcBorders>
              <w:top w:val="nil"/>
              <w:bottom w:val="nil"/>
            </w:tcBorders>
            <w:shd w:val="clear" w:color="auto" w:fill="FFFFFF"/>
          </w:tcPr>
          <w:p w14:paraId="0AAC1D68" w14:textId="77777777" w:rsidR="00B84757" w:rsidRDefault="00000000">
            <w:pPr>
              <w:spacing w:after="0"/>
              <w:jc w:val="both"/>
              <w:rPr>
                <w:rFonts w:ascii="宋体" w:hAnsi="宋体"/>
                <w:color w:val="000000"/>
                <w:szCs w:val="24"/>
              </w:rPr>
            </w:pPr>
            <w:r>
              <w:rPr>
                <w:rFonts w:ascii="宋体" w:hAnsi="宋体"/>
                <w:color w:val="000000"/>
                <w:szCs w:val="24"/>
              </w:rPr>
              <w:t>0.9214</w:t>
            </w:r>
          </w:p>
        </w:tc>
      </w:tr>
      <w:tr w:rsidR="00B84757" w14:paraId="04B7914B" w14:textId="77777777">
        <w:trPr>
          <w:jc w:val="center"/>
        </w:trPr>
        <w:tc>
          <w:tcPr>
            <w:tcW w:w="3022" w:type="dxa"/>
            <w:tcBorders>
              <w:top w:val="nil"/>
              <w:bottom w:val="nil"/>
            </w:tcBorders>
            <w:shd w:val="clear" w:color="auto" w:fill="FFFFFF"/>
          </w:tcPr>
          <w:p w14:paraId="3E3A6E94" w14:textId="77777777" w:rsidR="00B84757" w:rsidRDefault="00B84757">
            <w:pPr>
              <w:spacing w:after="0"/>
              <w:jc w:val="both"/>
              <w:rPr>
                <w:rFonts w:ascii="宋体" w:hAnsi="宋体"/>
                <w:color w:val="000000"/>
                <w:szCs w:val="24"/>
              </w:rPr>
            </w:pPr>
          </w:p>
        </w:tc>
        <w:tc>
          <w:tcPr>
            <w:tcW w:w="3022" w:type="dxa"/>
            <w:tcBorders>
              <w:top w:val="nil"/>
              <w:bottom w:val="nil"/>
            </w:tcBorders>
            <w:shd w:val="clear" w:color="auto" w:fill="FFFFFF"/>
          </w:tcPr>
          <w:p w14:paraId="62B0F643" w14:textId="77777777" w:rsidR="00B84757" w:rsidRDefault="00000000">
            <w:pPr>
              <w:spacing w:after="0"/>
              <w:jc w:val="both"/>
              <w:rPr>
                <w:rFonts w:ascii="宋体" w:hAnsi="宋体"/>
                <w:color w:val="000000"/>
                <w:szCs w:val="24"/>
              </w:rPr>
            </w:pPr>
            <w:r>
              <w:rPr>
                <w:rFonts w:ascii="宋体" w:hAnsi="宋体"/>
                <w:color w:val="000000"/>
                <w:szCs w:val="24"/>
              </w:rPr>
              <w:t>天津</w:t>
            </w:r>
          </w:p>
        </w:tc>
        <w:tc>
          <w:tcPr>
            <w:tcW w:w="3022" w:type="dxa"/>
            <w:tcBorders>
              <w:top w:val="nil"/>
              <w:bottom w:val="nil"/>
            </w:tcBorders>
            <w:shd w:val="clear" w:color="auto" w:fill="FFFFFF"/>
          </w:tcPr>
          <w:p w14:paraId="39E441A8" w14:textId="77777777" w:rsidR="00B84757" w:rsidRDefault="00000000">
            <w:pPr>
              <w:spacing w:after="0"/>
              <w:jc w:val="both"/>
              <w:rPr>
                <w:rFonts w:ascii="宋体" w:hAnsi="宋体"/>
                <w:color w:val="000000"/>
                <w:szCs w:val="24"/>
              </w:rPr>
            </w:pPr>
            <w:r>
              <w:rPr>
                <w:rFonts w:ascii="宋体" w:hAnsi="宋体"/>
                <w:color w:val="000000"/>
                <w:szCs w:val="24"/>
              </w:rPr>
              <w:t>0.8356</w:t>
            </w:r>
          </w:p>
        </w:tc>
      </w:tr>
      <w:tr w:rsidR="00B84757" w14:paraId="44BF2D3F" w14:textId="77777777">
        <w:trPr>
          <w:jc w:val="center"/>
        </w:trPr>
        <w:tc>
          <w:tcPr>
            <w:tcW w:w="3022" w:type="dxa"/>
            <w:tcBorders>
              <w:top w:val="nil"/>
              <w:bottom w:val="nil"/>
            </w:tcBorders>
            <w:shd w:val="clear" w:color="auto" w:fill="FFFFFF"/>
          </w:tcPr>
          <w:p w14:paraId="114D93C2" w14:textId="77777777" w:rsidR="00B84757" w:rsidRDefault="00000000">
            <w:pPr>
              <w:spacing w:after="0"/>
              <w:jc w:val="both"/>
              <w:rPr>
                <w:rFonts w:ascii="宋体" w:hAnsi="宋体"/>
                <w:color w:val="000000"/>
                <w:szCs w:val="24"/>
              </w:rPr>
            </w:pPr>
            <w:r>
              <w:rPr>
                <w:rFonts w:ascii="宋体" w:hAnsi="宋体"/>
                <w:color w:val="000000"/>
                <w:szCs w:val="24"/>
              </w:rPr>
              <w:t>后三区间</w:t>
            </w:r>
          </w:p>
        </w:tc>
        <w:tc>
          <w:tcPr>
            <w:tcW w:w="3022" w:type="dxa"/>
            <w:tcBorders>
              <w:top w:val="nil"/>
              <w:bottom w:val="nil"/>
            </w:tcBorders>
            <w:shd w:val="clear" w:color="auto" w:fill="FFFFFF"/>
          </w:tcPr>
          <w:p w14:paraId="682A4514" w14:textId="77777777" w:rsidR="00B84757" w:rsidRDefault="00000000">
            <w:pPr>
              <w:spacing w:after="0"/>
              <w:jc w:val="both"/>
              <w:rPr>
                <w:rFonts w:ascii="宋体" w:hAnsi="宋体"/>
                <w:color w:val="000000"/>
                <w:szCs w:val="24"/>
              </w:rPr>
            </w:pPr>
            <w:r>
              <w:rPr>
                <w:rFonts w:ascii="宋体" w:hAnsi="宋体"/>
                <w:color w:val="000000"/>
                <w:szCs w:val="24"/>
              </w:rPr>
              <w:t>安徽</w:t>
            </w:r>
          </w:p>
        </w:tc>
        <w:tc>
          <w:tcPr>
            <w:tcW w:w="3022" w:type="dxa"/>
            <w:tcBorders>
              <w:top w:val="nil"/>
              <w:bottom w:val="nil"/>
            </w:tcBorders>
            <w:shd w:val="clear" w:color="auto" w:fill="FFFFFF"/>
          </w:tcPr>
          <w:p w14:paraId="38A8F4AC" w14:textId="77777777" w:rsidR="00B84757" w:rsidRDefault="00000000">
            <w:pPr>
              <w:spacing w:after="0"/>
              <w:jc w:val="both"/>
              <w:rPr>
                <w:rFonts w:ascii="宋体" w:hAnsi="宋体"/>
                <w:color w:val="000000"/>
                <w:szCs w:val="24"/>
              </w:rPr>
            </w:pPr>
            <w:r>
              <w:rPr>
                <w:rFonts w:ascii="宋体" w:hAnsi="宋体"/>
                <w:color w:val="000000"/>
                <w:szCs w:val="24"/>
              </w:rPr>
              <w:t>0.2676</w:t>
            </w:r>
          </w:p>
        </w:tc>
      </w:tr>
      <w:tr w:rsidR="00B84757" w14:paraId="37583DC1" w14:textId="77777777">
        <w:trPr>
          <w:jc w:val="center"/>
        </w:trPr>
        <w:tc>
          <w:tcPr>
            <w:tcW w:w="3022" w:type="dxa"/>
            <w:tcBorders>
              <w:top w:val="nil"/>
              <w:bottom w:val="nil"/>
            </w:tcBorders>
            <w:shd w:val="clear" w:color="auto" w:fill="FFFFFF"/>
          </w:tcPr>
          <w:p w14:paraId="75379DA7" w14:textId="77777777" w:rsidR="00B84757" w:rsidRDefault="00B84757">
            <w:pPr>
              <w:spacing w:after="0"/>
              <w:jc w:val="both"/>
              <w:rPr>
                <w:rFonts w:ascii="宋体" w:hAnsi="宋体"/>
                <w:color w:val="000000"/>
                <w:szCs w:val="24"/>
              </w:rPr>
            </w:pPr>
          </w:p>
        </w:tc>
        <w:tc>
          <w:tcPr>
            <w:tcW w:w="3022" w:type="dxa"/>
            <w:tcBorders>
              <w:top w:val="nil"/>
              <w:bottom w:val="nil"/>
            </w:tcBorders>
            <w:shd w:val="clear" w:color="auto" w:fill="FFFFFF"/>
          </w:tcPr>
          <w:p w14:paraId="71A812B7" w14:textId="77777777" w:rsidR="00B84757" w:rsidRDefault="00000000">
            <w:pPr>
              <w:spacing w:after="0"/>
              <w:jc w:val="both"/>
              <w:rPr>
                <w:rFonts w:ascii="宋体" w:hAnsi="宋体"/>
                <w:color w:val="000000"/>
                <w:szCs w:val="24"/>
              </w:rPr>
            </w:pPr>
            <w:r>
              <w:rPr>
                <w:rFonts w:ascii="宋体" w:hAnsi="宋体"/>
                <w:color w:val="000000"/>
                <w:szCs w:val="24"/>
              </w:rPr>
              <w:t>甘肃</w:t>
            </w:r>
          </w:p>
        </w:tc>
        <w:tc>
          <w:tcPr>
            <w:tcW w:w="3022" w:type="dxa"/>
            <w:tcBorders>
              <w:top w:val="nil"/>
              <w:bottom w:val="nil"/>
            </w:tcBorders>
            <w:shd w:val="clear" w:color="auto" w:fill="FFFFFF"/>
          </w:tcPr>
          <w:p w14:paraId="57E2EAD8" w14:textId="77777777" w:rsidR="00B84757" w:rsidRDefault="00000000">
            <w:pPr>
              <w:spacing w:after="0"/>
              <w:jc w:val="both"/>
              <w:rPr>
                <w:rFonts w:ascii="宋体" w:hAnsi="宋体"/>
                <w:color w:val="000000"/>
                <w:szCs w:val="24"/>
              </w:rPr>
            </w:pPr>
            <w:r>
              <w:rPr>
                <w:rFonts w:ascii="宋体" w:hAnsi="宋体"/>
                <w:color w:val="000000"/>
                <w:szCs w:val="24"/>
              </w:rPr>
              <w:t>0.2561</w:t>
            </w:r>
          </w:p>
        </w:tc>
      </w:tr>
      <w:tr w:rsidR="00B84757" w14:paraId="5918652B" w14:textId="77777777">
        <w:trPr>
          <w:jc w:val="center"/>
        </w:trPr>
        <w:tc>
          <w:tcPr>
            <w:tcW w:w="3022" w:type="dxa"/>
            <w:tcBorders>
              <w:top w:val="nil"/>
              <w:bottom w:val="single" w:sz="12" w:space="0" w:color="000000"/>
            </w:tcBorders>
            <w:shd w:val="clear" w:color="auto" w:fill="FFFFFF"/>
          </w:tcPr>
          <w:p w14:paraId="4F45F46C" w14:textId="77777777" w:rsidR="00B84757" w:rsidRDefault="00B84757">
            <w:pPr>
              <w:spacing w:after="0"/>
              <w:jc w:val="both"/>
              <w:rPr>
                <w:rFonts w:ascii="宋体" w:hAnsi="宋体"/>
                <w:color w:val="000000"/>
                <w:szCs w:val="24"/>
              </w:rPr>
            </w:pPr>
          </w:p>
        </w:tc>
        <w:tc>
          <w:tcPr>
            <w:tcW w:w="3022" w:type="dxa"/>
            <w:tcBorders>
              <w:top w:val="nil"/>
              <w:bottom w:val="single" w:sz="12" w:space="0" w:color="000000"/>
            </w:tcBorders>
            <w:shd w:val="clear" w:color="auto" w:fill="FFFFFF"/>
          </w:tcPr>
          <w:p w14:paraId="49BEAEDF" w14:textId="77777777" w:rsidR="00B84757" w:rsidRDefault="00000000">
            <w:pPr>
              <w:spacing w:after="0"/>
              <w:jc w:val="both"/>
              <w:rPr>
                <w:rFonts w:ascii="宋体" w:hAnsi="宋体"/>
                <w:color w:val="000000"/>
                <w:szCs w:val="24"/>
              </w:rPr>
            </w:pPr>
            <w:r>
              <w:rPr>
                <w:rFonts w:ascii="宋体" w:hAnsi="宋体"/>
                <w:color w:val="000000"/>
                <w:szCs w:val="24"/>
              </w:rPr>
              <w:t>江西</w:t>
            </w:r>
          </w:p>
        </w:tc>
        <w:tc>
          <w:tcPr>
            <w:tcW w:w="3022" w:type="dxa"/>
            <w:tcBorders>
              <w:top w:val="nil"/>
              <w:bottom w:val="single" w:sz="12" w:space="0" w:color="000000"/>
            </w:tcBorders>
            <w:shd w:val="clear" w:color="auto" w:fill="FFFFFF"/>
          </w:tcPr>
          <w:p w14:paraId="33478079" w14:textId="77777777" w:rsidR="00B84757" w:rsidRDefault="00000000">
            <w:pPr>
              <w:spacing w:after="0"/>
              <w:jc w:val="both"/>
              <w:rPr>
                <w:rFonts w:ascii="宋体" w:hAnsi="宋体"/>
                <w:color w:val="000000"/>
                <w:szCs w:val="24"/>
              </w:rPr>
            </w:pPr>
            <w:r>
              <w:rPr>
                <w:rFonts w:ascii="宋体" w:hAnsi="宋体"/>
                <w:color w:val="000000"/>
                <w:szCs w:val="24"/>
              </w:rPr>
              <w:t>0.2501</w:t>
            </w:r>
          </w:p>
        </w:tc>
      </w:tr>
    </w:tbl>
    <w:p w14:paraId="17EDF9D7" w14:textId="77777777" w:rsidR="00B84757" w:rsidRDefault="00000000">
      <w:pPr>
        <w:spacing w:beforeLines="50" w:before="120"/>
        <w:jc w:val="center"/>
        <w:rPr>
          <w:sz w:val="22"/>
          <w:lang w:eastAsia="zh-CN"/>
        </w:rPr>
      </w:pPr>
      <w:r>
        <w:rPr>
          <w:noProof/>
          <w:sz w:val="22"/>
          <w:lang w:eastAsia="zh-CN"/>
        </w:rPr>
        <w:drawing>
          <wp:inline distT="0" distB="0" distL="114300" distR="114300" wp14:anchorId="08DA4B55" wp14:editId="3988C263">
            <wp:extent cx="5459730" cy="3275965"/>
            <wp:effectExtent l="0" t="0" r="1270" b="635"/>
            <wp:docPr id="10" name="图片 10" descr="跨年最高最低静态生产率折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跨年最高最低静态生产率折线图"/>
                    <pic:cNvPicPr>
                      <a:picLocks noChangeAspect="1"/>
                    </pic:cNvPicPr>
                  </pic:nvPicPr>
                  <pic:blipFill>
                    <a:blip r:embed="rId21"/>
                    <a:stretch>
                      <a:fillRect/>
                    </a:stretch>
                  </pic:blipFill>
                  <pic:spPr>
                    <a:xfrm>
                      <a:off x="0" y="0"/>
                      <a:ext cx="5459730" cy="3275965"/>
                    </a:xfrm>
                    <a:prstGeom prst="rect">
                      <a:avLst/>
                    </a:prstGeom>
                  </pic:spPr>
                </pic:pic>
              </a:graphicData>
            </a:graphic>
          </wp:inline>
        </w:drawing>
      </w:r>
    </w:p>
    <w:p w14:paraId="1F967111" w14:textId="77777777" w:rsidR="00B84757" w:rsidRDefault="00000000">
      <w:pPr>
        <w:pStyle w:val="a7"/>
        <w:spacing w:beforeLines="50" w:before="12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13</w:t>
      </w:r>
      <w:r>
        <w:fldChar w:fldCharType="end"/>
      </w:r>
      <w:bookmarkStart w:id="45" w:name="_Toc12607"/>
      <w:r>
        <w:rPr>
          <w:rFonts w:hint="eastAsia"/>
          <w:lang w:eastAsia="zh-CN"/>
        </w:rPr>
        <w:t xml:space="preserve"> </w:t>
      </w:r>
      <w:r>
        <w:rPr>
          <w:rFonts w:hint="eastAsia"/>
          <w:lang w:eastAsia="zh-CN"/>
        </w:rPr>
        <w:t>代表性高低效率省份年际变化对比图</w:t>
      </w:r>
      <w:bookmarkEnd w:id="45"/>
    </w:p>
    <w:p w14:paraId="697C6959" w14:textId="77777777" w:rsidR="00B84757" w:rsidRDefault="00000000">
      <w:pPr>
        <w:ind w:firstLine="720"/>
        <w:rPr>
          <w:lang w:eastAsia="zh-CN"/>
        </w:rPr>
      </w:pPr>
      <w:r>
        <w:rPr>
          <w:lang w:eastAsia="zh-CN"/>
        </w:rPr>
        <w:lastRenderedPageBreak/>
        <w:t>该图进一步表明，高效率省份长期保持在效率前沿附近，波动相对较小；低效率省份虽有一定改善，但整体仍处于较低水平。由此可见，当前省际差异不仅表现为静态排序差异，也表现为长期演进路径的分化。</w:t>
      </w:r>
    </w:p>
    <w:p w14:paraId="64E262CE" w14:textId="77777777" w:rsidR="00B84757" w:rsidRDefault="00000000">
      <w:pPr>
        <w:pStyle w:val="21"/>
        <w:jc w:val="both"/>
        <w:rPr>
          <w:rFonts w:ascii="楷体" w:hAnsi="楷体"/>
          <w:color w:val="auto"/>
          <w:lang w:eastAsia="zh-CN"/>
        </w:rPr>
      </w:pPr>
      <w:bookmarkStart w:id="46" w:name="_Toc18640"/>
      <w:r>
        <w:rPr>
          <w:rFonts w:ascii="楷体" w:hAnsi="楷体"/>
          <w:color w:val="auto"/>
          <w:lang w:eastAsia="zh-CN"/>
        </w:rPr>
        <w:t>（三）动态演进特征分析</w:t>
      </w:r>
      <w:bookmarkEnd w:id="46"/>
    </w:p>
    <w:p w14:paraId="5BF5731E"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由Malmquist指数结果可知，研究期内我国省域碳排放效率的全要素生产率变化均值为1.0637，大于1，表明整体绿色生产率呈改善趋势。进一步从分解结果看，技术效率变化指数均值为0.9871，技术进步指数均值为1.0895。相较之下，技术进步指数明显高于1，而技术效率变化指数略低于1，说明省域碳排放效率的提升主要来源于技术进步，而非单纯的管理效率追赶。这一结论与Malmquist分解逻辑相一致。</w:t>
      </w:r>
    </w:p>
    <w:p w14:paraId="724E3085"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分阶段看，2015—2016、2018—2019、2019—2020和2021—2022年的tfpch均高于1.07，表明这些阶段绿色生产率提升较快；而2020—2021年tfpch略低于1，说明疫情冲击、能源供需紧张和经济恢复过程中的短期波动对效率改善形成了一定扰动。总体而言，数字基础设施完善、绿色技术扩散和产业升级仍是推动碳排放效率动态提升的核心力量。</w:t>
      </w:r>
    </w:p>
    <w:p w14:paraId="3CA84A5D" w14:textId="77777777" w:rsidR="00B84757" w:rsidRDefault="00000000">
      <w:pPr>
        <w:spacing w:after="0" w:line="480" w:lineRule="exact"/>
        <w:ind w:firstLineChars="200" w:firstLine="480"/>
        <w:jc w:val="center"/>
      </w:pPr>
      <w:r>
        <w:t>表</w:t>
      </w:r>
      <w:r>
        <w:t xml:space="preserve"> </w:t>
      </w:r>
      <w:r>
        <w:fldChar w:fldCharType="begin"/>
      </w:r>
      <w:r>
        <w:instrText xml:space="preserve"> SEQ </w:instrText>
      </w:r>
      <w:r>
        <w:instrText>表</w:instrText>
      </w:r>
      <w:r>
        <w:instrText xml:space="preserve"> \* ARABIC </w:instrText>
      </w:r>
      <w:r>
        <w:fldChar w:fldCharType="separate"/>
      </w:r>
      <w:r>
        <w:t>9</w:t>
      </w:r>
      <w:r>
        <w:fldChar w:fldCharType="end"/>
      </w:r>
      <w:bookmarkStart w:id="47" w:name="_Toc29009"/>
      <w:r>
        <w:rPr>
          <w:rFonts w:hint="eastAsia"/>
          <w:lang w:eastAsia="zh-CN"/>
        </w:rPr>
        <w:t xml:space="preserve"> </w:t>
      </w:r>
      <w:r>
        <w:t xml:space="preserve">Malmquist </w:t>
      </w:r>
      <w:r>
        <w:t>指数年度均值</w:t>
      </w:r>
      <w:bookmarkEnd w:id="47"/>
    </w:p>
    <w:tbl>
      <w:tblPr>
        <w:tblW w:w="4998" w:type="pct"/>
        <w:tblCellMar>
          <w:top w:w="17" w:type="dxa"/>
          <w:left w:w="17" w:type="dxa"/>
          <w:bottom w:w="17" w:type="dxa"/>
          <w:right w:w="17" w:type="dxa"/>
        </w:tblCellMar>
        <w:tblLook w:val="04A0" w:firstRow="1" w:lastRow="0" w:firstColumn="1" w:lastColumn="0" w:noHBand="0" w:noVBand="1"/>
      </w:tblPr>
      <w:tblGrid>
        <w:gridCol w:w="2842"/>
        <w:gridCol w:w="1480"/>
        <w:gridCol w:w="2088"/>
        <w:gridCol w:w="2233"/>
      </w:tblGrid>
      <w:tr w:rsidR="00B84757" w14:paraId="27D89A0B" w14:textId="77777777">
        <w:trPr>
          <w:trHeight w:val="90"/>
          <w:tblHeader/>
        </w:trPr>
        <w:tc>
          <w:tcPr>
            <w:tcW w:w="1643" w:type="pct"/>
            <w:tcBorders>
              <w:top w:val="single" w:sz="12" w:space="0" w:color="000000"/>
              <w:bottom w:val="single" w:sz="4" w:space="0" w:color="000000"/>
              <w:tl2br w:val="nil"/>
            </w:tcBorders>
            <w:shd w:val="clear" w:color="auto" w:fill="FFFFFF"/>
            <w:vAlign w:val="center"/>
          </w:tcPr>
          <w:p w14:paraId="1F39A8EE" w14:textId="77777777" w:rsidR="00B84757" w:rsidRDefault="00000000">
            <w:pPr>
              <w:jc w:val="center"/>
              <w:rPr>
                <w:color w:val="000000"/>
                <w:lang w:eastAsia="zh-CN"/>
              </w:rPr>
            </w:pPr>
            <w:r>
              <w:rPr>
                <w:rFonts w:hint="eastAsia"/>
                <w:color w:val="000000"/>
                <w:lang w:eastAsia="zh-CN"/>
              </w:rPr>
              <w:t>时期</w:t>
            </w:r>
          </w:p>
        </w:tc>
        <w:tc>
          <w:tcPr>
            <w:tcW w:w="856" w:type="pct"/>
            <w:tcBorders>
              <w:top w:val="single" w:sz="12" w:space="0" w:color="000000"/>
              <w:bottom w:val="single" w:sz="4" w:space="0" w:color="000000"/>
            </w:tcBorders>
            <w:shd w:val="clear" w:color="auto" w:fill="FFFFFF"/>
            <w:vAlign w:val="center"/>
          </w:tcPr>
          <w:p w14:paraId="02126F75" w14:textId="77777777" w:rsidR="00B84757" w:rsidRDefault="00000000">
            <w:pPr>
              <w:jc w:val="center"/>
              <w:rPr>
                <w:color w:val="000000"/>
                <w:lang w:eastAsia="zh-CN"/>
              </w:rPr>
            </w:pPr>
            <w:r>
              <w:rPr>
                <w:rFonts w:hint="eastAsia"/>
                <w:color w:val="000000"/>
                <w:lang w:eastAsia="zh-CN"/>
              </w:rPr>
              <w:t>GM</w:t>
            </w:r>
            <w:r>
              <w:rPr>
                <w:rFonts w:hint="eastAsia"/>
                <w:color w:val="000000"/>
                <w:lang w:eastAsia="zh-CN"/>
              </w:rPr>
              <w:t>（</w:t>
            </w:r>
            <w:r>
              <w:rPr>
                <w:rFonts w:hint="eastAsia"/>
                <w:color w:val="000000"/>
                <w:lang w:eastAsia="zh-CN"/>
              </w:rPr>
              <w:t>tfpch</w:t>
            </w:r>
            <w:r>
              <w:rPr>
                <w:rFonts w:hint="eastAsia"/>
                <w:color w:val="000000"/>
                <w:lang w:eastAsia="zh-CN"/>
              </w:rPr>
              <w:t>）</w:t>
            </w:r>
          </w:p>
        </w:tc>
        <w:tc>
          <w:tcPr>
            <w:tcW w:w="1208" w:type="pct"/>
            <w:tcBorders>
              <w:top w:val="single" w:sz="12" w:space="0" w:color="000000"/>
              <w:bottom w:val="single" w:sz="4" w:space="0" w:color="000000"/>
            </w:tcBorders>
            <w:shd w:val="clear" w:color="auto" w:fill="FFFFFF"/>
            <w:vAlign w:val="center"/>
          </w:tcPr>
          <w:p w14:paraId="184A8970" w14:textId="77777777" w:rsidR="00B84757" w:rsidRDefault="00000000">
            <w:pPr>
              <w:jc w:val="center"/>
              <w:rPr>
                <w:color w:val="000000"/>
                <w:lang w:eastAsia="zh-CN"/>
              </w:rPr>
            </w:pPr>
            <w:r>
              <w:rPr>
                <w:rFonts w:hint="eastAsia"/>
                <w:color w:val="000000"/>
                <w:lang w:eastAsia="zh-CN"/>
              </w:rPr>
              <w:t>效率变化（</w:t>
            </w:r>
            <w:r>
              <w:rPr>
                <w:rFonts w:hint="eastAsia"/>
                <w:color w:val="000000"/>
                <w:lang w:eastAsia="zh-CN"/>
              </w:rPr>
              <w:t>effch</w:t>
            </w:r>
            <w:r>
              <w:rPr>
                <w:rFonts w:hint="eastAsia"/>
                <w:color w:val="000000"/>
                <w:lang w:eastAsia="zh-CN"/>
              </w:rPr>
              <w:t>）</w:t>
            </w:r>
          </w:p>
        </w:tc>
        <w:tc>
          <w:tcPr>
            <w:tcW w:w="1291" w:type="pct"/>
            <w:tcBorders>
              <w:top w:val="single" w:sz="12" w:space="0" w:color="000000"/>
              <w:bottom w:val="single" w:sz="4" w:space="0" w:color="000000"/>
            </w:tcBorders>
            <w:shd w:val="clear" w:color="auto" w:fill="FFFFFF"/>
            <w:vAlign w:val="center"/>
          </w:tcPr>
          <w:p w14:paraId="7E874E6D" w14:textId="77777777" w:rsidR="00B84757" w:rsidRDefault="00000000">
            <w:pPr>
              <w:jc w:val="center"/>
              <w:rPr>
                <w:color w:val="000000"/>
                <w:lang w:eastAsia="zh-CN"/>
              </w:rPr>
            </w:pPr>
            <w:r>
              <w:rPr>
                <w:rFonts w:hint="eastAsia"/>
                <w:color w:val="000000"/>
                <w:lang w:eastAsia="zh-CN"/>
              </w:rPr>
              <w:t>技术变化（</w:t>
            </w:r>
            <w:r>
              <w:rPr>
                <w:rFonts w:hint="eastAsia"/>
                <w:color w:val="000000"/>
                <w:lang w:eastAsia="zh-CN"/>
              </w:rPr>
              <w:t>techch</w:t>
            </w:r>
            <w:r>
              <w:rPr>
                <w:rFonts w:hint="eastAsia"/>
                <w:color w:val="000000"/>
                <w:lang w:eastAsia="zh-CN"/>
              </w:rPr>
              <w:t>）</w:t>
            </w:r>
          </w:p>
        </w:tc>
      </w:tr>
      <w:tr w:rsidR="00B84757" w14:paraId="38094BB4" w14:textId="77777777">
        <w:trPr>
          <w:trHeight w:val="227"/>
        </w:trPr>
        <w:tc>
          <w:tcPr>
            <w:tcW w:w="1643" w:type="pct"/>
            <w:tcBorders>
              <w:top w:val="single" w:sz="4" w:space="0" w:color="000000"/>
            </w:tcBorders>
            <w:shd w:val="clear" w:color="auto" w:fill="FFFFFF"/>
            <w:vAlign w:val="center"/>
          </w:tcPr>
          <w:p w14:paraId="3B9A67F2" w14:textId="77777777" w:rsidR="00B84757" w:rsidRDefault="00000000">
            <w:pPr>
              <w:jc w:val="center"/>
              <w:rPr>
                <w:color w:val="000000"/>
                <w:lang w:eastAsia="zh-CN"/>
              </w:rPr>
            </w:pPr>
            <w:r>
              <w:rPr>
                <w:rFonts w:hint="eastAsia"/>
                <w:color w:val="000000"/>
                <w:lang w:eastAsia="zh-CN"/>
              </w:rPr>
              <w:t>2015</w:t>
            </w:r>
            <w:r>
              <w:rPr>
                <w:rFonts w:hint="eastAsia"/>
                <w:color w:val="000000"/>
                <w:lang w:eastAsia="zh-CN"/>
              </w:rPr>
              <w:t>–</w:t>
            </w:r>
            <w:r>
              <w:rPr>
                <w:rFonts w:hint="eastAsia"/>
                <w:color w:val="000000"/>
                <w:lang w:eastAsia="zh-CN"/>
              </w:rPr>
              <w:t>2016</w:t>
            </w:r>
          </w:p>
        </w:tc>
        <w:tc>
          <w:tcPr>
            <w:tcW w:w="856" w:type="pct"/>
            <w:tcBorders>
              <w:top w:val="single" w:sz="4" w:space="0" w:color="000000"/>
            </w:tcBorders>
            <w:shd w:val="clear" w:color="auto" w:fill="FFFFFF"/>
            <w:vAlign w:val="center"/>
          </w:tcPr>
          <w:p w14:paraId="2D92817D" w14:textId="77777777" w:rsidR="00B84757" w:rsidRDefault="00000000">
            <w:pPr>
              <w:jc w:val="center"/>
              <w:rPr>
                <w:color w:val="000000"/>
                <w:lang w:eastAsia="zh-CN"/>
              </w:rPr>
            </w:pPr>
            <w:r>
              <w:rPr>
                <w:rFonts w:hint="eastAsia"/>
                <w:color w:val="000000"/>
                <w:lang w:eastAsia="zh-CN"/>
              </w:rPr>
              <w:t>0.9812</w:t>
            </w:r>
          </w:p>
        </w:tc>
        <w:tc>
          <w:tcPr>
            <w:tcW w:w="1208" w:type="pct"/>
            <w:tcBorders>
              <w:top w:val="single" w:sz="4" w:space="0" w:color="000000"/>
            </w:tcBorders>
            <w:shd w:val="clear" w:color="auto" w:fill="FFFFFF"/>
            <w:vAlign w:val="center"/>
          </w:tcPr>
          <w:p w14:paraId="687E5254" w14:textId="77777777" w:rsidR="00B84757" w:rsidRDefault="00000000">
            <w:pPr>
              <w:jc w:val="center"/>
              <w:rPr>
                <w:color w:val="000000"/>
                <w:lang w:eastAsia="zh-CN"/>
              </w:rPr>
            </w:pPr>
            <w:r>
              <w:rPr>
                <w:rFonts w:hint="eastAsia"/>
                <w:color w:val="000000"/>
                <w:lang w:eastAsia="zh-CN"/>
              </w:rPr>
              <w:t>1.0404</w:t>
            </w:r>
          </w:p>
        </w:tc>
        <w:tc>
          <w:tcPr>
            <w:tcW w:w="1291" w:type="pct"/>
            <w:tcBorders>
              <w:top w:val="single" w:sz="4" w:space="0" w:color="000000"/>
            </w:tcBorders>
            <w:shd w:val="clear" w:color="auto" w:fill="FFFFFF"/>
            <w:vAlign w:val="center"/>
          </w:tcPr>
          <w:p w14:paraId="51294A04" w14:textId="77777777" w:rsidR="00B84757" w:rsidRDefault="00000000">
            <w:pPr>
              <w:jc w:val="center"/>
              <w:rPr>
                <w:color w:val="000000"/>
                <w:lang w:eastAsia="zh-CN"/>
              </w:rPr>
            </w:pPr>
            <w:r>
              <w:rPr>
                <w:rFonts w:hint="eastAsia"/>
                <w:color w:val="000000"/>
                <w:lang w:eastAsia="zh-CN"/>
              </w:rPr>
              <w:t>0.9698</w:t>
            </w:r>
          </w:p>
        </w:tc>
      </w:tr>
      <w:tr w:rsidR="00B84757" w14:paraId="697B8B69" w14:textId="77777777">
        <w:trPr>
          <w:trHeight w:val="227"/>
        </w:trPr>
        <w:tc>
          <w:tcPr>
            <w:tcW w:w="1643" w:type="pct"/>
            <w:shd w:val="clear" w:color="auto" w:fill="FFFFFF"/>
            <w:vAlign w:val="center"/>
          </w:tcPr>
          <w:p w14:paraId="57AA0078" w14:textId="77777777" w:rsidR="00B84757" w:rsidRDefault="00000000">
            <w:pPr>
              <w:jc w:val="center"/>
              <w:rPr>
                <w:color w:val="000000"/>
                <w:lang w:eastAsia="zh-CN"/>
              </w:rPr>
            </w:pPr>
            <w:r>
              <w:rPr>
                <w:rFonts w:hint="eastAsia"/>
                <w:color w:val="000000"/>
                <w:lang w:eastAsia="zh-CN"/>
              </w:rPr>
              <w:t>2016</w:t>
            </w:r>
            <w:r>
              <w:rPr>
                <w:rFonts w:hint="eastAsia"/>
                <w:color w:val="000000"/>
                <w:lang w:eastAsia="zh-CN"/>
              </w:rPr>
              <w:t>–</w:t>
            </w:r>
            <w:r>
              <w:rPr>
                <w:rFonts w:hint="eastAsia"/>
                <w:color w:val="000000"/>
                <w:lang w:eastAsia="zh-CN"/>
              </w:rPr>
              <w:t>2017</w:t>
            </w:r>
          </w:p>
        </w:tc>
        <w:tc>
          <w:tcPr>
            <w:tcW w:w="856" w:type="pct"/>
            <w:shd w:val="clear" w:color="auto" w:fill="FFFFFF"/>
            <w:vAlign w:val="center"/>
          </w:tcPr>
          <w:p w14:paraId="2FE0F1C2" w14:textId="77777777" w:rsidR="00B84757" w:rsidRDefault="00000000">
            <w:pPr>
              <w:jc w:val="center"/>
              <w:rPr>
                <w:color w:val="000000"/>
                <w:lang w:eastAsia="zh-CN"/>
              </w:rPr>
            </w:pPr>
            <w:r>
              <w:rPr>
                <w:rFonts w:hint="eastAsia"/>
                <w:color w:val="000000"/>
                <w:lang w:eastAsia="zh-CN"/>
              </w:rPr>
              <w:t>1.0147</w:t>
            </w:r>
          </w:p>
        </w:tc>
        <w:tc>
          <w:tcPr>
            <w:tcW w:w="1208" w:type="pct"/>
            <w:shd w:val="clear" w:color="auto" w:fill="FFFFFF"/>
            <w:vAlign w:val="center"/>
          </w:tcPr>
          <w:p w14:paraId="63A7641C" w14:textId="77777777" w:rsidR="00B84757" w:rsidRDefault="00000000">
            <w:pPr>
              <w:jc w:val="center"/>
              <w:rPr>
                <w:color w:val="000000"/>
                <w:lang w:eastAsia="zh-CN"/>
              </w:rPr>
            </w:pPr>
            <w:r>
              <w:rPr>
                <w:rFonts w:hint="eastAsia"/>
                <w:color w:val="000000"/>
                <w:lang w:eastAsia="zh-CN"/>
              </w:rPr>
              <w:t>0.9875</w:t>
            </w:r>
          </w:p>
        </w:tc>
        <w:tc>
          <w:tcPr>
            <w:tcW w:w="1291" w:type="pct"/>
            <w:shd w:val="clear" w:color="auto" w:fill="FFFFFF"/>
            <w:vAlign w:val="center"/>
          </w:tcPr>
          <w:p w14:paraId="27B86EB3" w14:textId="77777777" w:rsidR="00B84757" w:rsidRDefault="00000000">
            <w:pPr>
              <w:jc w:val="center"/>
              <w:rPr>
                <w:color w:val="000000"/>
                <w:lang w:eastAsia="zh-CN"/>
              </w:rPr>
            </w:pPr>
            <w:r>
              <w:rPr>
                <w:rFonts w:hint="eastAsia"/>
                <w:color w:val="000000"/>
                <w:lang w:eastAsia="zh-CN"/>
              </w:rPr>
              <w:t>1.0558</w:t>
            </w:r>
          </w:p>
        </w:tc>
      </w:tr>
      <w:tr w:rsidR="00B84757" w14:paraId="5C4BD6AE" w14:textId="77777777">
        <w:trPr>
          <w:trHeight w:val="227"/>
        </w:trPr>
        <w:tc>
          <w:tcPr>
            <w:tcW w:w="1643" w:type="pct"/>
            <w:shd w:val="clear" w:color="auto" w:fill="FFFFFF"/>
            <w:vAlign w:val="center"/>
          </w:tcPr>
          <w:p w14:paraId="43A038CD" w14:textId="77777777" w:rsidR="00B84757" w:rsidRDefault="00000000">
            <w:pPr>
              <w:jc w:val="center"/>
              <w:rPr>
                <w:color w:val="000000"/>
                <w:lang w:eastAsia="zh-CN"/>
              </w:rPr>
            </w:pPr>
            <w:r>
              <w:rPr>
                <w:rFonts w:hint="eastAsia"/>
                <w:color w:val="000000"/>
                <w:lang w:eastAsia="zh-CN"/>
              </w:rPr>
              <w:t>2017</w:t>
            </w:r>
            <w:r>
              <w:rPr>
                <w:rFonts w:hint="eastAsia"/>
                <w:color w:val="000000"/>
                <w:lang w:eastAsia="zh-CN"/>
              </w:rPr>
              <w:t>–</w:t>
            </w:r>
            <w:r>
              <w:rPr>
                <w:rFonts w:hint="eastAsia"/>
                <w:color w:val="000000"/>
                <w:lang w:eastAsia="zh-CN"/>
              </w:rPr>
              <w:t>2018</w:t>
            </w:r>
          </w:p>
        </w:tc>
        <w:tc>
          <w:tcPr>
            <w:tcW w:w="856" w:type="pct"/>
            <w:shd w:val="clear" w:color="auto" w:fill="FFFFFF"/>
            <w:vAlign w:val="center"/>
          </w:tcPr>
          <w:p w14:paraId="74AFDB66" w14:textId="77777777" w:rsidR="00B84757" w:rsidRDefault="00000000">
            <w:pPr>
              <w:jc w:val="center"/>
              <w:rPr>
                <w:color w:val="000000"/>
                <w:lang w:eastAsia="zh-CN"/>
              </w:rPr>
            </w:pPr>
            <w:r>
              <w:rPr>
                <w:rFonts w:hint="eastAsia"/>
                <w:color w:val="000000"/>
                <w:lang w:eastAsia="zh-CN"/>
              </w:rPr>
              <w:t>1.0465</w:t>
            </w:r>
          </w:p>
        </w:tc>
        <w:tc>
          <w:tcPr>
            <w:tcW w:w="1208" w:type="pct"/>
            <w:shd w:val="clear" w:color="auto" w:fill="FFFFFF"/>
            <w:vAlign w:val="center"/>
          </w:tcPr>
          <w:p w14:paraId="1980CA79" w14:textId="77777777" w:rsidR="00B84757" w:rsidRDefault="00000000">
            <w:pPr>
              <w:jc w:val="center"/>
              <w:rPr>
                <w:color w:val="000000"/>
                <w:lang w:eastAsia="zh-CN"/>
              </w:rPr>
            </w:pPr>
            <w:r>
              <w:rPr>
                <w:rFonts w:hint="eastAsia"/>
                <w:color w:val="000000"/>
                <w:lang w:eastAsia="zh-CN"/>
              </w:rPr>
              <w:t>0.9834</w:t>
            </w:r>
          </w:p>
        </w:tc>
        <w:tc>
          <w:tcPr>
            <w:tcW w:w="1291" w:type="pct"/>
            <w:shd w:val="clear" w:color="auto" w:fill="FFFFFF"/>
            <w:vAlign w:val="center"/>
          </w:tcPr>
          <w:p w14:paraId="7CE44584" w14:textId="77777777" w:rsidR="00B84757" w:rsidRDefault="00000000">
            <w:pPr>
              <w:jc w:val="center"/>
              <w:rPr>
                <w:color w:val="000000"/>
                <w:lang w:eastAsia="zh-CN"/>
              </w:rPr>
            </w:pPr>
            <w:r>
              <w:rPr>
                <w:rFonts w:hint="eastAsia"/>
                <w:color w:val="000000"/>
                <w:lang w:eastAsia="zh-CN"/>
              </w:rPr>
              <w:t>1.0849</w:t>
            </w:r>
          </w:p>
        </w:tc>
      </w:tr>
      <w:tr w:rsidR="00B84757" w14:paraId="7C506DDC" w14:textId="77777777">
        <w:trPr>
          <w:trHeight w:val="227"/>
        </w:trPr>
        <w:tc>
          <w:tcPr>
            <w:tcW w:w="1643" w:type="pct"/>
            <w:shd w:val="clear" w:color="auto" w:fill="FFFFFF"/>
            <w:vAlign w:val="center"/>
          </w:tcPr>
          <w:p w14:paraId="6477C99E" w14:textId="77777777" w:rsidR="00B84757" w:rsidRDefault="00000000">
            <w:pPr>
              <w:jc w:val="center"/>
              <w:rPr>
                <w:color w:val="000000"/>
                <w:lang w:eastAsia="zh-CN"/>
              </w:rPr>
            </w:pPr>
            <w:r>
              <w:rPr>
                <w:rFonts w:hint="eastAsia"/>
                <w:color w:val="000000"/>
                <w:lang w:eastAsia="zh-CN"/>
              </w:rPr>
              <w:t>2018</w:t>
            </w:r>
            <w:r>
              <w:rPr>
                <w:rFonts w:hint="eastAsia"/>
                <w:color w:val="000000"/>
                <w:lang w:eastAsia="zh-CN"/>
              </w:rPr>
              <w:t>–</w:t>
            </w:r>
            <w:r>
              <w:rPr>
                <w:rFonts w:hint="eastAsia"/>
                <w:color w:val="000000"/>
                <w:lang w:eastAsia="zh-CN"/>
              </w:rPr>
              <w:t>2019</w:t>
            </w:r>
          </w:p>
        </w:tc>
        <w:tc>
          <w:tcPr>
            <w:tcW w:w="856" w:type="pct"/>
            <w:shd w:val="clear" w:color="auto" w:fill="FFFFFF"/>
            <w:vAlign w:val="center"/>
          </w:tcPr>
          <w:p w14:paraId="627EAEA1" w14:textId="77777777" w:rsidR="00B84757" w:rsidRDefault="00000000">
            <w:pPr>
              <w:jc w:val="center"/>
              <w:rPr>
                <w:color w:val="000000"/>
                <w:lang w:eastAsia="zh-CN"/>
              </w:rPr>
            </w:pPr>
            <w:r>
              <w:rPr>
                <w:rFonts w:hint="eastAsia"/>
                <w:color w:val="000000"/>
                <w:lang w:eastAsia="zh-CN"/>
              </w:rPr>
              <w:t>1.0392</w:t>
            </w:r>
          </w:p>
        </w:tc>
        <w:tc>
          <w:tcPr>
            <w:tcW w:w="1208" w:type="pct"/>
            <w:shd w:val="clear" w:color="auto" w:fill="FFFFFF"/>
            <w:vAlign w:val="center"/>
          </w:tcPr>
          <w:p w14:paraId="30FE3679" w14:textId="77777777" w:rsidR="00B84757" w:rsidRDefault="00000000">
            <w:pPr>
              <w:jc w:val="center"/>
              <w:rPr>
                <w:color w:val="000000"/>
                <w:lang w:eastAsia="zh-CN"/>
              </w:rPr>
            </w:pPr>
            <w:r>
              <w:rPr>
                <w:rFonts w:hint="eastAsia"/>
                <w:color w:val="000000"/>
                <w:lang w:eastAsia="zh-CN"/>
              </w:rPr>
              <w:t>0.9844</w:t>
            </w:r>
          </w:p>
        </w:tc>
        <w:tc>
          <w:tcPr>
            <w:tcW w:w="1291" w:type="pct"/>
            <w:shd w:val="clear" w:color="auto" w:fill="FFFFFF"/>
            <w:vAlign w:val="center"/>
          </w:tcPr>
          <w:p w14:paraId="237C8D96" w14:textId="77777777" w:rsidR="00B84757" w:rsidRDefault="00000000">
            <w:pPr>
              <w:jc w:val="center"/>
              <w:rPr>
                <w:color w:val="000000"/>
                <w:lang w:eastAsia="zh-CN"/>
              </w:rPr>
            </w:pPr>
            <w:r>
              <w:rPr>
                <w:rFonts w:hint="eastAsia"/>
                <w:color w:val="000000"/>
                <w:lang w:eastAsia="zh-CN"/>
              </w:rPr>
              <w:t>1.0602</w:t>
            </w:r>
          </w:p>
        </w:tc>
      </w:tr>
      <w:tr w:rsidR="00B84757" w14:paraId="7F521465" w14:textId="77777777">
        <w:trPr>
          <w:trHeight w:val="227"/>
        </w:trPr>
        <w:tc>
          <w:tcPr>
            <w:tcW w:w="1643" w:type="pct"/>
            <w:shd w:val="clear" w:color="auto" w:fill="FFFFFF"/>
            <w:vAlign w:val="center"/>
          </w:tcPr>
          <w:p w14:paraId="34937DDE" w14:textId="77777777" w:rsidR="00B84757" w:rsidRDefault="00000000">
            <w:pPr>
              <w:jc w:val="center"/>
              <w:rPr>
                <w:color w:val="000000"/>
                <w:lang w:eastAsia="zh-CN"/>
              </w:rPr>
            </w:pPr>
            <w:r>
              <w:rPr>
                <w:rFonts w:hint="eastAsia"/>
                <w:color w:val="000000"/>
                <w:lang w:eastAsia="zh-CN"/>
              </w:rPr>
              <w:t>2019</w:t>
            </w:r>
            <w:r>
              <w:rPr>
                <w:rFonts w:hint="eastAsia"/>
                <w:color w:val="000000"/>
                <w:lang w:eastAsia="zh-CN"/>
              </w:rPr>
              <w:t>–</w:t>
            </w:r>
            <w:r>
              <w:rPr>
                <w:rFonts w:hint="eastAsia"/>
                <w:color w:val="000000"/>
                <w:lang w:eastAsia="zh-CN"/>
              </w:rPr>
              <w:t>2020</w:t>
            </w:r>
          </w:p>
        </w:tc>
        <w:tc>
          <w:tcPr>
            <w:tcW w:w="856" w:type="pct"/>
            <w:shd w:val="clear" w:color="auto" w:fill="FFFFFF"/>
            <w:vAlign w:val="center"/>
          </w:tcPr>
          <w:p w14:paraId="19508BB0" w14:textId="77777777" w:rsidR="00B84757" w:rsidRDefault="00000000">
            <w:pPr>
              <w:jc w:val="center"/>
              <w:rPr>
                <w:color w:val="000000"/>
                <w:lang w:eastAsia="zh-CN"/>
              </w:rPr>
            </w:pPr>
            <w:r>
              <w:rPr>
                <w:rFonts w:hint="eastAsia"/>
                <w:color w:val="000000"/>
                <w:lang w:eastAsia="zh-CN"/>
              </w:rPr>
              <w:t>1.0082</w:t>
            </w:r>
          </w:p>
        </w:tc>
        <w:tc>
          <w:tcPr>
            <w:tcW w:w="1208" w:type="pct"/>
            <w:shd w:val="clear" w:color="auto" w:fill="FFFFFF"/>
            <w:vAlign w:val="center"/>
          </w:tcPr>
          <w:p w14:paraId="420B90D7" w14:textId="77777777" w:rsidR="00B84757" w:rsidRDefault="00000000">
            <w:pPr>
              <w:jc w:val="center"/>
              <w:rPr>
                <w:color w:val="000000"/>
                <w:lang w:eastAsia="zh-CN"/>
              </w:rPr>
            </w:pPr>
            <w:r>
              <w:rPr>
                <w:rFonts w:hint="eastAsia"/>
                <w:color w:val="000000"/>
                <w:lang w:eastAsia="zh-CN"/>
              </w:rPr>
              <w:t>1.0087</w:t>
            </w:r>
          </w:p>
        </w:tc>
        <w:tc>
          <w:tcPr>
            <w:tcW w:w="1291" w:type="pct"/>
            <w:shd w:val="clear" w:color="auto" w:fill="FFFFFF"/>
            <w:vAlign w:val="center"/>
          </w:tcPr>
          <w:p w14:paraId="50C060E5" w14:textId="77777777" w:rsidR="00B84757" w:rsidRDefault="00000000">
            <w:pPr>
              <w:jc w:val="center"/>
              <w:rPr>
                <w:color w:val="000000"/>
                <w:lang w:eastAsia="zh-CN"/>
              </w:rPr>
            </w:pPr>
            <w:r>
              <w:rPr>
                <w:rFonts w:hint="eastAsia"/>
                <w:color w:val="000000"/>
                <w:lang w:eastAsia="zh-CN"/>
              </w:rPr>
              <w:t>1.0108</w:t>
            </w:r>
          </w:p>
        </w:tc>
      </w:tr>
      <w:tr w:rsidR="00B84757" w14:paraId="611506FE" w14:textId="77777777">
        <w:trPr>
          <w:trHeight w:val="227"/>
        </w:trPr>
        <w:tc>
          <w:tcPr>
            <w:tcW w:w="1643" w:type="pct"/>
            <w:shd w:val="clear" w:color="auto" w:fill="FFFFFF"/>
            <w:vAlign w:val="center"/>
          </w:tcPr>
          <w:p w14:paraId="0AE5536A" w14:textId="77777777" w:rsidR="00B84757" w:rsidRDefault="00000000">
            <w:pPr>
              <w:jc w:val="center"/>
              <w:rPr>
                <w:color w:val="000000"/>
                <w:lang w:eastAsia="zh-CN"/>
              </w:rPr>
            </w:pPr>
            <w:r>
              <w:rPr>
                <w:rFonts w:hint="eastAsia"/>
                <w:color w:val="000000"/>
                <w:lang w:eastAsia="zh-CN"/>
              </w:rPr>
              <w:t>2020</w:t>
            </w:r>
            <w:r>
              <w:rPr>
                <w:rFonts w:hint="eastAsia"/>
                <w:color w:val="000000"/>
                <w:lang w:eastAsia="zh-CN"/>
              </w:rPr>
              <w:t>–</w:t>
            </w:r>
            <w:r>
              <w:rPr>
                <w:rFonts w:hint="eastAsia"/>
                <w:color w:val="000000"/>
                <w:lang w:eastAsia="zh-CN"/>
              </w:rPr>
              <w:t>2021</w:t>
            </w:r>
          </w:p>
        </w:tc>
        <w:tc>
          <w:tcPr>
            <w:tcW w:w="856" w:type="pct"/>
            <w:shd w:val="clear" w:color="auto" w:fill="FFFFFF"/>
            <w:vAlign w:val="center"/>
          </w:tcPr>
          <w:p w14:paraId="1ABDD291" w14:textId="77777777" w:rsidR="00B84757" w:rsidRDefault="00000000">
            <w:pPr>
              <w:jc w:val="center"/>
              <w:rPr>
                <w:color w:val="000000"/>
                <w:lang w:eastAsia="zh-CN"/>
              </w:rPr>
            </w:pPr>
            <w:r>
              <w:rPr>
                <w:rFonts w:hint="eastAsia"/>
                <w:color w:val="000000"/>
                <w:lang w:eastAsia="zh-CN"/>
              </w:rPr>
              <w:t>1.0393</w:t>
            </w:r>
          </w:p>
        </w:tc>
        <w:tc>
          <w:tcPr>
            <w:tcW w:w="1208" w:type="pct"/>
            <w:shd w:val="clear" w:color="auto" w:fill="FFFFFF"/>
            <w:vAlign w:val="center"/>
          </w:tcPr>
          <w:p w14:paraId="7F43BBF8" w14:textId="77777777" w:rsidR="00B84757" w:rsidRDefault="00000000">
            <w:pPr>
              <w:jc w:val="center"/>
              <w:rPr>
                <w:color w:val="000000"/>
                <w:lang w:eastAsia="zh-CN"/>
              </w:rPr>
            </w:pPr>
            <w:r>
              <w:rPr>
                <w:rFonts w:hint="eastAsia"/>
                <w:color w:val="000000"/>
                <w:lang w:eastAsia="zh-CN"/>
              </w:rPr>
              <w:t>1.0288</w:t>
            </w:r>
          </w:p>
        </w:tc>
        <w:tc>
          <w:tcPr>
            <w:tcW w:w="1291" w:type="pct"/>
            <w:shd w:val="clear" w:color="auto" w:fill="FFFFFF"/>
            <w:vAlign w:val="center"/>
          </w:tcPr>
          <w:p w14:paraId="648F1B3E" w14:textId="77777777" w:rsidR="00B84757" w:rsidRDefault="00000000">
            <w:pPr>
              <w:jc w:val="center"/>
              <w:rPr>
                <w:color w:val="000000"/>
                <w:lang w:eastAsia="zh-CN"/>
              </w:rPr>
            </w:pPr>
            <w:r>
              <w:rPr>
                <w:rFonts w:hint="eastAsia"/>
                <w:color w:val="000000"/>
                <w:lang w:eastAsia="zh-CN"/>
              </w:rPr>
              <w:t>1.0150</w:t>
            </w:r>
          </w:p>
        </w:tc>
      </w:tr>
      <w:tr w:rsidR="00B84757" w14:paraId="2D9E71A2" w14:textId="77777777">
        <w:trPr>
          <w:trHeight w:val="227"/>
        </w:trPr>
        <w:tc>
          <w:tcPr>
            <w:tcW w:w="1643" w:type="pct"/>
            <w:shd w:val="clear" w:color="auto" w:fill="FFFFFF"/>
            <w:vAlign w:val="center"/>
          </w:tcPr>
          <w:p w14:paraId="7EBA2692" w14:textId="77777777" w:rsidR="00B84757" w:rsidRDefault="00000000">
            <w:pPr>
              <w:jc w:val="center"/>
              <w:rPr>
                <w:color w:val="000000"/>
                <w:lang w:eastAsia="zh-CN"/>
              </w:rPr>
            </w:pPr>
            <w:r>
              <w:rPr>
                <w:rFonts w:hint="eastAsia"/>
                <w:color w:val="000000"/>
                <w:lang w:eastAsia="zh-CN"/>
              </w:rPr>
              <w:lastRenderedPageBreak/>
              <w:t>2021</w:t>
            </w:r>
            <w:r>
              <w:rPr>
                <w:rFonts w:hint="eastAsia"/>
                <w:color w:val="000000"/>
                <w:lang w:eastAsia="zh-CN"/>
              </w:rPr>
              <w:t>–</w:t>
            </w:r>
            <w:r>
              <w:rPr>
                <w:rFonts w:hint="eastAsia"/>
                <w:color w:val="000000"/>
                <w:lang w:eastAsia="zh-CN"/>
              </w:rPr>
              <w:t>2022</w:t>
            </w:r>
          </w:p>
        </w:tc>
        <w:tc>
          <w:tcPr>
            <w:tcW w:w="856" w:type="pct"/>
            <w:shd w:val="clear" w:color="auto" w:fill="FFFFFF"/>
            <w:vAlign w:val="center"/>
          </w:tcPr>
          <w:p w14:paraId="4666A93F" w14:textId="77777777" w:rsidR="00B84757" w:rsidRDefault="00000000">
            <w:pPr>
              <w:jc w:val="center"/>
              <w:rPr>
                <w:color w:val="000000"/>
                <w:lang w:eastAsia="zh-CN"/>
              </w:rPr>
            </w:pPr>
            <w:r>
              <w:rPr>
                <w:rFonts w:hint="eastAsia"/>
                <w:color w:val="000000"/>
                <w:lang w:eastAsia="zh-CN"/>
              </w:rPr>
              <w:t>1.0256</w:t>
            </w:r>
          </w:p>
        </w:tc>
        <w:tc>
          <w:tcPr>
            <w:tcW w:w="1208" w:type="pct"/>
            <w:shd w:val="clear" w:color="auto" w:fill="FFFFFF"/>
            <w:vAlign w:val="center"/>
          </w:tcPr>
          <w:p w14:paraId="6B77B99D" w14:textId="77777777" w:rsidR="00B84757" w:rsidRDefault="00000000">
            <w:pPr>
              <w:jc w:val="center"/>
              <w:rPr>
                <w:color w:val="000000"/>
                <w:lang w:eastAsia="zh-CN"/>
              </w:rPr>
            </w:pPr>
            <w:r>
              <w:rPr>
                <w:rFonts w:hint="eastAsia"/>
                <w:color w:val="000000"/>
                <w:lang w:eastAsia="zh-CN"/>
              </w:rPr>
              <w:t>0.9732</w:t>
            </w:r>
          </w:p>
        </w:tc>
        <w:tc>
          <w:tcPr>
            <w:tcW w:w="1291" w:type="pct"/>
            <w:shd w:val="clear" w:color="auto" w:fill="FFFFFF"/>
            <w:vAlign w:val="center"/>
          </w:tcPr>
          <w:p w14:paraId="6B18B32B" w14:textId="77777777" w:rsidR="00B84757" w:rsidRDefault="00000000">
            <w:pPr>
              <w:jc w:val="center"/>
              <w:rPr>
                <w:color w:val="000000"/>
                <w:lang w:eastAsia="zh-CN"/>
              </w:rPr>
            </w:pPr>
            <w:r>
              <w:rPr>
                <w:rFonts w:hint="eastAsia"/>
                <w:color w:val="000000"/>
                <w:lang w:eastAsia="zh-CN"/>
              </w:rPr>
              <w:t>1.0569</w:t>
            </w:r>
          </w:p>
        </w:tc>
      </w:tr>
      <w:tr w:rsidR="00B84757" w14:paraId="0C7E84B3" w14:textId="77777777">
        <w:trPr>
          <w:trHeight w:val="227"/>
        </w:trPr>
        <w:tc>
          <w:tcPr>
            <w:tcW w:w="1643" w:type="pct"/>
            <w:tcBorders>
              <w:bottom w:val="single" w:sz="12" w:space="0" w:color="000000"/>
            </w:tcBorders>
            <w:shd w:val="clear" w:color="auto" w:fill="FFFFFF"/>
            <w:vAlign w:val="center"/>
          </w:tcPr>
          <w:p w14:paraId="327A14D1" w14:textId="77777777" w:rsidR="00B84757" w:rsidRDefault="00000000">
            <w:pPr>
              <w:jc w:val="center"/>
              <w:rPr>
                <w:color w:val="000000"/>
                <w:lang w:eastAsia="zh-CN"/>
              </w:rPr>
            </w:pPr>
            <w:r>
              <w:rPr>
                <w:rFonts w:hint="eastAsia"/>
                <w:color w:val="000000"/>
                <w:lang w:eastAsia="zh-CN"/>
              </w:rPr>
              <w:t>截面均值（各省×各期）</w:t>
            </w:r>
          </w:p>
        </w:tc>
        <w:tc>
          <w:tcPr>
            <w:tcW w:w="856" w:type="pct"/>
            <w:tcBorders>
              <w:bottom w:val="single" w:sz="12" w:space="0" w:color="000000"/>
            </w:tcBorders>
            <w:shd w:val="clear" w:color="auto" w:fill="FFFFFF"/>
            <w:vAlign w:val="center"/>
          </w:tcPr>
          <w:p w14:paraId="107D5BE9" w14:textId="77777777" w:rsidR="00B84757" w:rsidRDefault="00000000">
            <w:pPr>
              <w:jc w:val="center"/>
              <w:rPr>
                <w:color w:val="000000"/>
                <w:lang w:eastAsia="zh-CN"/>
              </w:rPr>
            </w:pPr>
            <w:r>
              <w:rPr>
                <w:rFonts w:hint="eastAsia"/>
                <w:color w:val="000000"/>
                <w:lang w:eastAsia="zh-CN"/>
              </w:rPr>
              <w:t>1.0221</w:t>
            </w:r>
          </w:p>
        </w:tc>
        <w:tc>
          <w:tcPr>
            <w:tcW w:w="1208" w:type="pct"/>
            <w:tcBorders>
              <w:bottom w:val="single" w:sz="12" w:space="0" w:color="000000"/>
            </w:tcBorders>
            <w:shd w:val="clear" w:color="auto" w:fill="FFFFFF"/>
            <w:vAlign w:val="center"/>
          </w:tcPr>
          <w:p w14:paraId="343BC626" w14:textId="77777777" w:rsidR="00B84757" w:rsidRDefault="00000000">
            <w:pPr>
              <w:jc w:val="center"/>
              <w:rPr>
                <w:color w:val="000000"/>
                <w:lang w:eastAsia="zh-CN"/>
              </w:rPr>
            </w:pPr>
            <w:r>
              <w:rPr>
                <w:rFonts w:hint="eastAsia"/>
                <w:color w:val="000000"/>
                <w:lang w:eastAsia="zh-CN"/>
              </w:rPr>
              <w:t>1.0009</w:t>
            </w:r>
          </w:p>
        </w:tc>
        <w:tc>
          <w:tcPr>
            <w:tcW w:w="1291" w:type="pct"/>
            <w:tcBorders>
              <w:bottom w:val="single" w:sz="12" w:space="0" w:color="000000"/>
            </w:tcBorders>
            <w:shd w:val="clear" w:color="auto" w:fill="FFFFFF"/>
            <w:vAlign w:val="center"/>
          </w:tcPr>
          <w:p w14:paraId="742D64BC" w14:textId="77777777" w:rsidR="00B84757" w:rsidRDefault="00000000">
            <w:pPr>
              <w:jc w:val="center"/>
              <w:rPr>
                <w:color w:val="000000"/>
                <w:lang w:eastAsia="zh-CN"/>
              </w:rPr>
            </w:pPr>
            <w:r>
              <w:rPr>
                <w:rFonts w:hint="eastAsia"/>
                <w:color w:val="000000"/>
                <w:lang w:eastAsia="zh-CN"/>
              </w:rPr>
              <w:t>1.0362</w:t>
            </w:r>
          </w:p>
        </w:tc>
      </w:tr>
    </w:tbl>
    <w:p w14:paraId="6CB57901" w14:textId="77777777" w:rsidR="00B84757" w:rsidRDefault="00000000">
      <w:pPr>
        <w:jc w:val="center"/>
        <w:rPr>
          <w:lang w:eastAsia="zh-CN"/>
        </w:rPr>
      </w:pPr>
      <w:r>
        <w:rPr>
          <w:rFonts w:hint="eastAsia"/>
          <w:noProof/>
          <w:lang w:eastAsia="zh-CN"/>
        </w:rPr>
        <w:drawing>
          <wp:inline distT="0" distB="0" distL="114300" distR="114300" wp14:anchorId="4E9626E2" wp14:editId="715E7A8C">
            <wp:extent cx="4639945" cy="2701290"/>
            <wp:effectExtent l="0" t="0" r="8255" b="3810"/>
            <wp:docPr id="32" name="图片 32" descr="14_GM及其分解项年度趋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4_GM及其分解项年度趋势图"/>
                    <pic:cNvPicPr>
                      <a:picLocks noChangeAspect="1"/>
                    </pic:cNvPicPr>
                  </pic:nvPicPr>
                  <pic:blipFill>
                    <a:blip r:embed="rId22"/>
                    <a:stretch>
                      <a:fillRect/>
                    </a:stretch>
                  </pic:blipFill>
                  <pic:spPr>
                    <a:xfrm>
                      <a:off x="0" y="0"/>
                      <a:ext cx="4639945" cy="2701290"/>
                    </a:xfrm>
                    <a:prstGeom prst="rect">
                      <a:avLst/>
                    </a:prstGeom>
                  </pic:spPr>
                </pic:pic>
              </a:graphicData>
            </a:graphic>
          </wp:inline>
        </w:drawing>
      </w:r>
    </w:p>
    <w:p w14:paraId="08EFFB20" w14:textId="77777777" w:rsidR="00B84757" w:rsidRDefault="00000000">
      <w:pPr>
        <w:pStyle w:val="a7"/>
        <w:spacing w:beforeLines="50" w:before="120"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14</w:t>
      </w:r>
      <w:r>
        <w:fldChar w:fldCharType="end"/>
      </w:r>
      <w:bookmarkStart w:id="48" w:name="_Toc30574"/>
      <w:r>
        <w:rPr>
          <w:rFonts w:hint="eastAsia"/>
          <w:lang w:eastAsia="zh-CN"/>
        </w:rPr>
        <w:t xml:space="preserve"> Malmquist</w:t>
      </w:r>
      <w:r>
        <w:rPr>
          <w:rFonts w:hint="eastAsia"/>
          <w:lang w:eastAsia="zh-CN"/>
        </w:rPr>
        <w:t>指数及其分解项年度趋势图</w:t>
      </w:r>
      <w:bookmarkEnd w:id="48"/>
    </w:p>
    <w:p w14:paraId="7981B37E" w14:textId="77777777" w:rsidR="00B84757" w:rsidRDefault="00000000">
      <w:pPr>
        <w:ind w:firstLine="720"/>
        <w:rPr>
          <w:lang w:eastAsia="zh-CN"/>
        </w:rPr>
      </w:pPr>
      <w:r>
        <w:rPr>
          <w:lang w:eastAsia="zh-CN"/>
        </w:rPr>
        <w:t>从分解趋势看，</w:t>
      </w:r>
      <w:r>
        <w:rPr>
          <w:lang w:eastAsia="zh-CN"/>
        </w:rPr>
        <w:t xml:space="preserve">tfpch </w:t>
      </w:r>
      <w:r>
        <w:rPr>
          <w:lang w:eastAsia="zh-CN"/>
        </w:rPr>
        <w:t>在多数年份大于</w:t>
      </w:r>
      <w:r>
        <w:rPr>
          <w:lang w:eastAsia="zh-CN"/>
        </w:rPr>
        <w:t>1</w:t>
      </w:r>
      <w:r>
        <w:rPr>
          <w:lang w:eastAsia="zh-CN"/>
        </w:rPr>
        <w:t>，表明样本期内绿色全要素生产率总体呈改善趋势。与此同时，</w:t>
      </w:r>
      <w:r>
        <w:rPr>
          <w:lang w:eastAsia="zh-CN"/>
        </w:rPr>
        <w:t>techch</w:t>
      </w:r>
      <w:r>
        <w:rPr>
          <w:lang w:eastAsia="zh-CN"/>
        </w:rPr>
        <w:t>整体高于</w:t>
      </w:r>
      <w:r>
        <w:rPr>
          <w:lang w:eastAsia="zh-CN"/>
        </w:rPr>
        <w:t>effch</w:t>
      </w:r>
      <w:r>
        <w:rPr>
          <w:lang w:eastAsia="zh-CN"/>
        </w:rPr>
        <w:t>，说明碳排放效率提升更多来自技术进步，而非单纯的效率追赶，这与表</w:t>
      </w:r>
      <w:r>
        <w:rPr>
          <w:lang w:eastAsia="zh-CN"/>
        </w:rPr>
        <w:t>9</w:t>
      </w:r>
      <w:r>
        <w:rPr>
          <w:lang w:eastAsia="zh-CN"/>
        </w:rPr>
        <w:t>中的年度均值结果一致。</w:t>
      </w:r>
    </w:p>
    <w:p w14:paraId="7FCFE3CD" w14:textId="77777777" w:rsidR="00B84757" w:rsidRDefault="00000000">
      <w:pPr>
        <w:pStyle w:val="21"/>
        <w:jc w:val="both"/>
        <w:rPr>
          <w:rFonts w:ascii="楷体" w:hAnsi="楷体"/>
          <w:color w:val="auto"/>
          <w:lang w:eastAsia="zh-CN"/>
        </w:rPr>
      </w:pPr>
      <w:bookmarkStart w:id="49" w:name="_Toc32062"/>
      <w:r>
        <w:rPr>
          <w:rFonts w:ascii="楷体" w:hAnsi="楷体"/>
          <w:color w:val="auto"/>
          <w:lang w:eastAsia="zh-CN"/>
        </w:rPr>
        <w:t>（四）效率分解与成因讨论</w:t>
      </w:r>
      <w:bookmarkEnd w:id="49"/>
    </w:p>
    <w:p w14:paraId="65633990"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效率分解结果表明，样本期内平均技术效率、纯技术效率和规模效率分别为0.4021、0.5272和0.8178。整体上，规模效率高于纯技术效率，说明多数省份的主要短板在于技术、管理和绿色创新能力不足。</w:t>
      </w:r>
    </w:p>
    <w:p w14:paraId="2AA44086" w14:textId="77777777" w:rsidR="00B84757" w:rsidRDefault="00000000">
      <w:pPr>
        <w:spacing w:after="0" w:line="480" w:lineRule="exact"/>
        <w:ind w:firstLineChars="200" w:firstLine="480"/>
        <w:jc w:val="both"/>
        <w:rPr>
          <w:sz w:val="22"/>
          <w:lang w:eastAsia="zh-CN"/>
        </w:rPr>
      </w:pPr>
      <w:r>
        <w:rPr>
          <w:rFonts w:ascii="宋体" w:hAnsi="宋体"/>
          <w:lang w:eastAsia="zh-CN"/>
        </w:rPr>
        <w:t>进一步从代表性省份看，江西、甘肃、贵州、山西和安徽等低效率地区的纯技术效率与技术效率十分接近，规模效率却相对较高，表明其低效更多源于纯技术效率不足；相反，广东、江苏、山东和河南等经济大省虽然纯技术效率处于较高水平，</w:t>
      </w:r>
      <w:r>
        <w:rPr>
          <w:rFonts w:ascii="宋体" w:hAnsi="宋体"/>
          <w:lang w:eastAsia="zh-CN"/>
        </w:rPr>
        <w:lastRenderedPageBreak/>
        <w:t>但规模效率明显偏低，说明其在高强度经济活动下仍面临生产组织规模、要素配置结构和能源利用方式不够协调的问题。</w:t>
      </w:r>
    </w:p>
    <w:p w14:paraId="7A4C2E24" w14:textId="77777777" w:rsidR="00B84757" w:rsidRDefault="00000000">
      <w:pPr>
        <w:pStyle w:val="1"/>
        <w:jc w:val="both"/>
        <w:rPr>
          <w:color w:val="auto"/>
          <w:szCs w:val="30"/>
          <w:lang w:eastAsia="zh-CN"/>
        </w:rPr>
      </w:pPr>
      <w:bookmarkStart w:id="50" w:name="_Toc27831"/>
      <w:r>
        <w:rPr>
          <w:color w:val="auto"/>
          <w:szCs w:val="30"/>
          <w:lang w:eastAsia="zh-CN"/>
        </w:rPr>
        <w:t>六、夜间灯光聚合度对碳排放效率的影响</w:t>
      </w:r>
      <w:bookmarkEnd w:id="50"/>
    </w:p>
    <w:p w14:paraId="579316A2" w14:textId="77777777" w:rsidR="00B84757" w:rsidRDefault="00000000">
      <w:pPr>
        <w:pStyle w:val="21"/>
        <w:jc w:val="both"/>
        <w:rPr>
          <w:rFonts w:ascii="楷体" w:hAnsi="楷体"/>
          <w:color w:val="auto"/>
          <w:lang w:eastAsia="zh-CN"/>
        </w:rPr>
      </w:pPr>
      <w:bookmarkStart w:id="51" w:name="_Toc28787"/>
      <w:r>
        <w:rPr>
          <w:rFonts w:ascii="楷体" w:hAnsi="楷体"/>
          <w:color w:val="auto"/>
          <w:lang w:eastAsia="zh-CN"/>
        </w:rPr>
        <w:t>（一）基准模型设定与估计思路</w:t>
      </w:r>
      <w:bookmarkEnd w:id="51"/>
    </w:p>
    <w:p w14:paraId="40D832EC"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前述超效率SBM和Malmquist指数主要回答“碳排放效率是多少、如何变化”的问题，但并不能解释“为什么不同地区存在差异”。因此，本文进一步构建面板回归模型，以碳排放效率为被解释变量，以夜间灯光聚合度对数项为核心解释变量，并引入产业结构、城镇化率、研发投入、对外开放和能源结构等控制变量，以尽可能减少遗漏变量偏误。</w:t>
      </w:r>
    </w:p>
    <w:p w14:paraId="41265B0E"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在模型设定上，本文采用双向固定效应模型，以控制难以观测且相对稳定的省份个体差异以及年份层面的共同冲击。该处理思路与环境效率研究中“先测度、再识别”的主流分析路径保持一致，也有利于将第一阶段效率结果与第二阶段机制识别自然衔接起来。</w:t>
      </w:r>
    </w:p>
    <w:p w14:paraId="77800153" w14:textId="77777777" w:rsidR="00B84757" w:rsidRDefault="00000000">
      <w:pPr>
        <w:pStyle w:val="21"/>
        <w:jc w:val="both"/>
        <w:rPr>
          <w:rFonts w:ascii="楷体" w:hAnsi="楷体"/>
          <w:color w:val="auto"/>
          <w:lang w:eastAsia="zh-CN"/>
        </w:rPr>
      </w:pPr>
      <w:bookmarkStart w:id="52" w:name="_Toc17788"/>
      <w:r>
        <w:rPr>
          <w:rFonts w:ascii="楷体" w:hAnsi="楷体"/>
          <w:color w:val="auto"/>
          <w:lang w:eastAsia="zh-CN"/>
        </w:rPr>
        <w:t>（二）影响因素分析</w:t>
      </w:r>
      <w:bookmarkEnd w:id="52"/>
    </w:p>
    <w:p w14:paraId="04BFB3CF"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结合修正后的基准回归结果可知，夜间灯光强度（NTL）的回归系数为0.1725，并在10%水平上边际显著为正，说明夜间灯光所表征的经济活跃程度、基础设施完善水平以及要素集聚能力，在一定程度上能够提升区域资源配置效率和绿色生产能力，进而推动碳排放效率提高。这一结果表明，夜间灯光遥感数据不仅可以作为经济活力的代理变量，也能够为解释绿色发展差异提供有力支撑。</w:t>
      </w:r>
    </w:p>
    <w:p w14:paraId="4961B9FB"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从控制变量的估计结果来看，对外开放水平（OPEN）在5%水平上显著为正，说明开放条件下的资本流入、知识溢出和管理经验引进，有助于改善能源利用效率并提升绿色发展质量。研发投入（RD）系数为6.5889，在10%水平上边际显著为正，表明技术创新与绿色技术扩散对提升碳排放效率具有积极作用，但其短期效果仍可能受到地区创新转化能力差异的影响。城镇化率（URB）系数为-1.9282，并在1%</w:t>
      </w:r>
      <w:r>
        <w:rPr>
          <w:rFonts w:ascii="宋体" w:hAnsi="宋体"/>
          <w:lang w:eastAsia="zh-CN"/>
        </w:rPr>
        <w:lastRenderedPageBreak/>
        <w:t>水平上显著为负，表明在当前样本期内，部分地区快速城镇化过程可能伴随建设扩张、能源需求增长与环境承载压力上升，从而对碳排放效率形成抑制。相比之下，产业结构（IND）和能源结构（ES）的方向虽分别为正、负，但在基准设定下未通过显著性检验，说明二者影响可能更多体现为区域异质性和长期结构效应。</w:t>
      </w:r>
    </w:p>
    <w:p w14:paraId="4528AB59"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总体而言，省域碳排放效率的形成并非单一因素作用的结果，而是经济发展活跃度、技术创新水平、产业结构特征、城市化进程和能源利用方式等多重因素共同作用的综合体现。其中，夜间灯光强度、研发投入和对外开放水平表现出正向促进作用，城镇化率则呈现显著抑制效应，说明提高经济增长质量、推动技术扩散和扩大高水平开放，是提升区域绿色发展效率的重要路径。</w:t>
      </w:r>
    </w:p>
    <w:p w14:paraId="44425504" w14:textId="77777777" w:rsidR="00B84757" w:rsidRDefault="00000000">
      <w:pPr>
        <w:pStyle w:val="21"/>
        <w:jc w:val="both"/>
        <w:rPr>
          <w:rFonts w:ascii="楷体" w:hAnsi="楷体"/>
          <w:color w:val="auto"/>
          <w:lang w:eastAsia="zh-CN"/>
        </w:rPr>
      </w:pPr>
      <w:bookmarkStart w:id="53" w:name="_Toc24980"/>
      <w:r>
        <w:rPr>
          <w:rFonts w:ascii="楷体" w:hAnsi="楷体"/>
          <w:color w:val="auto"/>
          <w:lang w:eastAsia="zh-CN"/>
        </w:rPr>
        <w:t>（三）基准回归结果与可视化表达</w:t>
      </w:r>
      <w:bookmarkEnd w:id="53"/>
    </w:p>
    <w:p w14:paraId="3FC45292" w14:textId="77777777" w:rsidR="00B84757" w:rsidRDefault="00000000">
      <w:pPr>
        <w:pStyle w:val="a7"/>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Pr>
          <w:lang w:eastAsia="zh-CN"/>
        </w:rPr>
        <w:t>10</w:t>
      </w:r>
      <w:r>
        <w:fldChar w:fldCharType="end"/>
      </w:r>
      <w:bookmarkStart w:id="54" w:name="_Toc17534"/>
      <w:r>
        <w:rPr>
          <w:rFonts w:hint="eastAsia"/>
          <w:lang w:eastAsia="zh-CN"/>
        </w:rPr>
        <w:t xml:space="preserve"> </w:t>
      </w:r>
      <w:r>
        <w:rPr>
          <w:lang w:eastAsia="zh-CN"/>
        </w:rPr>
        <w:t>双向固定效应基准回归结果</w:t>
      </w:r>
      <w:bookmarkEnd w:id="54"/>
    </w:p>
    <w:tbl>
      <w:tblPr>
        <w:tblStyle w:val="af6"/>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719"/>
        <w:gridCol w:w="1758"/>
        <w:gridCol w:w="1723"/>
        <w:gridCol w:w="1723"/>
        <w:gridCol w:w="1723"/>
      </w:tblGrid>
      <w:tr w:rsidR="00B84757" w14:paraId="6A95F004" w14:textId="77777777">
        <w:trPr>
          <w:jc w:val="center"/>
        </w:trPr>
        <w:tc>
          <w:tcPr>
            <w:tcW w:w="1813" w:type="dxa"/>
            <w:tcBorders>
              <w:top w:val="single" w:sz="12" w:space="0" w:color="000000"/>
              <w:bottom w:val="single" w:sz="4" w:space="0" w:color="000000"/>
              <w:tl2br w:val="nil"/>
            </w:tcBorders>
            <w:shd w:val="clear" w:color="auto" w:fill="FFFFFF"/>
          </w:tcPr>
          <w:p w14:paraId="69A075E4" w14:textId="77777777" w:rsidR="00B84757" w:rsidRDefault="00000000">
            <w:pPr>
              <w:spacing w:after="0"/>
              <w:jc w:val="both"/>
              <w:rPr>
                <w:rFonts w:ascii="宋体" w:hAnsi="宋体"/>
                <w:color w:val="000000"/>
                <w:szCs w:val="24"/>
              </w:rPr>
            </w:pPr>
            <w:r>
              <w:rPr>
                <w:rFonts w:ascii="宋体" w:hAnsi="宋体"/>
                <w:color w:val="000000"/>
                <w:szCs w:val="24"/>
              </w:rPr>
              <w:t>变量</w:t>
            </w:r>
          </w:p>
        </w:tc>
        <w:tc>
          <w:tcPr>
            <w:tcW w:w="1813" w:type="dxa"/>
            <w:tcBorders>
              <w:top w:val="single" w:sz="12" w:space="0" w:color="000000"/>
              <w:bottom w:val="single" w:sz="4" w:space="0" w:color="000000"/>
            </w:tcBorders>
            <w:shd w:val="clear" w:color="auto" w:fill="FFFFFF"/>
          </w:tcPr>
          <w:p w14:paraId="4BD79746" w14:textId="77777777" w:rsidR="00B84757" w:rsidRDefault="00000000">
            <w:pPr>
              <w:spacing w:after="0"/>
              <w:jc w:val="both"/>
              <w:rPr>
                <w:rFonts w:ascii="宋体" w:hAnsi="宋体"/>
                <w:color w:val="000000"/>
                <w:szCs w:val="24"/>
              </w:rPr>
            </w:pPr>
            <w:r>
              <w:rPr>
                <w:rFonts w:ascii="宋体" w:hAnsi="宋体"/>
                <w:color w:val="000000"/>
                <w:szCs w:val="24"/>
              </w:rPr>
              <w:t>系数</w:t>
            </w:r>
          </w:p>
        </w:tc>
        <w:tc>
          <w:tcPr>
            <w:tcW w:w="1813" w:type="dxa"/>
            <w:tcBorders>
              <w:top w:val="single" w:sz="12" w:space="0" w:color="000000"/>
              <w:bottom w:val="single" w:sz="4" w:space="0" w:color="000000"/>
            </w:tcBorders>
            <w:shd w:val="clear" w:color="auto" w:fill="FFFFFF"/>
          </w:tcPr>
          <w:p w14:paraId="28D34467" w14:textId="77777777" w:rsidR="00B84757" w:rsidRDefault="00000000">
            <w:pPr>
              <w:spacing w:after="0"/>
              <w:jc w:val="both"/>
              <w:rPr>
                <w:rFonts w:ascii="宋体" w:hAnsi="宋体"/>
                <w:color w:val="000000"/>
                <w:szCs w:val="24"/>
              </w:rPr>
            </w:pPr>
            <w:r>
              <w:rPr>
                <w:rFonts w:ascii="宋体" w:hAnsi="宋体"/>
                <w:color w:val="000000"/>
                <w:szCs w:val="24"/>
              </w:rPr>
              <w:t>标准误</w:t>
            </w:r>
          </w:p>
        </w:tc>
        <w:tc>
          <w:tcPr>
            <w:tcW w:w="1813" w:type="dxa"/>
            <w:tcBorders>
              <w:top w:val="single" w:sz="12" w:space="0" w:color="000000"/>
              <w:bottom w:val="single" w:sz="4" w:space="0" w:color="000000"/>
            </w:tcBorders>
            <w:shd w:val="clear" w:color="auto" w:fill="FFFFFF"/>
          </w:tcPr>
          <w:p w14:paraId="4BF3F371" w14:textId="77777777" w:rsidR="00B84757" w:rsidRDefault="00000000">
            <w:pPr>
              <w:spacing w:after="0"/>
              <w:jc w:val="both"/>
              <w:rPr>
                <w:rFonts w:ascii="宋体" w:hAnsi="宋体"/>
                <w:color w:val="000000"/>
                <w:szCs w:val="24"/>
              </w:rPr>
            </w:pPr>
            <w:r>
              <w:rPr>
                <w:rFonts w:ascii="宋体" w:hAnsi="宋体"/>
                <w:color w:val="000000"/>
                <w:szCs w:val="24"/>
              </w:rPr>
              <w:t>t值</w:t>
            </w:r>
          </w:p>
        </w:tc>
        <w:tc>
          <w:tcPr>
            <w:tcW w:w="1813" w:type="dxa"/>
            <w:tcBorders>
              <w:top w:val="single" w:sz="12" w:space="0" w:color="000000"/>
              <w:bottom w:val="single" w:sz="4" w:space="0" w:color="000000"/>
            </w:tcBorders>
            <w:shd w:val="clear" w:color="auto" w:fill="FFFFFF"/>
          </w:tcPr>
          <w:p w14:paraId="68CF0F97" w14:textId="77777777" w:rsidR="00B84757" w:rsidRDefault="00000000">
            <w:pPr>
              <w:spacing w:after="0"/>
              <w:jc w:val="both"/>
              <w:rPr>
                <w:rFonts w:ascii="宋体" w:hAnsi="宋体"/>
                <w:color w:val="000000"/>
                <w:szCs w:val="24"/>
              </w:rPr>
            </w:pPr>
            <w:r>
              <w:rPr>
                <w:rFonts w:ascii="宋体" w:hAnsi="宋体"/>
                <w:color w:val="000000"/>
                <w:szCs w:val="24"/>
              </w:rPr>
              <w:t>p值</w:t>
            </w:r>
          </w:p>
        </w:tc>
      </w:tr>
      <w:tr w:rsidR="00B84757" w14:paraId="2295236B" w14:textId="77777777">
        <w:trPr>
          <w:jc w:val="center"/>
        </w:trPr>
        <w:tc>
          <w:tcPr>
            <w:tcW w:w="1813" w:type="dxa"/>
            <w:tcBorders>
              <w:top w:val="single" w:sz="4" w:space="0" w:color="000000"/>
              <w:bottom w:val="nil"/>
            </w:tcBorders>
            <w:shd w:val="clear" w:color="auto" w:fill="FFFFFF"/>
          </w:tcPr>
          <w:p w14:paraId="1525B354" w14:textId="77777777" w:rsidR="00B84757" w:rsidRDefault="00000000">
            <w:pPr>
              <w:spacing w:after="0"/>
              <w:rPr>
                <w:color w:val="000000"/>
              </w:rPr>
            </w:pPr>
            <w:r>
              <w:rPr>
                <w:color w:val="000000"/>
              </w:rPr>
              <w:t>NTL</w:t>
            </w:r>
          </w:p>
        </w:tc>
        <w:tc>
          <w:tcPr>
            <w:tcW w:w="1813" w:type="dxa"/>
            <w:tcBorders>
              <w:top w:val="single" w:sz="4" w:space="0" w:color="000000"/>
              <w:bottom w:val="nil"/>
            </w:tcBorders>
            <w:shd w:val="clear" w:color="auto" w:fill="FFFFFF"/>
          </w:tcPr>
          <w:p w14:paraId="625D6A3E" w14:textId="77777777" w:rsidR="00B84757" w:rsidRDefault="00000000">
            <w:pPr>
              <w:spacing w:after="0"/>
              <w:rPr>
                <w:color w:val="000000"/>
              </w:rPr>
            </w:pPr>
            <w:r>
              <w:rPr>
                <w:color w:val="000000"/>
              </w:rPr>
              <w:t>0.1725*</w:t>
            </w:r>
          </w:p>
        </w:tc>
        <w:tc>
          <w:tcPr>
            <w:tcW w:w="1813" w:type="dxa"/>
            <w:tcBorders>
              <w:top w:val="single" w:sz="4" w:space="0" w:color="000000"/>
              <w:bottom w:val="nil"/>
            </w:tcBorders>
            <w:shd w:val="clear" w:color="auto" w:fill="FFFFFF"/>
          </w:tcPr>
          <w:p w14:paraId="34C1A65D" w14:textId="77777777" w:rsidR="00B84757" w:rsidRDefault="00000000">
            <w:pPr>
              <w:spacing w:after="0"/>
              <w:rPr>
                <w:color w:val="000000"/>
              </w:rPr>
            </w:pPr>
            <w:r>
              <w:rPr>
                <w:color w:val="000000"/>
              </w:rPr>
              <w:t>0.0876</w:t>
            </w:r>
          </w:p>
        </w:tc>
        <w:tc>
          <w:tcPr>
            <w:tcW w:w="1813" w:type="dxa"/>
            <w:tcBorders>
              <w:top w:val="single" w:sz="4" w:space="0" w:color="000000"/>
              <w:bottom w:val="nil"/>
            </w:tcBorders>
            <w:shd w:val="clear" w:color="auto" w:fill="FFFFFF"/>
          </w:tcPr>
          <w:p w14:paraId="04180F76" w14:textId="77777777" w:rsidR="00B84757" w:rsidRDefault="00000000">
            <w:pPr>
              <w:spacing w:after="0"/>
              <w:rPr>
                <w:color w:val="000000"/>
              </w:rPr>
            </w:pPr>
            <w:r>
              <w:rPr>
                <w:color w:val="000000"/>
              </w:rPr>
              <w:t>1.9686</w:t>
            </w:r>
          </w:p>
        </w:tc>
        <w:tc>
          <w:tcPr>
            <w:tcW w:w="1813" w:type="dxa"/>
            <w:tcBorders>
              <w:top w:val="single" w:sz="4" w:space="0" w:color="000000"/>
              <w:bottom w:val="nil"/>
            </w:tcBorders>
            <w:shd w:val="clear" w:color="auto" w:fill="FFFFFF"/>
          </w:tcPr>
          <w:p w14:paraId="2A15D4E5" w14:textId="77777777" w:rsidR="00B84757" w:rsidRDefault="00000000">
            <w:pPr>
              <w:spacing w:after="0"/>
              <w:rPr>
                <w:color w:val="000000"/>
              </w:rPr>
            </w:pPr>
            <w:r>
              <w:rPr>
                <w:color w:val="000000"/>
              </w:rPr>
              <w:t>0.0504</w:t>
            </w:r>
          </w:p>
        </w:tc>
      </w:tr>
      <w:tr w:rsidR="00B84757" w14:paraId="0C32C817" w14:textId="77777777">
        <w:trPr>
          <w:jc w:val="center"/>
        </w:trPr>
        <w:tc>
          <w:tcPr>
            <w:tcW w:w="1813" w:type="dxa"/>
            <w:tcBorders>
              <w:top w:val="nil"/>
              <w:bottom w:val="nil"/>
            </w:tcBorders>
            <w:shd w:val="clear" w:color="auto" w:fill="FFFFFF"/>
          </w:tcPr>
          <w:p w14:paraId="4E7C8B9F" w14:textId="77777777" w:rsidR="00B84757" w:rsidRDefault="00000000">
            <w:pPr>
              <w:spacing w:after="0"/>
              <w:rPr>
                <w:color w:val="000000"/>
              </w:rPr>
            </w:pPr>
            <w:r>
              <w:rPr>
                <w:color w:val="000000"/>
              </w:rPr>
              <w:t>IND</w:t>
            </w:r>
          </w:p>
        </w:tc>
        <w:tc>
          <w:tcPr>
            <w:tcW w:w="1813" w:type="dxa"/>
            <w:tcBorders>
              <w:top w:val="nil"/>
              <w:bottom w:val="nil"/>
            </w:tcBorders>
            <w:shd w:val="clear" w:color="auto" w:fill="FFFFFF"/>
          </w:tcPr>
          <w:p w14:paraId="1B05451B" w14:textId="77777777" w:rsidR="00B84757" w:rsidRDefault="00000000">
            <w:pPr>
              <w:spacing w:after="0"/>
              <w:rPr>
                <w:color w:val="000000"/>
              </w:rPr>
            </w:pPr>
            <w:r>
              <w:rPr>
                <w:color w:val="000000"/>
              </w:rPr>
              <w:t>0.0828</w:t>
            </w:r>
          </w:p>
        </w:tc>
        <w:tc>
          <w:tcPr>
            <w:tcW w:w="1813" w:type="dxa"/>
            <w:tcBorders>
              <w:top w:val="nil"/>
              <w:bottom w:val="nil"/>
            </w:tcBorders>
            <w:shd w:val="clear" w:color="auto" w:fill="FFFFFF"/>
          </w:tcPr>
          <w:p w14:paraId="3438D754" w14:textId="77777777" w:rsidR="00B84757" w:rsidRDefault="00000000">
            <w:pPr>
              <w:spacing w:after="0"/>
              <w:rPr>
                <w:color w:val="000000"/>
              </w:rPr>
            </w:pPr>
            <w:r>
              <w:rPr>
                <w:color w:val="000000"/>
              </w:rPr>
              <w:t>0.0729</w:t>
            </w:r>
          </w:p>
        </w:tc>
        <w:tc>
          <w:tcPr>
            <w:tcW w:w="1813" w:type="dxa"/>
            <w:tcBorders>
              <w:top w:val="nil"/>
              <w:bottom w:val="nil"/>
            </w:tcBorders>
            <w:shd w:val="clear" w:color="auto" w:fill="FFFFFF"/>
          </w:tcPr>
          <w:p w14:paraId="03A9860A" w14:textId="77777777" w:rsidR="00B84757" w:rsidRDefault="00000000">
            <w:pPr>
              <w:spacing w:after="0"/>
              <w:rPr>
                <w:color w:val="000000"/>
              </w:rPr>
            </w:pPr>
            <w:r>
              <w:rPr>
                <w:color w:val="000000"/>
              </w:rPr>
              <w:t>1.1362</w:t>
            </w:r>
          </w:p>
        </w:tc>
        <w:tc>
          <w:tcPr>
            <w:tcW w:w="1813" w:type="dxa"/>
            <w:tcBorders>
              <w:top w:val="nil"/>
              <w:bottom w:val="nil"/>
            </w:tcBorders>
            <w:shd w:val="clear" w:color="auto" w:fill="FFFFFF"/>
          </w:tcPr>
          <w:p w14:paraId="1987DCEA" w14:textId="77777777" w:rsidR="00B84757" w:rsidRDefault="00000000">
            <w:pPr>
              <w:spacing w:after="0"/>
              <w:rPr>
                <w:color w:val="000000"/>
              </w:rPr>
            </w:pPr>
            <w:r>
              <w:rPr>
                <w:color w:val="000000"/>
              </w:rPr>
              <w:t>0.2572</w:t>
            </w:r>
          </w:p>
        </w:tc>
      </w:tr>
      <w:tr w:rsidR="00B84757" w14:paraId="7F1F8C02" w14:textId="77777777">
        <w:trPr>
          <w:jc w:val="center"/>
        </w:trPr>
        <w:tc>
          <w:tcPr>
            <w:tcW w:w="1813" w:type="dxa"/>
            <w:tcBorders>
              <w:top w:val="nil"/>
              <w:bottom w:val="nil"/>
            </w:tcBorders>
            <w:shd w:val="clear" w:color="auto" w:fill="FFFFFF"/>
          </w:tcPr>
          <w:p w14:paraId="1332CDFC" w14:textId="77777777" w:rsidR="00B84757" w:rsidRDefault="00000000">
            <w:pPr>
              <w:spacing w:after="0"/>
              <w:rPr>
                <w:color w:val="000000"/>
              </w:rPr>
            </w:pPr>
            <w:r>
              <w:rPr>
                <w:color w:val="000000"/>
              </w:rPr>
              <w:t>URB</w:t>
            </w:r>
          </w:p>
        </w:tc>
        <w:tc>
          <w:tcPr>
            <w:tcW w:w="1813" w:type="dxa"/>
            <w:tcBorders>
              <w:top w:val="nil"/>
              <w:bottom w:val="nil"/>
            </w:tcBorders>
            <w:shd w:val="clear" w:color="auto" w:fill="FFFFFF"/>
          </w:tcPr>
          <w:p w14:paraId="1F14F5CB" w14:textId="77777777" w:rsidR="00B84757" w:rsidRDefault="00000000">
            <w:pPr>
              <w:spacing w:after="0"/>
              <w:rPr>
                <w:color w:val="000000"/>
              </w:rPr>
            </w:pPr>
            <w:r>
              <w:rPr>
                <w:color w:val="000000"/>
              </w:rPr>
              <w:t>-1.9282***</w:t>
            </w:r>
          </w:p>
        </w:tc>
        <w:tc>
          <w:tcPr>
            <w:tcW w:w="1813" w:type="dxa"/>
            <w:tcBorders>
              <w:top w:val="nil"/>
              <w:bottom w:val="nil"/>
            </w:tcBorders>
            <w:shd w:val="clear" w:color="auto" w:fill="FFFFFF"/>
          </w:tcPr>
          <w:p w14:paraId="02263DE6" w14:textId="77777777" w:rsidR="00B84757" w:rsidRDefault="00000000">
            <w:pPr>
              <w:spacing w:after="0"/>
              <w:rPr>
                <w:color w:val="000000"/>
              </w:rPr>
            </w:pPr>
            <w:r>
              <w:rPr>
                <w:color w:val="000000"/>
              </w:rPr>
              <w:t>0.3816</w:t>
            </w:r>
          </w:p>
        </w:tc>
        <w:tc>
          <w:tcPr>
            <w:tcW w:w="1813" w:type="dxa"/>
            <w:tcBorders>
              <w:top w:val="nil"/>
              <w:bottom w:val="nil"/>
            </w:tcBorders>
            <w:shd w:val="clear" w:color="auto" w:fill="FFFFFF"/>
          </w:tcPr>
          <w:p w14:paraId="1021492B" w14:textId="77777777" w:rsidR="00B84757" w:rsidRDefault="00000000">
            <w:pPr>
              <w:spacing w:after="0"/>
              <w:rPr>
                <w:color w:val="000000"/>
              </w:rPr>
            </w:pPr>
            <w:r>
              <w:rPr>
                <w:color w:val="000000"/>
              </w:rPr>
              <w:t>-5.0533</w:t>
            </w:r>
          </w:p>
        </w:tc>
        <w:tc>
          <w:tcPr>
            <w:tcW w:w="1813" w:type="dxa"/>
            <w:tcBorders>
              <w:top w:val="nil"/>
              <w:bottom w:val="nil"/>
            </w:tcBorders>
            <w:shd w:val="clear" w:color="auto" w:fill="FFFFFF"/>
          </w:tcPr>
          <w:p w14:paraId="6800BB55" w14:textId="77777777" w:rsidR="00B84757" w:rsidRDefault="00000000">
            <w:pPr>
              <w:spacing w:after="0"/>
              <w:rPr>
                <w:color w:val="000000"/>
              </w:rPr>
            </w:pPr>
            <w:r>
              <w:rPr>
                <w:color w:val="000000"/>
              </w:rPr>
              <w:t>0.0000</w:t>
            </w:r>
          </w:p>
        </w:tc>
      </w:tr>
      <w:tr w:rsidR="00B84757" w14:paraId="2CC80D2C" w14:textId="77777777">
        <w:trPr>
          <w:jc w:val="center"/>
        </w:trPr>
        <w:tc>
          <w:tcPr>
            <w:tcW w:w="1813" w:type="dxa"/>
            <w:tcBorders>
              <w:top w:val="nil"/>
              <w:bottom w:val="nil"/>
            </w:tcBorders>
            <w:shd w:val="clear" w:color="auto" w:fill="FFFFFF"/>
          </w:tcPr>
          <w:p w14:paraId="784B2AA6" w14:textId="77777777" w:rsidR="00B84757" w:rsidRDefault="00000000">
            <w:pPr>
              <w:spacing w:after="0"/>
              <w:rPr>
                <w:color w:val="000000"/>
              </w:rPr>
            </w:pPr>
            <w:r>
              <w:rPr>
                <w:color w:val="000000"/>
              </w:rPr>
              <w:t>RD</w:t>
            </w:r>
          </w:p>
        </w:tc>
        <w:tc>
          <w:tcPr>
            <w:tcW w:w="1813" w:type="dxa"/>
            <w:tcBorders>
              <w:top w:val="nil"/>
              <w:bottom w:val="nil"/>
            </w:tcBorders>
            <w:shd w:val="clear" w:color="auto" w:fill="FFFFFF"/>
          </w:tcPr>
          <w:p w14:paraId="76B0214E" w14:textId="77777777" w:rsidR="00B84757" w:rsidRDefault="00000000">
            <w:pPr>
              <w:spacing w:after="0"/>
              <w:rPr>
                <w:color w:val="000000"/>
              </w:rPr>
            </w:pPr>
            <w:r>
              <w:rPr>
                <w:color w:val="000000"/>
              </w:rPr>
              <w:t>6.5889*</w:t>
            </w:r>
          </w:p>
        </w:tc>
        <w:tc>
          <w:tcPr>
            <w:tcW w:w="1813" w:type="dxa"/>
            <w:tcBorders>
              <w:top w:val="nil"/>
              <w:bottom w:val="nil"/>
            </w:tcBorders>
            <w:shd w:val="clear" w:color="auto" w:fill="FFFFFF"/>
          </w:tcPr>
          <w:p w14:paraId="5DFAA90B" w14:textId="77777777" w:rsidR="00B84757" w:rsidRDefault="00000000">
            <w:pPr>
              <w:spacing w:after="0"/>
              <w:rPr>
                <w:color w:val="000000"/>
              </w:rPr>
            </w:pPr>
            <w:r>
              <w:rPr>
                <w:color w:val="000000"/>
              </w:rPr>
              <w:t>3.4404</w:t>
            </w:r>
          </w:p>
        </w:tc>
        <w:tc>
          <w:tcPr>
            <w:tcW w:w="1813" w:type="dxa"/>
            <w:tcBorders>
              <w:top w:val="nil"/>
              <w:bottom w:val="nil"/>
            </w:tcBorders>
            <w:shd w:val="clear" w:color="auto" w:fill="FFFFFF"/>
          </w:tcPr>
          <w:p w14:paraId="7433E0A3" w14:textId="77777777" w:rsidR="00B84757" w:rsidRDefault="00000000">
            <w:pPr>
              <w:spacing w:after="0"/>
              <w:rPr>
                <w:color w:val="000000"/>
              </w:rPr>
            </w:pPr>
            <w:r>
              <w:rPr>
                <w:color w:val="000000"/>
              </w:rPr>
              <w:t>1.9151</w:t>
            </w:r>
          </w:p>
        </w:tc>
        <w:tc>
          <w:tcPr>
            <w:tcW w:w="1813" w:type="dxa"/>
            <w:tcBorders>
              <w:top w:val="nil"/>
              <w:bottom w:val="nil"/>
            </w:tcBorders>
            <w:shd w:val="clear" w:color="auto" w:fill="FFFFFF"/>
          </w:tcPr>
          <w:p w14:paraId="053DBEA9" w14:textId="77777777" w:rsidR="00B84757" w:rsidRDefault="00000000">
            <w:pPr>
              <w:spacing w:after="0"/>
              <w:rPr>
                <w:color w:val="000000"/>
              </w:rPr>
            </w:pPr>
            <w:r>
              <w:rPr>
                <w:color w:val="000000"/>
              </w:rPr>
              <w:t>0.0569</w:t>
            </w:r>
          </w:p>
        </w:tc>
      </w:tr>
      <w:tr w:rsidR="00B84757" w14:paraId="65FF7AA4" w14:textId="77777777">
        <w:trPr>
          <w:jc w:val="center"/>
        </w:trPr>
        <w:tc>
          <w:tcPr>
            <w:tcW w:w="1813" w:type="dxa"/>
            <w:tcBorders>
              <w:top w:val="nil"/>
              <w:bottom w:val="nil"/>
            </w:tcBorders>
            <w:shd w:val="clear" w:color="auto" w:fill="FFFFFF"/>
          </w:tcPr>
          <w:p w14:paraId="11AE182B" w14:textId="77777777" w:rsidR="00B84757" w:rsidRDefault="00000000">
            <w:pPr>
              <w:spacing w:after="0"/>
              <w:rPr>
                <w:color w:val="000000"/>
              </w:rPr>
            </w:pPr>
            <w:r>
              <w:rPr>
                <w:color w:val="000000"/>
              </w:rPr>
              <w:t>OPEN</w:t>
            </w:r>
          </w:p>
        </w:tc>
        <w:tc>
          <w:tcPr>
            <w:tcW w:w="1813" w:type="dxa"/>
            <w:tcBorders>
              <w:top w:val="nil"/>
              <w:bottom w:val="nil"/>
            </w:tcBorders>
            <w:shd w:val="clear" w:color="auto" w:fill="FFFFFF"/>
          </w:tcPr>
          <w:p w14:paraId="5EE1F286" w14:textId="77777777" w:rsidR="00B84757" w:rsidRDefault="00000000">
            <w:pPr>
              <w:spacing w:after="0"/>
              <w:rPr>
                <w:color w:val="000000"/>
              </w:rPr>
            </w:pPr>
            <w:r>
              <w:rPr>
                <w:color w:val="000000"/>
              </w:rPr>
              <w:t>0.4522**</w:t>
            </w:r>
          </w:p>
        </w:tc>
        <w:tc>
          <w:tcPr>
            <w:tcW w:w="1813" w:type="dxa"/>
            <w:tcBorders>
              <w:top w:val="nil"/>
              <w:bottom w:val="nil"/>
            </w:tcBorders>
            <w:shd w:val="clear" w:color="auto" w:fill="FFFFFF"/>
          </w:tcPr>
          <w:p w14:paraId="1D21F4C5" w14:textId="77777777" w:rsidR="00B84757" w:rsidRDefault="00000000">
            <w:pPr>
              <w:spacing w:after="0"/>
              <w:rPr>
                <w:color w:val="000000"/>
              </w:rPr>
            </w:pPr>
            <w:r>
              <w:rPr>
                <w:color w:val="000000"/>
              </w:rPr>
              <w:t>0.2236</w:t>
            </w:r>
          </w:p>
        </w:tc>
        <w:tc>
          <w:tcPr>
            <w:tcW w:w="1813" w:type="dxa"/>
            <w:tcBorders>
              <w:top w:val="nil"/>
              <w:bottom w:val="nil"/>
            </w:tcBorders>
            <w:shd w:val="clear" w:color="auto" w:fill="FFFFFF"/>
          </w:tcPr>
          <w:p w14:paraId="3AB7E73C" w14:textId="77777777" w:rsidR="00B84757" w:rsidRDefault="00000000">
            <w:pPr>
              <w:spacing w:after="0"/>
              <w:rPr>
                <w:color w:val="000000"/>
              </w:rPr>
            </w:pPr>
            <w:r>
              <w:rPr>
                <w:color w:val="000000"/>
              </w:rPr>
              <w:t>2.0219</w:t>
            </w:r>
          </w:p>
        </w:tc>
        <w:tc>
          <w:tcPr>
            <w:tcW w:w="1813" w:type="dxa"/>
            <w:tcBorders>
              <w:top w:val="nil"/>
              <w:bottom w:val="nil"/>
            </w:tcBorders>
            <w:shd w:val="clear" w:color="auto" w:fill="FFFFFF"/>
          </w:tcPr>
          <w:p w14:paraId="3C2EAF15" w14:textId="77777777" w:rsidR="00B84757" w:rsidRDefault="00000000">
            <w:pPr>
              <w:spacing w:after="0"/>
              <w:rPr>
                <w:color w:val="000000"/>
              </w:rPr>
            </w:pPr>
            <w:r>
              <w:rPr>
                <w:color w:val="000000"/>
              </w:rPr>
              <w:t>0.0445</w:t>
            </w:r>
          </w:p>
        </w:tc>
      </w:tr>
      <w:tr w:rsidR="00B84757" w14:paraId="1D5B24D9" w14:textId="77777777">
        <w:trPr>
          <w:jc w:val="center"/>
        </w:trPr>
        <w:tc>
          <w:tcPr>
            <w:tcW w:w="1813" w:type="dxa"/>
            <w:tcBorders>
              <w:top w:val="nil"/>
              <w:bottom w:val="single" w:sz="12" w:space="0" w:color="000000"/>
            </w:tcBorders>
            <w:shd w:val="clear" w:color="auto" w:fill="FFFFFF"/>
          </w:tcPr>
          <w:p w14:paraId="1510C065" w14:textId="77777777" w:rsidR="00B84757" w:rsidRDefault="00000000">
            <w:pPr>
              <w:spacing w:after="0"/>
              <w:rPr>
                <w:color w:val="000000"/>
              </w:rPr>
            </w:pPr>
            <w:r>
              <w:rPr>
                <w:color w:val="000000"/>
              </w:rPr>
              <w:t>ES</w:t>
            </w:r>
          </w:p>
        </w:tc>
        <w:tc>
          <w:tcPr>
            <w:tcW w:w="1813" w:type="dxa"/>
            <w:tcBorders>
              <w:top w:val="nil"/>
              <w:bottom w:val="single" w:sz="12" w:space="0" w:color="000000"/>
            </w:tcBorders>
            <w:shd w:val="clear" w:color="auto" w:fill="FFFFFF"/>
          </w:tcPr>
          <w:p w14:paraId="3EB19BDD" w14:textId="77777777" w:rsidR="00B84757" w:rsidRDefault="00000000">
            <w:pPr>
              <w:spacing w:after="0"/>
              <w:rPr>
                <w:color w:val="000000"/>
              </w:rPr>
            </w:pPr>
            <w:r>
              <w:rPr>
                <w:color w:val="000000"/>
              </w:rPr>
              <w:t>-0.1386</w:t>
            </w:r>
          </w:p>
        </w:tc>
        <w:tc>
          <w:tcPr>
            <w:tcW w:w="1813" w:type="dxa"/>
            <w:tcBorders>
              <w:top w:val="nil"/>
              <w:bottom w:val="single" w:sz="12" w:space="0" w:color="000000"/>
            </w:tcBorders>
            <w:shd w:val="clear" w:color="auto" w:fill="FFFFFF"/>
          </w:tcPr>
          <w:p w14:paraId="3EB53777" w14:textId="77777777" w:rsidR="00B84757" w:rsidRDefault="00000000">
            <w:pPr>
              <w:spacing w:after="0"/>
              <w:rPr>
                <w:color w:val="000000"/>
              </w:rPr>
            </w:pPr>
            <w:r>
              <w:rPr>
                <w:color w:val="000000"/>
              </w:rPr>
              <w:t>0.1116</w:t>
            </w:r>
          </w:p>
        </w:tc>
        <w:tc>
          <w:tcPr>
            <w:tcW w:w="1813" w:type="dxa"/>
            <w:tcBorders>
              <w:top w:val="nil"/>
              <w:bottom w:val="single" w:sz="12" w:space="0" w:color="000000"/>
            </w:tcBorders>
            <w:shd w:val="clear" w:color="auto" w:fill="FFFFFF"/>
          </w:tcPr>
          <w:p w14:paraId="491DA353" w14:textId="77777777" w:rsidR="00B84757" w:rsidRDefault="00000000">
            <w:pPr>
              <w:spacing w:after="0"/>
              <w:rPr>
                <w:color w:val="000000"/>
              </w:rPr>
            </w:pPr>
            <w:r>
              <w:rPr>
                <w:color w:val="000000"/>
              </w:rPr>
              <w:t>-1.2418</w:t>
            </w:r>
          </w:p>
        </w:tc>
        <w:tc>
          <w:tcPr>
            <w:tcW w:w="1813" w:type="dxa"/>
            <w:tcBorders>
              <w:top w:val="nil"/>
              <w:bottom w:val="single" w:sz="12" w:space="0" w:color="000000"/>
            </w:tcBorders>
            <w:shd w:val="clear" w:color="auto" w:fill="FFFFFF"/>
          </w:tcPr>
          <w:p w14:paraId="110F91DA" w14:textId="77777777" w:rsidR="00B84757" w:rsidRDefault="00000000">
            <w:pPr>
              <w:spacing w:after="0"/>
              <w:rPr>
                <w:color w:val="000000"/>
              </w:rPr>
            </w:pPr>
            <w:r>
              <w:rPr>
                <w:color w:val="000000"/>
              </w:rPr>
              <w:t>0.2158</w:t>
            </w:r>
          </w:p>
        </w:tc>
      </w:tr>
    </w:tbl>
    <w:p w14:paraId="4CA16BB4" w14:textId="77777777" w:rsidR="00B84757" w:rsidRDefault="00000000">
      <w:pPr>
        <w:jc w:val="both"/>
        <w:rPr>
          <w:lang w:eastAsia="zh-CN"/>
        </w:rPr>
      </w:pPr>
      <w:r>
        <w:rPr>
          <w:lang w:eastAsia="zh-CN"/>
        </w:rPr>
        <w:t>注：样本量</w:t>
      </w:r>
      <w:r>
        <w:rPr>
          <w:lang w:eastAsia="zh-CN"/>
        </w:rPr>
        <w:t>N=240</w:t>
      </w:r>
      <w:r>
        <w:rPr>
          <w:lang w:eastAsia="zh-CN"/>
        </w:rPr>
        <w:t>；控制省份和年份固定效应；协方差估计采用</w:t>
      </w:r>
      <w:r>
        <w:rPr>
          <w:lang w:eastAsia="zh-CN"/>
        </w:rPr>
        <w:t>Driscoll-Kraay</w:t>
      </w:r>
      <w:r>
        <w:rPr>
          <w:lang w:eastAsia="zh-CN"/>
        </w:rPr>
        <w:t>稳健标准误；</w:t>
      </w:r>
      <w:r>
        <w:rPr>
          <w:lang w:eastAsia="zh-CN"/>
        </w:rPr>
        <w:t>***</w:t>
      </w:r>
      <w:r>
        <w:rPr>
          <w:lang w:eastAsia="zh-CN"/>
        </w:rPr>
        <w:t>、</w:t>
      </w:r>
      <w:r>
        <w:rPr>
          <w:lang w:eastAsia="zh-CN"/>
        </w:rPr>
        <w:t>**</w:t>
      </w:r>
      <w:r>
        <w:rPr>
          <w:lang w:eastAsia="zh-CN"/>
        </w:rPr>
        <w:t>、</w:t>
      </w:r>
      <w:r>
        <w:rPr>
          <w:lang w:eastAsia="zh-CN"/>
        </w:rPr>
        <w:t>*</w:t>
      </w:r>
      <w:r>
        <w:rPr>
          <w:lang w:eastAsia="zh-CN"/>
        </w:rPr>
        <w:t>分别表示在</w:t>
      </w:r>
      <w:r>
        <w:rPr>
          <w:lang w:eastAsia="zh-CN"/>
        </w:rPr>
        <w:t>1%</w:t>
      </w:r>
      <w:r>
        <w:rPr>
          <w:lang w:eastAsia="zh-CN"/>
        </w:rPr>
        <w:t>、</w:t>
      </w:r>
      <w:r>
        <w:rPr>
          <w:lang w:eastAsia="zh-CN"/>
        </w:rPr>
        <w:t>5%</w:t>
      </w:r>
      <w:r>
        <w:rPr>
          <w:lang w:eastAsia="zh-CN"/>
        </w:rPr>
        <w:t>、</w:t>
      </w:r>
      <w:r>
        <w:rPr>
          <w:lang w:eastAsia="zh-CN"/>
        </w:rPr>
        <w:t>10%</w:t>
      </w:r>
      <w:r>
        <w:rPr>
          <w:lang w:eastAsia="zh-CN"/>
        </w:rPr>
        <w:t>水平上显著。</w:t>
      </w:r>
    </w:p>
    <w:p w14:paraId="67ADAE2E" w14:textId="77777777" w:rsidR="00B84757" w:rsidRDefault="00000000">
      <w:pPr>
        <w:jc w:val="center"/>
        <w:rPr>
          <w:lang w:eastAsia="zh-CN"/>
        </w:rPr>
      </w:pPr>
      <w:r>
        <w:rPr>
          <w:noProof/>
          <w:lang w:eastAsia="zh-CN"/>
        </w:rPr>
        <w:lastRenderedPageBreak/>
        <w:drawing>
          <wp:inline distT="0" distB="0" distL="114300" distR="114300" wp14:anchorId="509053E1" wp14:editId="4BEEC4DD">
            <wp:extent cx="4598670" cy="3219450"/>
            <wp:effectExtent l="0" t="0" r="11430" b="6350"/>
            <wp:docPr id="23" name="图片 23" descr="07_partial_relationship_lntl_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7_partial_relationship_lntl_eff"/>
                    <pic:cNvPicPr>
                      <a:picLocks noChangeAspect="1"/>
                    </pic:cNvPicPr>
                  </pic:nvPicPr>
                  <pic:blipFill>
                    <a:blip r:embed="rId23"/>
                    <a:srcRect t="4370"/>
                    <a:stretch>
                      <a:fillRect/>
                    </a:stretch>
                  </pic:blipFill>
                  <pic:spPr>
                    <a:xfrm>
                      <a:off x="0" y="0"/>
                      <a:ext cx="4598670" cy="3219450"/>
                    </a:xfrm>
                    <a:prstGeom prst="rect">
                      <a:avLst/>
                    </a:prstGeom>
                  </pic:spPr>
                </pic:pic>
              </a:graphicData>
            </a:graphic>
          </wp:inline>
        </w:drawing>
      </w:r>
    </w:p>
    <w:p w14:paraId="0D001A18" w14:textId="77777777" w:rsidR="00B84757" w:rsidRDefault="00000000">
      <w:pPr>
        <w:pStyle w:val="a7"/>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15</w:t>
      </w:r>
      <w:r>
        <w:fldChar w:fldCharType="end"/>
      </w:r>
      <w:bookmarkStart w:id="55" w:name="_Toc3348"/>
      <w:r>
        <w:rPr>
          <w:rFonts w:hint="eastAsia"/>
          <w:lang w:eastAsia="zh-CN"/>
        </w:rPr>
        <w:t xml:space="preserve"> </w:t>
      </w:r>
      <w:r>
        <w:rPr>
          <w:lang w:eastAsia="zh-CN"/>
        </w:rPr>
        <w:t>控制双向固定效应后的夜间灯光聚合度与碳排放效率净关系图</w:t>
      </w:r>
      <w:bookmarkEnd w:id="55"/>
    </w:p>
    <w:p w14:paraId="57F5B61A" w14:textId="77777777" w:rsidR="00B84757" w:rsidRDefault="00000000">
      <w:pPr>
        <w:ind w:firstLine="720"/>
        <w:rPr>
          <w:lang w:eastAsia="zh-CN"/>
        </w:rPr>
      </w:pPr>
      <w:r>
        <w:rPr>
          <w:lang w:eastAsia="zh-CN"/>
        </w:rPr>
        <w:t>在控制省份固定效应和年份固定效应后，夜间灯光聚合度与碳排放效率仍总体呈正向关系。该图形结果与表</w:t>
      </w:r>
      <w:r>
        <w:rPr>
          <w:lang w:eastAsia="zh-CN"/>
        </w:rPr>
        <w:t>10</w:t>
      </w:r>
      <w:r>
        <w:rPr>
          <w:lang w:eastAsia="zh-CN"/>
        </w:rPr>
        <w:t>中夜间灯光变量的正向系数相一致，说明夜间灯光所刻画的经济活跃度和空间集聚特征，对碳排放效率具有一定促进作用。</w:t>
      </w:r>
    </w:p>
    <w:p w14:paraId="0857E3CF" w14:textId="77777777" w:rsidR="00B84757" w:rsidRDefault="00000000">
      <w:pPr>
        <w:jc w:val="center"/>
        <w:rPr>
          <w:lang w:eastAsia="zh-CN"/>
        </w:rPr>
      </w:pPr>
      <w:r>
        <w:rPr>
          <w:noProof/>
          <w:lang w:eastAsia="zh-CN"/>
        </w:rPr>
        <w:drawing>
          <wp:inline distT="0" distB="0" distL="114300" distR="114300" wp14:anchorId="2203423B" wp14:editId="72109325">
            <wp:extent cx="4365625" cy="2793365"/>
            <wp:effectExtent l="0" t="0" r="3175" b="635"/>
            <wp:docPr id="12" name="图片 12" descr="06_coefficient_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6_coefficient_forest"/>
                    <pic:cNvPicPr>
                      <a:picLocks noChangeAspect="1"/>
                    </pic:cNvPicPr>
                  </pic:nvPicPr>
                  <pic:blipFill>
                    <a:blip r:embed="rId24"/>
                    <a:stretch>
                      <a:fillRect/>
                    </a:stretch>
                  </pic:blipFill>
                  <pic:spPr>
                    <a:xfrm>
                      <a:off x="0" y="0"/>
                      <a:ext cx="4365625" cy="2793365"/>
                    </a:xfrm>
                    <a:prstGeom prst="rect">
                      <a:avLst/>
                    </a:prstGeom>
                  </pic:spPr>
                </pic:pic>
              </a:graphicData>
            </a:graphic>
          </wp:inline>
        </w:drawing>
      </w:r>
    </w:p>
    <w:p w14:paraId="2ECB1FF1"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16</w:t>
      </w:r>
      <w:r>
        <w:fldChar w:fldCharType="end"/>
      </w:r>
      <w:bookmarkStart w:id="56" w:name="_Toc3711"/>
      <w:r>
        <w:rPr>
          <w:rFonts w:hint="eastAsia"/>
          <w:lang w:eastAsia="zh-CN"/>
        </w:rPr>
        <w:t xml:space="preserve"> </w:t>
      </w:r>
      <w:r>
        <w:rPr>
          <w:lang w:eastAsia="zh-CN"/>
        </w:rPr>
        <w:t>基准回归结果可视化（系数森林图）</w:t>
      </w:r>
      <w:bookmarkEnd w:id="56"/>
    </w:p>
    <w:p w14:paraId="41952CAE" w14:textId="77777777" w:rsidR="00B84757" w:rsidRDefault="00000000">
      <w:pPr>
        <w:ind w:firstLine="720"/>
        <w:rPr>
          <w:lang w:eastAsia="zh-CN"/>
        </w:rPr>
      </w:pPr>
      <w:r>
        <w:rPr>
          <w:lang w:eastAsia="zh-CN"/>
        </w:rPr>
        <w:lastRenderedPageBreak/>
        <w:t>系数森林图直观展示了各解释变量影响方向、估计区间和显著性差异。其中，夜间灯光聚合度、研发投入和对外开放水平表现为正向影响，城镇化率表现为显著负向影响，而产业结构和能源结构在基准模型中未通过显著性检验，与表</w:t>
      </w:r>
      <w:r>
        <w:rPr>
          <w:lang w:eastAsia="zh-CN"/>
        </w:rPr>
        <w:t>10</w:t>
      </w:r>
      <w:r>
        <w:rPr>
          <w:lang w:eastAsia="zh-CN"/>
        </w:rPr>
        <w:t>结论一致。</w:t>
      </w:r>
    </w:p>
    <w:p w14:paraId="12DFD7AB" w14:textId="77777777" w:rsidR="00B84757" w:rsidRDefault="00000000">
      <w:pPr>
        <w:pStyle w:val="1"/>
        <w:jc w:val="both"/>
        <w:rPr>
          <w:color w:val="auto"/>
          <w:szCs w:val="30"/>
          <w:lang w:eastAsia="zh-CN"/>
        </w:rPr>
      </w:pPr>
      <w:bookmarkStart w:id="57" w:name="_Toc18397"/>
      <w:r>
        <w:rPr>
          <w:color w:val="auto"/>
          <w:szCs w:val="30"/>
          <w:lang w:eastAsia="zh-CN"/>
        </w:rPr>
        <w:t>七、空间相关性与空间溢出分析</w:t>
      </w:r>
      <w:bookmarkEnd w:id="57"/>
    </w:p>
    <w:p w14:paraId="30618766" w14:textId="77777777" w:rsidR="00B84757" w:rsidRDefault="00000000">
      <w:pPr>
        <w:pStyle w:val="21"/>
        <w:jc w:val="both"/>
        <w:rPr>
          <w:rFonts w:ascii="楷体" w:hAnsi="楷体"/>
          <w:color w:val="auto"/>
          <w:lang w:eastAsia="zh-CN"/>
        </w:rPr>
      </w:pPr>
      <w:bookmarkStart w:id="58" w:name="_Toc195"/>
      <w:r>
        <w:rPr>
          <w:rFonts w:ascii="楷体" w:hAnsi="楷体"/>
          <w:color w:val="auto"/>
          <w:lang w:eastAsia="zh-CN"/>
        </w:rPr>
        <w:t>（一）Global Moran’s I 检验结果</w:t>
      </w:r>
      <w:bookmarkEnd w:id="58"/>
    </w:p>
    <w:p w14:paraId="28942A73"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空间相关性检验用于识别碳排放效率是否存在地理空间集聚特征，即高效率地区是否邻近高效率地区、低效率地区是否邻近低效率地区。与一般的趋势图相比，Moran’s I 更直接回答“效率值是否在空间上相互关联”。若指数显著为正，则说明邻近地区在效率水平上更可能表现出相似性。</w:t>
      </w:r>
    </w:p>
    <w:p w14:paraId="572D41D0"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就本文结果而言，2015—2022年全局Moran’s I 均为正值，具体介于0.1741—0.3031之间。其中，2016年达到样本期最高值0.3031，2021年降至最低值0.1741，2022年回升至0.2111。置换检验结果表明，2015、2016、2017、2018、2019、2020和2022年均在5%水平上显著，2021年在10%水平上边际显著。由此可见，我国省际碳排放效率具有较为稳定的正向空间自相关，高效率地区与高效率地区、低效率地区与低效率地区在地理空间上更倾向于相邻分布。</w:t>
      </w:r>
    </w:p>
    <w:p w14:paraId="7E429FB3" w14:textId="77777777" w:rsidR="00B84757" w:rsidRDefault="00000000">
      <w:pPr>
        <w:jc w:val="center"/>
        <w:rPr>
          <w:lang w:eastAsia="zh-CN"/>
        </w:rPr>
      </w:pPr>
      <w:r>
        <w:rPr>
          <w:noProof/>
        </w:rPr>
        <w:lastRenderedPageBreak/>
        <w:drawing>
          <wp:inline distT="0" distB="0" distL="0" distR="0" wp14:anchorId="00E9D7C0" wp14:editId="2606840B">
            <wp:extent cx="5577840" cy="3209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5"/>
                    <a:srcRect t="5248"/>
                    <a:stretch>
                      <a:fillRect/>
                    </a:stretch>
                  </pic:blipFill>
                  <pic:spPr>
                    <a:xfrm>
                      <a:off x="0" y="0"/>
                      <a:ext cx="5577840" cy="3209925"/>
                    </a:xfrm>
                    <a:prstGeom prst="rect">
                      <a:avLst/>
                    </a:prstGeom>
                  </pic:spPr>
                </pic:pic>
              </a:graphicData>
            </a:graphic>
          </wp:inline>
        </w:drawing>
      </w:r>
    </w:p>
    <w:p w14:paraId="5CF59FBE"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17</w:t>
      </w:r>
      <w:r>
        <w:fldChar w:fldCharType="end"/>
      </w:r>
      <w:bookmarkStart w:id="59" w:name="_Toc764"/>
      <w:r>
        <w:rPr>
          <w:rFonts w:hint="eastAsia"/>
          <w:lang w:eastAsia="zh-CN"/>
        </w:rPr>
        <w:t xml:space="preserve"> </w:t>
      </w:r>
      <w:r>
        <w:rPr>
          <w:lang w:eastAsia="zh-CN"/>
        </w:rPr>
        <w:t>2015—2022</w:t>
      </w:r>
      <w:r>
        <w:rPr>
          <w:lang w:eastAsia="zh-CN"/>
        </w:rPr>
        <w:t>年省域碳排放效率全局</w:t>
      </w:r>
      <w:r>
        <w:rPr>
          <w:lang w:eastAsia="zh-CN"/>
        </w:rPr>
        <w:t xml:space="preserve"> Moran’s I </w:t>
      </w:r>
      <w:r>
        <w:rPr>
          <w:lang w:eastAsia="zh-CN"/>
        </w:rPr>
        <w:t>变化趋势</w:t>
      </w:r>
      <w:bookmarkEnd w:id="59"/>
    </w:p>
    <w:p w14:paraId="55FE36D4" w14:textId="77777777" w:rsidR="00B84757" w:rsidRDefault="00000000">
      <w:pPr>
        <w:ind w:firstLine="720"/>
        <w:rPr>
          <w:lang w:eastAsia="zh-CN"/>
        </w:rPr>
      </w:pPr>
      <w:r>
        <w:rPr>
          <w:lang w:eastAsia="zh-CN"/>
        </w:rPr>
        <w:t>全局</w:t>
      </w:r>
      <w:r>
        <w:rPr>
          <w:lang w:eastAsia="zh-CN"/>
        </w:rPr>
        <w:t xml:space="preserve"> Moran’s I </w:t>
      </w:r>
      <w:r>
        <w:rPr>
          <w:lang w:eastAsia="zh-CN"/>
        </w:rPr>
        <w:t>在样本期内始终为正，说明省际碳排放效率整体上存在稳定的正向空间相关性。虽然不同年份指数值有一定波动，但其总体保持在正区间，表明邻近地区效率水平具有明显相似性，而非独立分布。</w:t>
      </w:r>
    </w:p>
    <w:p w14:paraId="148A580E" w14:textId="77777777" w:rsidR="00B84757" w:rsidRDefault="00000000">
      <w:pPr>
        <w:pStyle w:val="21"/>
        <w:jc w:val="both"/>
        <w:rPr>
          <w:lang w:eastAsia="zh-CN"/>
        </w:rPr>
      </w:pPr>
      <w:bookmarkStart w:id="60" w:name="_Toc131"/>
      <w:r>
        <w:rPr>
          <w:rFonts w:ascii="楷体" w:hAnsi="楷体"/>
          <w:color w:val="auto"/>
          <w:lang w:eastAsia="zh-CN"/>
        </w:rPr>
        <w:t>（二）局部空间聚集与可能的溢出路径</w:t>
      </w:r>
      <w:bookmarkEnd w:id="60"/>
    </w:p>
    <w:p w14:paraId="1A60E04A"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全局Moran’s I 只能反映整体空间相关性，难以揭示哪些地区构成了局部“高—高”或“低—低”集聚。进一步结合局部Moran检验结果可以发现，显著局部集聚省份数量总体不多，但不同年份呈现出一定的演化特征：2015年山西表现为显著“低—低”集聚，新疆表现为“低—高”类型的空间异常；2018年上海和海南表现为显著“高—高”集聚；到2022年，天津和海南继续呈现“高—高”集聚特征。总体来看，省际碳排放效率的空间关联更多体现为整体性相关，局部板块性虽不强，但沿海高效率地区的示范扩散效应已开始显现。</w:t>
      </w:r>
    </w:p>
    <w:p w14:paraId="11892A23" w14:textId="77777777" w:rsidR="00B84757" w:rsidRDefault="00000000">
      <w:pPr>
        <w:jc w:val="both"/>
        <w:rPr>
          <w:lang w:eastAsia="zh-CN"/>
        </w:rPr>
      </w:pPr>
      <w:r>
        <w:rPr>
          <w:noProof/>
          <w:lang w:eastAsia="zh-CN"/>
        </w:rPr>
        <w:lastRenderedPageBreak/>
        <w:drawing>
          <wp:inline distT="0" distB="0" distL="114300" distR="114300" wp14:anchorId="630462AD" wp14:editId="3A4A7388">
            <wp:extent cx="6102985" cy="1979295"/>
            <wp:effectExtent l="0" t="0" r="5715" b="1905"/>
            <wp:docPr id="15" name="图片 15" descr="24_eff_moran_scatter_2015_2018_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4_eff_moran_scatter_2015_2018_2022"/>
                    <pic:cNvPicPr>
                      <a:picLocks noChangeAspect="1"/>
                    </pic:cNvPicPr>
                  </pic:nvPicPr>
                  <pic:blipFill>
                    <a:blip r:embed="rId26"/>
                    <a:stretch>
                      <a:fillRect/>
                    </a:stretch>
                  </pic:blipFill>
                  <pic:spPr>
                    <a:xfrm>
                      <a:off x="0" y="0"/>
                      <a:ext cx="6102985" cy="1979295"/>
                    </a:xfrm>
                    <a:prstGeom prst="rect">
                      <a:avLst/>
                    </a:prstGeom>
                  </pic:spPr>
                </pic:pic>
              </a:graphicData>
            </a:graphic>
          </wp:inline>
        </w:drawing>
      </w:r>
    </w:p>
    <w:p w14:paraId="56223D7B" w14:textId="77777777" w:rsidR="00B84757" w:rsidRDefault="00000000">
      <w:pPr>
        <w:pStyle w:val="a7"/>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18</w:t>
      </w:r>
      <w:r>
        <w:fldChar w:fldCharType="end"/>
      </w:r>
      <w:bookmarkStart w:id="61" w:name="_Toc6520"/>
      <w:r>
        <w:rPr>
          <w:rFonts w:hint="eastAsia"/>
          <w:lang w:eastAsia="zh-CN"/>
        </w:rPr>
        <w:t xml:space="preserve"> 2015-2018-2022</w:t>
      </w:r>
      <w:r>
        <w:rPr>
          <w:rFonts w:hint="eastAsia"/>
          <w:lang w:eastAsia="zh-CN"/>
        </w:rPr>
        <w:t>年</w:t>
      </w:r>
      <w:r>
        <w:rPr>
          <w:lang w:eastAsia="zh-CN"/>
        </w:rPr>
        <w:t>Moran</w:t>
      </w:r>
      <w:r>
        <w:rPr>
          <w:lang w:eastAsia="zh-CN"/>
        </w:rPr>
        <w:t>散点图</w:t>
      </w:r>
      <w:bookmarkEnd w:id="61"/>
    </w:p>
    <w:p w14:paraId="7A9D7D6F" w14:textId="77777777" w:rsidR="00B84757" w:rsidRDefault="00000000">
      <w:pPr>
        <w:ind w:firstLine="720"/>
        <w:jc w:val="both"/>
        <w:rPr>
          <w:lang w:eastAsia="zh-CN"/>
        </w:rPr>
      </w:pPr>
      <w:r>
        <w:rPr>
          <w:lang w:eastAsia="zh-CN"/>
        </w:rPr>
        <w:t>Moran</w:t>
      </w:r>
      <w:r>
        <w:rPr>
          <w:lang w:eastAsia="zh-CN"/>
        </w:rPr>
        <w:t>散点图中回归线斜率为正，进一步说明样本地区碳排放效率存在正向空间相关。结合象限分布可以看出，高值与高值相邻、低值与低值相邻的现象在局部范围内均有体现，这与全局</w:t>
      </w:r>
      <w:r>
        <w:rPr>
          <w:lang w:eastAsia="zh-CN"/>
        </w:rPr>
        <w:t xml:space="preserve"> Moran’s I </w:t>
      </w:r>
      <w:r>
        <w:rPr>
          <w:lang w:eastAsia="zh-CN"/>
        </w:rPr>
        <w:t>的检验结果相互印证。</w:t>
      </w:r>
    </w:p>
    <w:p w14:paraId="06E1FECB" w14:textId="77777777" w:rsidR="00B84757" w:rsidRDefault="00000000">
      <w:pPr>
        <w:ind w:firstLine="720"/>
        <w:jc w:val="center"/>
        <w:rPr>
          <w:lang w:eastAsia="zh-CN"/>
        </w:rPr>
      </w:pPr>
      <w:r>
        <w:rPr>
          <w:noProof/>
          <w:lang w:eastAsia="zh-CN"/>
        </w:rPr>
        <w:drawing>
          <wp:inline distT="0" distB="0" distL="114300" distR="114300" wp14:anchorId="553F011F" wp14:editId="6D1ADE7F">
            <wp:extent cx="4067810" cy="3414395"/>
            <wp:effectExtent l="0" t="0" r="0" b="0"/>
            <wp:docPr id="16" name="图片 16" descr="25_eff_lisa_cluster_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5_eff_lisa_cluster_2022"/>
                    <pic:cNvPicPr>
                      <a:picLocks noChangeAspect="1"/>
                    </pic:cNvPicPr>
                  </pic:nvPicPr>
                  <pic:blipFill>
                    <a:blip r:embed="rId27"/>
                    <a:srcRect t="3586"/>
                    <a:stretch>
                      <a:fillRect/>
                    </a:stretch>
                  </pic:blipFill>
                  <pic:spPr>
                    <a:xfrm>
                      <a:off x="0" y="0"/>
                      <a:ext cx="4067810" cy="3414395"/>
                    </a:xfrm>
                    <a:prstGeom prst="rect">
                      <a:avLst/>
                    </a:prstGeom>
                  </pic:spPr>
                </pic:pic>
              </a:graphicData>
            </a:graphic>
          </wp:inline>
        </w:drawing>
      </w:r>
    </w:p>
    <w:p w14:paraId="26F861C7"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19</w:t>
      </w:r>
      <w:r>
        <w:fldChar w:fldCharType="end"/>
      </w:r>
      <w:bookmarkStart w:id="62" w:name="_Toc28437"/>
      <w:r>
        <w:rPr>
          <w:rFonts w:hint="eastAsia"/>
          <w:lang w:eastAsia="zh-CN"/>
        </w:rPr>
        <w:t xml:space="preserve"> 2022</w:t>
      </w:r>
      <w:r>
        <w:rPr>
          <w:rFonts w:hint="eastAsia"/>
          <w:lang w:eastAsia="zh-CN"/>
        </w:rPr>
        <w:t>年</w:t>
      </w:r>
      <w:r>
        <w:rPr>
          <w:lang w:eastAsia="zh-CN"/>
        </w:rPr>
        <w:t>LISA</w:t>
      </w:r>
      <w:r>
        <w:rPr>
          <w:lang w:eastAsia="zh-CN"/>
        </w:rPr>
        <w:t>聚类图</w:t>
      </w:r>
      <w:bookmarkEnd w:id="62"/>
    </w:p>
    <w:p w14:paraId="21CBD354" w14:textId="77777777" w:rsidR="00B84757" w:rsidRDefault="00000000">
      <w:pPr>
        <w:ind w:firstLine="720"/>
        <w:rPr>
          <w:lang w:eastAsia="zh-CN"/>
        </w:rPr>
      </w:pPr>
      <w:r>
        <w:rPr>
          <w:lang w:eastAsia="zh-CN"/>
        </w:rPr>
        <w:lastRenderedPageBreak/>
        <w:t>LISA</w:t>
      </w:r>
      <w:r>
        <w:rPr>
          <w:lang w:eastAsia="zh-CN"/>
        </w:rPr>
        <w:t>聚类图表明，省际碳排放效率的局部空间集聚并不普遍，但在个别地区已出现较为清晰的</w:t>
      </w:r>
      <w:r>
        <w:rPr>
          <w:lang w:eastAsia="zh-CN"/>
        </w:rPr>
        <w:t>“</w:t>
      </w:r>
      <w:r>
        <w:rPr>
          <w:lang w:eastAsia="zh-CN"/>
        </w:rPr>
        <w:t>高</w:t>
      </w:r>
      <w:r>
        <w:rPr>
          <w:lang w:eastAsia="zh-CN"/>
        </w:rPr>
        <w:t>—</w:t>
      </w:r>
      <w:r>
        <w:rPr>
          <w:lang w:eastAsia="zh-CN"/>
        </w:rPr>
        <w:t>高</w:t>
      </w:r>
      <w:r>
        <w:rPr>
          <w:lang w:eastAsia="zh-CN"/>
        </w:rPr>
        <w:t>”</w:t>
      </w:r>
      <w:r>
        <w:rPr>
          <w:lang w:eastAsia="zh-CN"/>
        </w:rPr>
        <w:t>或</w:t>
      </w:r>
      <w:r>
        <w:rPr>
          <w:lang w:eastAsia="zh-CN"/>
        </w:rPr>
        <w:t>“</w:t>
      </w:r>
      <w:r>
        <w:rPr>
          <w:lang w:eastAsia="zh-CN"/>
        </w:rPr>
        <w:t>低</w:t>
      </w:r>
      <w:r>
        <w:rPr>
          <w:lang w:eastAsia="zh-CN"/>
        </w:rPr>
        <w:t>—</w:t>
      </w:r>
      <w:r>
        <w:rPr>
          <w:lang w:eastAsia="zh-CN"/>
        </w:rPr>
        <w:t>低</w:t>
      </w:r>
      <w:r>
        <w:rPr>
          <w:lang w:eastAsia="zh-CN"/>
        </w:rPr>
        <w:t>”</w:t>
      </w:r>
      <w:r>
        <w:rPr>
          <w:lang w:eastAsia="zh-CN"/>
        </w:rPr>
        <w:t>集聚特征。结合正文分析可知，局部空间关联虽然不如整体相关性强，但沿海高效率地区的示范扩散效应已有所显现。</w:t>
      </w:r>
    </w:p>
    <w:p w14:paraId="237714A9" w14:textId="77777777" w:rsidR="00B84757" w:rsidRDefault="00000000">
      <w:pPr>
        <w:pStyle w:val="1"/>
        <w:jc w:val="both"/>
        <w:rPr>
          <w:color w:val="auto"/>
          <w:szCs w:val="30"/>
          <w:lang w:eastAsia="zh-CN"/>
        </w:rPr>
      </w:pPr>
      <w:bookmarkStart w:id="63" w:name="_Toc30943"/>
      <w:r>
        <w:rPr>
          <w:color w:val="auto"/>
          <w:szCs w:val="30"/>
          <w:lang w:eastAsia="zh-CN"/>
        </w:rPr>
        <w:t>八、稳健性、异质性与扩展分析</w:t>
      </w:r>
      <w:bookmarkEnd w:id="63"/>
    </w:p>
    <w:p w14:paraId="2A605463" w14:textId="77777777" w:rsidR="00B84757" w:rsidRDefault="00000000">
      <w:pPr>
        <w:pStyle w:val="21"/>
        <w:jc w:val="both"/>
        <w:rPr>
          <w:rFonts w:ascii="楷体" w:hAnsi="楷体"/>
          <w:color w:val="auto"/>
          <w:lang w:eastAsia="zh-CN"/>
        </w:rPr>
      </w:pPr>
      <w:bookmarkStart w:id="64" w:name="_Toc1059"/>
      <w:r>
        <w:rPr>
          <w:rFonts w:ascii="楷体" w:hAnsi="楷体"/>
          <w:color w:val="auto"/>
          <w:lang w:eastAsia="zh-CN"/>
        </w:rPr>
        <w:t>（一）替换效率测度口径与模型诊断</w:t>
      </w:r>
      <w:bookmarkEnd w:id="64"/>
    </w:p>
    <w:p w14:paraId="4C922E42"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就效率测度口径而言，将VRS结果替换为CRS结果后，全国平均碳排放效率由0.5272降至0.4021，但各年份走势仍保持一致：CRS口径下效率均值由2015年的0.3381提升至2022年的0.4388，说明本文关于“总体改善、区域分化明显”的结论并未因规模报酬假设改变而发生根本变化。这意味着第一阶段测度结果在不同口径下具有较好的方向一致性。</w:t>
      </w:r>
    </w:p>
    <w:p w14:paraId="1F058115"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同时，VRS与CRS效率值的高度相关，也说明本文关于高效率地区和低效率地区的基本判断具有一定稳健性。此外，双向固定效应模型拟合统计量显示，样本量为240，R²为0.2647，F统计量为11.8219，稳健F统计量为339.9053，整体检验在1%水平上显著，说明模型能够较为有效地识别样本期内省域碳排放效率差异的主要影响因素。</w:t>
      </w:r>
    </w:p>
    <w:p w14:paraId="3135B3B5" w14:textId="77777777" w:rsidR="00B84757" w:rsidRDefault="00000000">
      <w:pPr>
        <w:pStyle w:val="a7"/>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Pr>
          <w:lang w:eastAsia="zh-CN"/>
        </w:rPr>
        <w:t>11</w:t>
      </w:r>
      <w:r>
        <w:fldChar w:fldCharType="end"/>
      </w:r>
      <w:bookmarkStart w:id="65" w:name="_Toc19081"/>
      <w:r>
        <w:rPr>
          <w:rFonts w:hint="eastAsia"/>
          <w:lang w:eastAsia="zh-CN"/>
        </w:rPr>
        <w:t xml:space="preserve"> </w:t>
      </w:r>
      <w:r>
        <w:rPr>
          <w:lang w:eastAsia="zh-CN"/>
        </w:rPr>
        <w:t>基准模型拟合统计量与诊断摘要</w:t>
      </w:r>
      <w:bookmarkEnd w:id="65"/>
    </w:p>
    <w:tbl>
      <w:tblPr>
        <w:tblStyle w:val="af6"/>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185"/>
        <w:gridCol w:w="2158"/>
        <w:gridCol w:w="2185"/>
        <w:gridCol w:w="2118"/>
      </w:tblGrid>
      <w:tr w:rsidR="00B84757" w14:paraId="60A96CE2" w14:textId="77777777">
        <w:trPr>
          <w:jc w:val="center"/>
        </w:trPr>
        <w:tc>
          <w:tcPr>
            <w:tcW w:w="2266" w:type="dxa"/>
            <w:tcBorders>
              <w:top w:val="single" w:sz="12" w:space="0" w:color="000000"/>
              <w:bottom w:val="single" w:sz="4" w:space="0" w:color="000000"/>
              <w:tl2br w:val="nil"/>
            </w:tcBorders>
            <w:shd w:val="clear" w:color="auto" w:fill="FFFFFF"/>
          </w:tcPr>
          <w:p w14:paraId="743BFF9E" w14:textId="77777777" w:rsidR="00B84757" w:rsidRDefault="00000000">
            <w:pPr>
              <w:spacing w:after="0"/>
              <w:jc w:val="center"/>
              <w:rPr>
                <w:color w:val="000000"/>
                <w:szCs w:val="24"/>
              </w:rPr>
            </w:pPr>
            <w:r>
              <w:rPr>
                <w:rFonts w:ascii="宋体" w:hAnsi="宋体"/>
                <w:color w:val="000000"/>
                <w:szCs w:val="24"/>
              </w:rPr>
              <w:t>指标</w:t>
            </w:r>
          </w:p>
        </w:tc>
        <w:tc>
          <w:tcPr>
            <w:tcW w:w="2266" w:type="dxa"/>
            <w:tcBorders>
              <w:top w:val="single" w:sz="12" w:space="0" w:color="000000"/>
              <w:bottom w:val="single" w:sz="4" w:space="0" w:color="000000"/>
            </w:tcBorders>
            <w:shd w:val="clear" w:color="auto" w:fill="FFFFFF"/>
          </w:tcPr>
          <w:p w14:paraId="3CCA3A93" w14:textId="77777777" w:rsidR="00B84757" w:rsidRDefault="00000000">
            <w:pPr>
              <w:spacing w:after="0"/>
              <w:jc w:val="center"/>
              <w:rPr>
                <w:color w:val="000000"/>
                <w:szCs w:val="24"/>
              </w:rPr>
            </w:pPr>
            <w:r>
              <w:rPr>
                <w:rFonts w:ascii="宋体" w:hAnsi="宋体"/>
                <w:color w:val="000000"/>
                <w:szCs w:val="24"/>
              </w:rPr>
              <w:t>值</w:t>
            </w:r>
          </w:p>
        </w:tc>
        <w:tc>
          <w:tcPr>
            <w:tcW w:w="2266" w:type="dxa"/>
            <w:tcBorders>
              <w:top w:val="single" w:sz="12" w:space="0" w:color="000000"/>
              <w:bottom w:val="single" w:sz="4" w:space="0" w:color="000000"/>
            </w:tcBorders>
            <w:shd w:val="clear" w:color="auto" w:fill="FFFFFF"/>
          </w:tcPr>
          <w:p w14:paraId="3535DBB7" w14:textId="77777777" w:rsidR="00B84757" w:rsidRDefault="00000000">
            <w:pPr>
              <w:spacing w:after="0"/>
              <w:jc w:val="center"/>
              <w:rPr>
                <w:color w:val="000000"/>
                <w:szCs w:val="24"/>
              </w:rPr>
            </w:pPr>
            <w:r>
              <w:rPr>
                <w:rFonts w:ascii="宋体" w:hAnsi="宋体"/>
                <w:color w:val="000000"/>
                <w:szCs w:val="24"/>
              </w:rPr>
              <w:t>指标</w:t>
            </w:r>
          </w:p>
        </w:tc>
        <w:tc>
          <w:tcPr>
            <w:tcW w:w="2266" w:type="dxa"/>
            <w:tcBorders>
              <w:top w:val="single" w:sz="12" w:space="0" w:color="000000"/>
              <w:bottom w:val="single" w:sz="4" w:space="0" w:color="000000"/>
            </w:tcBorders>
            <w:shd w:val="clear" w:color="auto" w:fill="FFFFFF"/>
          </w:tcPr>
          <w:p w14:paraId="6E3ACBCD" w14:textId="77777777" w:rsidR="00B84757" w:rsidRDefault="00000000">
            <w:pPr>
              <w:spacing w:after="0"/>
              <w:jc w:val="center"/>
              <w:rPr>
                <w:color w:val="000000"/>
                <w:szCs w:val="24"/>
              </w:rPr>
            </w:pPr>
            <w:r>
              <w:rPr>
                <w:rFonts w:ascii="宋体" w:hAnsi="宋体"/>
                <w:color w:val="000000"/>
                <w:szCs w:val="24"/>
              </w:rPr>
              <w:t>值</w:t>
            </w:r>
          </w:p>
        </w:tc>
      </w:tr>
      <w:tr w:rsidR="00B84757" w14:paraId="5FD6E0F3" w14:textId="77777777">
        <w:trPr>
          <w:jc w:val="center"/>
        </w:trPr>
        <w:tc>
          <w:tcPr>
            <w:tcW w:w="2266" w:type="dxa"/>
            <w:tcBorders>
              <w:top w:val="single" w:sz="4" w:space="0" w:color="000000"/>
              <w:bottom w:val="nil"/>
            </w:tcBorders>
            <w:shd w:val="clear" w:color="auto" w:fill="FFFFFF"/>
          </w:tcPr>
          <w:p w14:paraId="5EC30C37" w14:textId="77777777" w:rsidR="00B84757" w:rsidRDefault="00000000">
            <w:pPr>
              <w:spacing w:after="0"/>
              <w:jc w:val="center"/>
              <w:rPr>
                <w:color w:val="000000"/>
                <w:szCs w:val="24"/>
              </w:rPr>
            </w:pPr>
            <w:r>
              <w:rPr>
                <w:rFonts w:ascii="宋体" w:hAnsi="宋体"/>
                <w:color w:val="000000"/>
                <w:szCs w:val="24"/>
              </w:rPr>
              <w:t>样本量（N）</w:t>
            </w:r>
          </w:p>
        </w:tc>
        <w:tc>
          <w:tcPr>
            <w:tcW w:w="2266" w:type="dxa"/>
            <w:tcBorders>
              <w:top w:val="single" w:sz="4" w:space="0" w:color="000000"/>
              <w:bottom w:val="nil"/>
            </w:tcBorders>
            <w:shd w:val="clear" w:color="auto" w:fill="FFFFFF"/>
          </w:tcPr>
          <w:p w14:paraId="7BB88C51" w14:textId="77777777" w:rsidR="00B84757" w:rsidRDefault="00000000">
            <w:pPr>
              <w:spacing w:after="0"/>
              <w:jc w:val="center"/>
              <w:rPr>
                <w:color w:val="000000"/>
                <w:szCs w:val="24"/>
              </w:rPr>
            </w:pPr>
            <w:r>
              <w:rPr>
                <w:rFonts w:ascii="宋体" w:hAnsi="宋体"/>
                <w:color w:val="000000"/>
                <w:szCs w:val="24"/>
              </w:rPr>
              <w:t>240</w:t>
            </w:r>
          </w:p>
        </w:tc>
        <w:tc>
          <w:tcPr>
            <w:tcW w:w="2266" w:type="dxa"/>
            <w:tcBorders>
              <w:top w:val="single" w:sz="4" w:space="0" w:color="000000"/>
              <w:bottom w:val="nil"/>
            </w:tcBorders>
            <w:shd w:val="clear" w:color="auto" w:fill="FFFFFF"/>
          </w:tcPr>
          <w:p w14:paraId="71EC06AB" w14:textId="77777777" w:rsidR="00B84757" w:rsidRDefault="00000000">
            <w:pPr>
              <w:spacing w:after="0"/>
              <w:jc w:val="center"/>
              <w:rPr>
                <w:color w:val="000000"/>
                <w:szCs w:val="24"/>
              </w:rPr>
            </w:pPr>
            <w:r>
              <w:rPr>
                <w:rFonts w:ascii="宋体" w:hAnsi="宋体"/>
                <w:color w:val="000000"/>
                <w:szCs w:val="24"/>
              </w:rPr>
              <w:t>省份数量</w:t>
            </w:r>
          </w:p>
        </w:tc>
        <w:tc>
          <w:tcPr>
            <w:tcW w:w="2266" w:type="dxa"/>
            <w:tcBorders>
              <w:top w:val="single" w:sz="4" w:space="0" w:color="000000"/>
              <w:bottom w:val="nil"/>
            </w:tcBorders>
            <w:shd w:val="clear" w:color="auto" w:fill="FFFFFF"/>
          </w:tcPr>
          <w:p w14:paraId="06C8C915" w14:textId="77777777" w:rsidR="00B84757" w:rsidRDefault="00000000">
            <w:pPr>
              <w:spacing w:after="0"/>
              <w:jc w:val="center"/>
              <w:rPr>
                <w:color w:val="000000"/>
                <w:szCs w:val="24"/>
              </w:rPr>
            </w:pPr>
            <w:r>
              <w:rPr>
                <w:rFonts w:ascii="宋体" w:hAnsi="宋体"/>
                <w:color w:val="000000"/>
                <w:szCs w:val="24"/>
              </w:rPr>
              <w:t>30</w:t>
            </w:r>
          </w:p>
        </w:tc>
      </w:tr>
      <w:tr w:rsidR="00B84757" w14:paraId="72EB5671" w14:textId="77777777">
        <w:trPr>
          <w:jc w:val="center"/>
        </w:trPr>
        <w:tc>
          <w:tcPr>
            <w:tcW w:w="2266" w:type="dxa"/>
            <w:tcBorders>
              <w:top w:val="nil"/>
              <w:bottom w:val="nil"/>
            </w:tcBorders>
            <w:shd w:val="clear" w:color="auto" w:fill="FFFFFF"/>
          </w:tcPr>
          <w:p w14:paraId="5180BE91" w14:textId="77777777" w:rsidR="00B84757" w:rsidRDefault="00000000">
            <w:pPr>
              <w:spacing w:after="0"/>
              <w:jc w:val="center"/>
              <w:rPr>
                <w:color w:val="000000"/>
                <w:szCs w:val="24"/>
              </w:rPr>
            </w:pPr>
            <w:r>
              <w:rPr>
                <w:rFonts w:ascii="宋体" w:hAnsi="宋体"/>
                <w:color w:val="000000"/>
                <w:szCs w:val="24"/>
              </w:rPr>
              <w:t>年份数量</w:t>
            </w:r>
          </w:p>
        </w:tc>
        <w:tc>
          <w:tcPr>
            <w:tcW w:w="2266" w:type="dxa"/>
            <w:tcBorders>
              <w:top w:val="nil"/>
              <w:bottom w:val="nil"/>
            </w:tcBorders>
            <w:shd w:val="clear" w:color="auto" w:fill="FFFFFF"/>
          </w:tcPr>
          <w:p w14:paraId="531B96EB" w14:textId="77777777" w:rsidR="00B84757" w:rsidRDefault="00000000">
            <w:pPr>
              <w:spacing w:after="0"/>
              <w:jc w:val="center"/>
              <w:rPr>
                <w:color w:val="000000"/>
                <w:szCs w:val="24"/>
              </w:rPr>
            </w:pPr>
            <w:r>
              <w:rPr>
                <w:rFonts w:ascii="宋体" w:hAnsi="宋体"/>
                <w:color w:val="000000"/>
                <w:szCs w:val="24"/>
              </w:rPr>
              <w:t>8</w:t>
            </w:r>
          </w:p>
        </w:tc>
        <w:tc>
          <w:tcPr>
            <w:tcW w:w="2266" w:type="dxa"/>
            <w:tcBorders>
              <w:top w:val="nil"/>
              <w:bottom w:val="nil"/>
            </w:tcBorders>
            <w:shd w:val="clear" w:color="auto" w:fill="FFFFFF"/>
          </w:tcPr>
          <w:p w14:paraId="647991D5" w14:textId="77777777" w:rsidR="00B84757" w:rsidRDefault="00000000">
            <w:pPr>
              <w:spacing w:after="0"/>
              <w:jc w:val="center"/>
              <w:rPr>
                <w:color w:val="000000"/>
                <w:szCs w:val="24"/>
              </w:rPr>
            </w:pPr>
            <w:r>
              <w:rPr>
                <w:rFonts w:ascii="宋体" w:hAnsi="宋体"/>
                <w:color w:val="000000"/>
                <w:szCs w:val="24"/>
              </w:rPr>
              <w:t>R²</w:t>
            </w:r>
          </w:p>
        </w:tc>
        <w:tc>
          <w:tcPr>
            <w:tcW w:w="2266" w:type="dxa"/>
            <w:tcBorders>
              <w:top w:val="nil"/>
              <w:bottom w:val="nil"/>
            </w:tcBorders>
            <w:shd w:val="clear" w:color="auto" w:fill="FFFFFF"/>
          </w:tcPr>
          <w:p w14:paraId="26DC77C4" w14:textId="77777777" w:rsidR="00B84757" w:rsidRDefault="00000000">
            <w:pPr>
              <w:spacing w:after="0"/>
              <w:jc w:val="center"/>
              <w:rPr>
                <w:color w:val="000000"/>
                <w:szCs w:val="24"/>
              </w:rPr>
            </w:pPr>
            <w:r>
              <w:rPr>
                <w:rFonts w:ascii="宋体" w:hAnsi="宋体"/>
                <w:color w:val="000000"/>
                <w:szCs w:val="24"/>
              </w:rPr>
              <w:t>0.2647</w:t>
            </w:r>
          </w:p>
        </w:tc>
      </w:tr>
      <w:tr w:rsidR="00B84757" w14:paraId="228B8B59" w14:textId="77777777">
        <w:trPr>
          <w:jc w:val="center"/>
        </w:trPr>
        <w:tc>
          <w:tcPr>
            <w:tcW w:w="2266" w:type="dxa"/>
            <w:tcBorders>
              <w:top w:val="nil"/>
              <w:bottom w:val="nil"/>
            </w:tcBorders>
            <w:shd w:val="clear" w:color="auto" w:fill="FFFFFF"/>
          </w:tcPr>
          <w:p w14:paraId="49602EC0" w14:textId="77777777" w:rsidR="00B84757" w:rsidRDefault="00000000">
            <w:pPr>
              <w:spacing w:after="0"/>
              <w:jc w:val="center"/>
              <w:rPr>
                <w:color w:val="000000"/>
                <w:szCs w:val="24"/>
              </w:rPr>
            </w:pPr>
            <w:r>
              <w:rPr>
                <w:rFonts w:ascii="宋体" w:hAnsi="宋体"/>
                <w:color w:val="000000"/>
                <w:szCs w:val="24"/>
              </w:rPr>
              <w:t>F统计量</w:t>
            </w:r>
          </w:p>
        </w:tc>
        <w:tc>
          <w:tcPr>
            <w:tcW w:w="2266" w:type="dxa"/>
            <w:tcBorders>
              <w:top w:val="nil"/>
              <w:bottom w:val="nil"/>
            </w:tcBorders>
            <w:shd w:val="clear" w:color="auto" w:fill="FFFFFF"/>
          </w:tcPr>
          <w:p w14:paraId="09EE65C7" w14:textId="77777777" w:rsidR="00B84757" w:rsidRDefault="00000000">
            <w:pPr>
              <w:spacing w:after="0"/>
              <w:jc w:val="center"/>
              <w:rPr>
                <w:color w:val="000000"/>
                <w:szCs w:val="24"/>
              </w:rPr>
            </w:pPr>
            <w:r>
              <w:rPr>
                <w:rFonts w:ascii="宋体" w:hAnsi="宋体"/>
                <w:color w:val="000000"/>
                <w:szCs w:val="24"/>
              </w:rPr>
              <w:t>11.8219</w:t>
            </w:r>
          </w:p>
        </w:tc>
        <w:tc>
          <w:tcPr>
            <w:tcW w:w="2266" w:type="dxa"/>
            <w:tcBorders>
              <w:top w:val="nil"/>
              <w:bottom w:val="nil"/>
            </w:tcBorders>
            <w:shd w:val="clear" w:color="auto" w:fill="FFFFFF"/>
          </w:tcPr>
          <w:p w14:paraId="19C33798" w14:textId="77777777" w:rsidR="00B84757" w:rsidRDefault="00000000">
            <w:pPr>
              <w:spacing w:after="0"/>
              <w:jc w:val="center"/>
              <w:rPr>
                <w:color w:val="000000"/>
                <w:szCs w:val="24"/>
              </w:rPr>
            </w:pPr>
            <w:r>
              <w:rPr>
                <w:rFonts w:ascii="宋体" w:hAnsi="宋体"/>
                <w:color w:val="000000"/>
                <w:szCs w:val="24"/>
              </w:rPr>
              <w:t>F检验p值</w:t>
            </w:r>
          </w:p>
        </w:tc>
        <w:tc>
          <w:tcPr>
            <w:tcW w:w="2266" w:type="dxa"/>
            <w:tcBorders>
              <w:top w:val="nil"/>
              <w:bottom w:val="nil"/>
            </w:tcBorders>
            <w:shd w:val="clear" w:color="auto" w:fill="FFFFFF"/>
          </w:tcPr>
          <w:p w14:paraId="713893D0" w14:textId="77777777" w:rsidR="00B84757" w:rsidRDefault="00000000">
            <w:pPr>
              <w:spacing w:after="0"/>
              <w:jc w:val="center"/>
              <w:rPr>
                <w:color w:val="000000"/>
                <w:szCs w:val="24"/>
              </w:rPr>
            </w:pPr>
            <w:r>
              <w:rPr>
                <w:rFonts w:ascii="宋体" w:hAnsi="宋体"/>
                <w:color w:val="000000"/>
                <w:szCs w:val="24"/>
              </w:rPr>
              <w:t>&lt;0.001</w:t>
            </w:r>
          </w:p>
        </w:tc>
      </w:tr>
      <w:tr w:rsidR="00B84757" w14:paraId="5E06E4B8" w14:textId="77777777">
        <w:trPr>
          <w:jc w:val="center"/>
        </w:trPr>
        <w:tc>
          <w:tcPr>
            <w:tcW w:w="2266" w:type="dxa"/>
            <w:tcBorders>
              <w:top w:val="nil"/>
              <w:bottom w:val="nil"/>
            </w:tcBorders>
            <w:shd w:val="clear" w:color="auto" w:fill="FFFFFF"/>
          </w:tcPr>
          <w:p w14:paraId="5E6DA7AD" w14:textId="77777777" w:rsidR="00B84757" w:rsidRDefault="00000000">
            <w:pPr>
              <w:spacing w:after="0"/>
              <w:jc w:val="center"/>
              <w:rPr>
                <w:color w:val="000000"/>
                <w:szCs w:val="24"/>
              </w:rPr>
            </w:pPr>
            <w:r>
              <w:rPr>
                <w:rFonts w:ascii="宋体" w:hAnsi="宋体"/>
                <w:color w:val="000000"/>
                <w:szCs w:val="24"/>
              </w:rPr>
              <w:t>稳健F统计量</w:t>
            </w:r>
          </w:p>
        </w:tc>
        <w:tc>
          <w:tcPr>
            <w:tcW w:w="2266" w:type="dxa"/>
            <w:tcBorders>
              <w:top w:val="nil"/>
              <w:bottom w:val="nil"/>
            </w:tcBorders>
            <w:shd w:val="clear" w:color="auto" w:fill="FFFFFF"/>
          </w:tcPr>
          <w:p w14:paraId="2FC68997" w14:textId="77777777" w:rsidR="00B84757" w:rsidRDefault="00000000">
            <w:pPr>
              <w:spacing w:after="0"/>
              <w:jc w:val="center"/>
              <w:rPr>
                <w:color w:val="000000"/>
                <w:szCs w:val="24"/>
              </w:rPr>
            </w:pPr>
            <w:r>
              <w:rPr>
                <w:rFonts w:ascii="宋体" w:hAnsi="宋体"/>
                <w:color w:val="000000"/>
                <w:szCs w:val="24"/>
              </w:rPr>
              <w:t>339.9053</w:t>
            </w:r>
          </w:p>
        </w:tc>
        <w:tc>
          <w:tcPr>
            <w:tcW w:w="2266" w:type="dxa"/>
            <w:tcBorders>
              <w:top w:val="nil"/>
              <w:bottom w:val="nil"/>
            </w:tcBorders>
            <w:shd w:val="clear" w:color="auto" w:fill="FFFFFF"/>
          </w:tcPr>
          <w:p w14:paraId="6E99355A" w14:textId="77777777" w:rsidR="00B84757" w:rsidRDefault="00000000">
            <w:pPr>
              <w:spacing w:after="0"/>
              <w:jc w:val="center"/>
              <w:rPr>
                <w:color w:val="000000"/>
                <w:szCs w:val="24"/>
              </w:rPr>
            </w:pPr>
            <w:r>
              <w:rPr>
                <w:rFonts w:ascii="宋体" w:hAnsi="宋体"/>
                <w:color w:val="000000"/>
                <w:szCs w:val="24"/>
              </w:rPr>
              <w:t>稳健F检验p值</w:t>
            </w:r>
          </w:p>
        </w:tc>
        <w:tc>
          <w:tcPr>
            <w:tcW w:w="2266" w:type="dxa"/>
            <w:tcBorders>
              <w:top w:val="nil"/>
              <w:bottom w:val="nil"/>
            </w:tcBorders>
            <w:shd w:val="clear" w:color="auto" w:fill="FFFFFF"/>
          </w:tcPr>
          <w:p w14:paraId="06A0B330" w14:textId="77777777" w:rsidR="00B84757" w:rsidRDefault="00000000">
            <w:pPr>
              <w:spacing w:after="0"/>
              <w:jc w:val="center"/>
              <w:rPr>
                <w:color w:val="000000"/>
                <w:szCs w:val="24"/>
              </w:rPr>
            </w:pPr>
            <w:r>
              <w:rPr>
                <w:rFonts w:ascii="宋体" w:hAnsi="宋体"/>
                <w:color w:val="000000"/>
                <w:szCs w:val="24"/>
              </w:rPr>
              <w:t>&lt;0.001</w:t>
            </w:r>
          </w:p>
        </w:tc>
      </w:tr>
      <w:tr w:rsidR="00B84757" w14:paraId="1BB72916" w14:textId="77777777">
        <w:trPr>
          <w:jc w:val="center"/>
        </w:trPr>
        <w:tc>
          <w:tcPr>
            <w:tcW w:w="2266" w:type="dxa"/>
            <w:tcBorders>
              <w:top w:val="nil"/>
              <w:bottom w:val="nil"/>
            </w:tcBorders>
            <w:shd w:val="clear" w:color="auto" w:fill="FFFFFF"/>
          </w:tcPr>
          <w:p w14:paraId="49814E18" w14:textId="77777777" w:rsidR="00B84757" w:rsidRDefault="00000000">
            <w:pPr>
              <w:spacing w:after="0"/>
              <w:jc w:val="center"/>
              <w:rPr>
                <w:color w:val="000000"/>
                <w:szCs w:val="24"/>
              </w:rPr>
            </w:pPr>
            <w:r>
              <w:rPr>
                <w:rFonts w:ascii="宋体" w:hAnsi="宋体"/>
                <w:color w:val="000000"/>
                <w:szCs w:val="24"/>
              </w:rPr>
              <w:t>Poolability F统计量</w:t>
            </w:r>
          </w:p>
        </w:tc>
        <w:tc>
          <w:tcPr>
            <w:tcW w:w="2266" w:type="dxa"/>
            <w:tcBorders>
              <w:top w:val="nil"/>
              <w:bottom w:val="nil"/>
            </w:tcBorders>
            <w:shd w:val="clear" w:color="auto" w:fill="FFFFFF"/>
          </w:tcPr>
          <w:p w14:paraId="009DD41A" w14:textId="77777777" w:rsidR="00B84757" w:rsidRDefault="00000000">
            <w:pPr>
              <w:spacing w:after="0"/>
              <w:jc w:val="center"/>
              <w:rPr>
                <w:color w:val="000000"/>
                <w:szCs w:val="24"/>
              </w:rPr>
            </w:pPr>
            <w:r>
              <w:rPr>
                <w:rFonts w:ascii="宋体" w:hAnsi="宋体"/>
                <w:color w:val="000000"/>
                <w:szCs w:val="24"/>
              </w:rPr>
              <w:t>60.6509</w:t>
            </w:r>
          </w:p>
        </w:tc>
        <w:tc>
          <w:tcPr>
            <w:tcW w:w="2266" w:type="dxa"/>
            <w:tcBorders>
              <w:top w:val="nil"/>
              <w:bottom w:val="nil"/>
            </w:tcBorders>
            <w:shd w:val="clear" w:color="auto" w:fill="FFFFFF"/>
          </w:tcPr>
          <w:p w14:paraId="41DE93B5" w14:textId="77777777" w:rsidR="00B84757" w:rsidRDefault="00000000">
            <w:pPr>
              <w:spacing w:after="0"/>
              <w:jc w:val="center"/>
              <w:rPr>
                <w:color w:val="000000"/>
                <w:szCs w:val="24"/>
              </w:rPr>
            </w:pPr>
            <w:r>
              <w:rPr>
                <w:rFonts w:ascii="宋体" w:hAnsi="宋体"/>
                <w:color w:val="000000"/>
                <w:szCs w:val="24"/>
              </w:rPr>
              <w:t>Poolability检验p值</w:t>
            </w:r>
          </w:p>
        </w:tc>
        <w:tc>
          <w:tcPr>
            <w:tcW w:w="2266" w:type="dxa"/>
            <w:tcBorders>
              <w:top w:val="nil"/>
              <w:bottom w:val="nil"/>
            </w:tcBorders>
            <w:shd w:val="clear" w:color="auto" w:fill="FFFFFF"/>
          </w:tcPr>
          <w:p w14:paraId="12D54B51" w14:textId="77777777" w:rsidR="00B84757" w:rsidRDefault="00000000">
            <w:pPr>
              <w:spacing w:after="0"/>
              <w:jc w:val="center"/>
              <w:rPr>
                <w:color w:val="000000"/>
                <w:szCs w:val="24"/>
              </w:rPr>
            </w:pPr>
            <w:r>
              <w:rPr>
                <w:rFonts w:ascii="宋体" w:hAnsi="宋体"/>
                <w:color w:val="000000"/>
                <w:szCs w:val="24"/>
              </w:rPr>
              <w:t>&lt;0.001</w:t>
            </w:r>
          </w:p>
        </w:tc>
      </w:tr>
      <w:tr w:rsidR="00B84757" w14:paraId="6A35C7E8" w14:textId="77777777">
        <w:trPr>
          <w:jc w:val="center"/>
        </w:trPr>
        <w:tc>
          <w:tcPr>
            <w:tcW w:w="2266" w:type="dxa"/>
            <w:tcBorders>
              <w:top w:val="nil"/>
              <w:bottom w:val="single" w:sz="12" w:space="0" w:color="000000"/>
            </w:tcBorders>
            <w:shd w:val="clear" w:color="auto" w:fill="FFFFFF"/>
          </w:tcPr>
          <w:p w14:paraId="5CAFEF7B" w14:textId="77777777" w:rsidR="00B84757" w:rsidRDefault="00000000">
            <w:pPr>
              <w:spacing w:after="0"/>
              <w:jc w:val="center"/>
              <w:rPr>
                <w:color w:val="000000"/>
                <w:szCs w:val="24"/>
              </w:rPr>
            </w:pPr>
            <w:r>
              <w:rPr>
                <w:rFonts w:ascii="宋体" w:hAnsi="宋体"/>
                <w:color w:val="000000"/>
                <w:szCs w:val="24"/>
              </w:rPr>
              <w:t>协方差估计方法</w:t>
            </w:r>
          </w:p>
        </w:tc>
        <w:tc>
          <w:tcPr>
            <w:tcW w:w="2266" w:type="dxa"/>
            <w:tcBorders>
              <w:top w:val="nil"/>
              <w:bottom w:val="single" w:sz="12" w:space="0" w:color="000000"/>
            </w:tcBorders>
            <w:shd w:val="clear" w:color="auto" w:fill="FFFFFF"/>
          </w:tcPr>
          <w:p w14:paraId="64832E41" w14:textId="77777777" w:rsidR="00B84757" w:rsidRDefault="00000000">
            <w:pPr>
              <w:spacing w:after="0"/>
              <w:jc w:val="center"/>
              <w:rPr>
                <w:color w:val="000000"/>
                <w:szCs w:val="24"/>
              </w:rPr>
            </w:pPr>
            <w:r>
              <w:rPr>
                <w:rFonts w:ascii="宋体" w:hAnsi="宋体"/>
                <w:color w:val="000000"/>
                <w:szCs w:val="24"/>
              </w:rPr>
              <w:t>Driscoll-Kraay</w:t>
            </w:r>
          </w:p>
        </w:tc>
        <w:tc>
          <w:tcPr>
            <w:tcW w:w="2266" w:type="dxa"/>
            <w:tcBorders>
              <w:top w:val="nil"/>
              <w:bottom w:val="single" w:sz="12" w:space="0" w:color="000000"/>
            </w:tcBorders>
            <w:shd w:val="clear" w:color="auto" w:fill="FFFFFF"/>
          </w:tcPr>
          <w:p w14:paraId="17925506" w14:textId="77777777" w:rsidR="00B84757" w:rsidRDefault="00000000">
            <w:pPr>
              <w:spacing w:after="0"/>
              <w:jc w:val="center"/>
              <w:rPr>
                <w:color w:val="000000"/>
                <w:szCs w:val="24"/>
              </w:rPr>
            </w:pPr>
            <w:r>
              <w:rPr>
                <w:rFonts w:ascii="宋体" w:hAnsi="宋体"/>
                <w:color w:val="000000"/>
                <w:szCs w:val="24"/>
              </w:rPr>
              <w:t>参数个数</w:t>
            </w:r>
          </w:p>
        </w:tc>
        <w:tc>
          <w:tcPr>
            <w:tcW w:w="2266" w:type="dxa"/>
            <w:tcBorders>
              <w:top w:val="nil"/>
              <w:bottom w:val="single" w:sz="12" w:space="0" w:color="000000"/>
            </w:tcBorders>
            <w:shd w:val="clear" w:color="auto" w:fill="FFFFFF"/>
          </w:tcPr>
          <w:p w14:paraId="63D47FC0" w14:textId="77777777" w:rsidR="00B84757" w:rsidRDefault="00000000">
            <w:pPr>
              <w:spacing w:after="0"/>
              <w:jc w:val="center"/>
              <w:rPr>
                <w:color w:val="000000"/>
                <w:szCs w:val="24"/>
              </w:rPr>
            </w:pPr>
            <w:r>
              <w:rPr>
                <w:rFonts w:ascii="宋体" w:hAnsi="宋体"/>
                <w:color w:val="000000"/>
                <w:szCs w:val="24"/>
              </w:rPr>
              <w:t>6</w:t>
            </w:r>
          </w:p>
        </w:tc>
      </w:tr>
    </w:tbl>
    <w:p w14:paraId="2C430359" w14:textId="77777777" w:rsidR="00B84757" w:rsidRDefault="00000000">
      <w:pPr>
        <w:rPr>
          <w:lang w:eastAsia="zh-CN"/>
        </w:rPr>
      </w:pPr>
      <w:r>
        <w:rPr>
          <w:noProof/>
          <w:lang w:eastAsia="zh-CN"/>
        </w:rPr>
        <w:lastRenderedPageBreak/>
        <w:drawing>
          <wp:inline distT="0" distB="0" distL="114300" distR="114300" wp14:anchorId="3AD69EFB" wp14:editId="569DCBF0">
            <wp:extent cx="5754370" cy="1830705"/>
            <wp:effectExtent l="0" t="0" r="0" b="0"/>
            <wp:docPr id="20" name="图片 20" descr="08_diagnostics_tripty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8_diagnostics_triptych"/>
                    <pic:cNvPicPr>
                      <a:picLocks noChangeAspect="1"/>
                    </pic:cNvPicPr>
                  </pic:nvPicPr>
                  <pic:blipFill>
                    <a:blip r:embed="rId28"/>
                    <a:srcRect t="6970"/>
                    <a:stretch>
                      <a:fillRect/>
                    </a:stretch>
                  </pic:blipFill>
                  <pic:spPr>
                    <a:xfrm>
                      <a:off x="0" y="0"/>
                      <a:ext cx="5754370" cy="1830705"/>
                    </a:xfrm>
                    <a:prstGeom prst="rect">
                      <a:avLst/>
                    </a:prstGeom>
                  </pic:spPr>
                </pic:pic>
              </a:graphicData>
            </a:graphic>
          </wp:inline>
        </w:drawing>
      </w:r>
    </w:p>
    <w:p w14:paraId="21E42EAC" w14:textId="77777777" w:rsidR="00B84757" w:rsidRDefault="00000000">
      <w:pPr>
        <w:pStyle w:val="a7"/>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20</w:t>
      </w:r>
      <w:r>
        <w:fldChar w:fldCharType="end"/>
      </w:r>
      <w:bookmarkStart w:id="66" w:name="_Toc22409"/>
      <w:r>
        <w:rPr>
          <w:rFonts w:hint="eastAsia"/>
          <w:lang w:eastAsia="zh-CN"/>
        </w:rPr>
        <w:t xml:space="preserve"> </w:t>
      </w:r>
      <w:r>
        <w:rPr>
          <w:rFonts w:hint="eastAsia"/>
          <w:lang w:eastAsia="zh-CN"/>
        </w:rPr>
        <w:t>基准模型拟合与残差诊断图</w:t>
      </w:r>
      <w:bookmarkEnd w:id="66"/>
    </w:p>
    <w:p w14:paraId="49DF3EF2" w14:textId="77777777" w:rsidR="00B84757" w:rsidRDefault="00000000">
      <w:pPr>
        <w:ind w:firstLine="720"/>
        <w:rPr>
          <w:lang w:eastAsia="zh-CN"/>
        </w:rPr>
      </w:pPr>
      <w:r>
        <w:rPr>
          <w:rFonts w:hint="eastAsia"/>
          <w:lang w:eastAsia="zh-CN"/>
        </w:rPr>
        <w:t>模型诊断图从拟合关系、残差分布和偏离情况三个角度对基准模型进行了检验。总体上，图形结果没有显示出足以推翻基准设定的异常模式，这说明表</w:t>
      </w:r>
      <w:r>
        <w:rPr>
          <w:rFonts w:hint="eastAsia"/>
          <w:lang w:eastAsia="zh-CN"/>
        </w:rPr>
        <w:t>11</w:t>
      </w:r>
      <w:r>
        <w:rPr>
          <w:rFonts w:hint="eastAsia"/>
          <w:lang w:eastAsia="zh-CN"/>
        </w:rPr>
        <w:t>中的拟合统计量与正文关于模型可用性的判断具有一致性。</w:t>
      </w:r>
    </w:p>
    <w:p w14:paraId="147EA82D" w14:textId="77777777" w:rsidR="00B84757" w:rsidRDefault="00000000">
      <w:pPr>
        <w:pStyle w:val="21"/>
        <w:jc w:val="both"/>
        <w:rPr>
          <w:rFonts w:ascii="楷体" w:hAnsi="楷体"/>
          <w:color w:val="auto"/>
          <w:lang w:eastAsia="zh-CN"/>
        </w:rPr>
      </w:pPr>
      <w:bookmarkStart w:id="67" w:name="_Toc13244"/>
      <w:r>
        <w:rPr>
          <w:rFonts w:ascii="楷体" w:hAnsi="楷体"/>
          <w:color w:val="auto"/>
          <w:lang w:eastAsia="zh-CN"/>
        </w:rPr>
        <w:t>（二）非线性、滞后项与扩展分析</w:t>
      </w:r>
      <w:bookmarkEnd w:id="67"/>
    </w:p>
    <w:p w14:paraId="5A068D27"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根据稳健性检验结果，在对核心变量分别进行1%和5%缩尾处理后，夜间灯光聚合度系数分别为0.1758和0.1703，均保持正向且分别在5%和5%水平上显著；将核心解释变量滞后一期后，lntl_lag1的系数为0.2215，并在1%水平上显著，说明夜间灯光聚合度对碳排放效率的促进作用具有较好的稳健性和一定的滞后传导特征。与此同时，城镇化率在各稳健性设定下始终显著为负，对外开放变量也总体保持正向作用，表明基准结论具有较强的一致性。</w:t>
      </w:r>
    </w:p>
    <w:p w14:paraId="486203F5" w14:textId="77777777" w:rsidR="00B84757" w:rsidRDefault="00000000">
      <w:pPr>
        <w:jc w:val="center"/>
        <w:rPr>
          <w:lang w:eastAsia="zh-CN"/>
        </w:rPr>
      </w:pPr>
      <w:r>
        <w:rPr>
          <w:noProof/>
          <w:lang w:eastAsia="zh-CN"/>
        </w:rPr>
        <w:lastRenderedPageBreak/>
        <w:drawing>
          <wp:inline distT="0" distB="0" distL="114300" distR="114300" wp14:anchorId="7EA59E56" wp14:editId="32B83584">
            <wp:extent cx="4993640" cy="3122930"/>
            <wp:effectExtent l="0" t="0" r="10160" b="1270"/>
            <wp:docPr id="22" name="图片 22" descr="robustness_core_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robustness_core_forest"/>
                    <pic:cNvPicPr>
                      <a:picLocks noChangeAspect="1"/>
                    </pic:cNvPicPr>
                  </pic:nvPicPr>
                  <pic:blipFill>
                    <a:blip r:embed="rId29"/>
                    <a:stretch>
                      <a:fillRect/>
                    </a:stretch>
                  </pic:blipFill>
                  <pic:spPr>
                    <a:xfrm>
                      <a:off x="0" y="0"/>
                      <a:ext cx="4993640" cy="3122930"/>
                    </a:xfrm>
                    <a:prstGeom prst="rect">
                      <a:avLst/>
                    </a:prstGeom>
                  </pic:spPr>
                </pic:pic>
              </a:graphicData>
            </a:graphic>
          </wp:inline>
        </w:drawing>
      </w:r>
    </w:p>
    <w:p w14:paraId="733EB255" w14:textId="77777777" w:rsidR="00B84757" w:rsidRDefault="00000000">
      <w:pPr>
        <w:pStyle w:val="a7"/>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21</w:t>
      </w:r>
      <w:r>
        <w:fldChar w:fldCharType="end"/>
      </w:r>
      <w:bookmarkStart w:id="68" w:name="_Toc7481"/>
      <w:r>
        <w:rPr>
          <w:rFonts w:hint="eastAsia"/>
          <w:lang w:eastAsia="zh-CN"/>
        </w:rPr>
        <w:t xml:space="preserve"> </w:t>
      </w:r>
      <w:r>
        <w:rPr>
          <w:rFonts w:hint="eastAsia"/>
          <w:lang w:eastAsia="zh-CN"/>
        </w:rPr>
        <w:t>核心解释变量稳健性检验结果图</w:t>
      </w:r>
      <w:bookmarkEnd w:id="68"/>
    </w:p>
    <w:p w14:paraId="474C4909" w14:textId="77777777" w:rsidR="00B84757" w:rsidRDefault="00000000">
      <w:pPr>
        <w:ind w:firstLine="720"/>
        <w:rPr>
          <w:lang w:eastAsia="zh-CN"/>
        </w:rPr>
      </w:pPr>
      <w:r>
        <w:rPr>
          <w:lang w:eastAsia="zh-CN"/>
        </w:rPr>
        <w:t>稳健性检验图表明，在</w:t>
      </w:r>
      <w:r>
        <w:rPr>
          <w:lang w:eastAsia="zh-CN"/>
        </w:rPr>
        <w:t>1%</w:t>
      </w:r>
      <w:r>
        <w:rPr>
          <w:lang w:eastAsia="zh-CN"/>
        </w:rPr>
        <w:t>缩尾、</w:t>
      </w:r>
      <w:r>
        <w:rPr>
          <w:lang w:eastAsia="zh-CN"/>
        </w:rPr>
        <w:t>5%</w:t>
      </w:r>
      <w:r>
        <w:rPr>
          <w:lang w:eastAsia="zh-CN"/>
        </w:rPr>
        <w:t>缩尾和滞后一期等不同设定下，夜间灯光聚合度的估计系数方向保持一致，整体仍表现为正向影响。这说明核心结论并非由个别极端样本或单一模型设定所驱动，具有较好的稳定性。</w:t>
      </w:r>
    </w:p>
    <w:p w14:paraId="549AB64F" w14:textId="77777777" w:rsidR="00B84757" w:rsidRDefault="00000000">
      <w:pPr>
        <w:pStyle w:val="21"/>
        <w:jc w:val="both"/>
        <w:rPr>
          <w:rFonts w:ascii="楷体" w:hAnsi="楷体"/>
          <w:color w:val="auto"/>
          <w:lang w:eastAsia="zh-CN"/>
        </w:rPr>
      </w:pPr>
      <w:bookmarkStart w:id="69" w:name="_Toc25971"/>
      <w:r>
        <w:rPr>
          <w:rFonts w:ascii="楷体" w:hAnsi="楷体"/>
          <w:color w:val="auto"/>
          <w:lang w:eastAsia="zh-CN"/>
        </w:rPr>
        <w:t>（三）区域异质性分析框架</w:t>
      </w:r>
      <w:bookmarkEnd w:id="69"/>
    </w:p>
    <w:p w14:paraId="4E50DEF2" w14:textId="77777777" w:rsidR="00B84757" w:rsidRDefault="00000000">
      <w:pPr>
        <w:spacing w:after="0" w:line="480" w:lineRule="exact"/>
        <w:ind w:firstLineChars="200" w:firstLine="480"/>
        <w:jc w:val="both"/>
        <w:rPr>
          <w:rFonts w:ascii="宋体" w:hAnsi="宋体"/>
          <w:lang w:eastAsia="zh-CN"/>
        </w:rPr>
      </w:pPr>
      <w:r>
        <w:rPr>
          <w:lang w:eastAsia="zh-CN"/>
        </w:rPr>
        <w:t>考虑到中国省际资源禀赋、产业结构和经济集聚程度差异显著，本文进一步按照东部、中部、西部和东北四大区域开展分组回归。结果显示，夜间灯光聚合度在东北地区的回归系数为</w:t>
      </w:r>
      <w:r>
        <w:rPr>
          <w:lang w:eastAsia="zh-CN"/>
        </w:rPr>
        <w:t>0.1955</w:t>
      </w:r>
      <w:r>
        <w:rPr>
          <w:lang w:eastAsia="zh-CN"/>
        </w:rPr>
        <w:t>，并在</w:t>
      </w:r>
      <w:r>
        <w:rPr>
          <w:lang w:eastAsia="zh-CN"/>
        </w:rPr>
        <w:t>5%</w:t>
      </w:r>
      <w:r>
        <w:rPr>
          <w:lang w:eastAsia="zh-CN"/>
        </w:rPr>
        <w:t>水平上显著为正；在东部、中部和西部地区虽同样呈正向影响，但未通过显著性检验。这表明夜间灯光聚合度对碳排放效率的促进作用具有明显的区域异质性，在东北地区表现得更为突出。</w:t>
      </w:r>
    </w:p>
    <w:p w14:paraId="0F85D97C"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进一步看，西部地区对外开放水平在1%水平上显著为正，能源结构在10%水平上显著为负；东北地区夜间灯光聚合度的正向作用最为稳健。由此说明，区域政策不能一刀切，应依据地方发展阶段、开放条件和能源结构约束实施差异化治理。</w:t>
      </w:r>
    </w:p>
    <w:p w14:paraId="1CF52F48" w14:textId="77777777" w:rsidR="00B84757" w:rsidRDefault="00000000">
      <w:pPr>
        <w:pStyle w:val="a7"/>
      </w:pPr>
      <w:r>
        <w:t>表</w:t>
      </w:r>
      <w:r>
        <w:t xml:space="preserve"> </w:t>
      </w:r>
      <w:r>
        <w:fldChar w:fldCharType="begin"/>
      </w:r>
      <w:r>
        <w:instrText xml:space="preserve"> SEQ </w:instrText>
      </w:r>
      <w:r>
        <w:instrText>表</w:instrText>
      </w:r>
      <w:r>
        <w:instrText xml:space="preserve"> \* ARABIC </w:instrText>
      </w:r>
      <w:r>
        <w:fldChar w:fldCharType="separate"/>
      </w:r>
      <w:r>
        <w:t>12</w:t>
      </w:r>
      <w:r>
        <w:fldChar w:fldCharType="end"/>
      </w:r>
      <w:bookmarkStart w:id="70" w:name="_Toc22203"/>
      <w:r>
        <w:rPr>
          <w:rFonts w:hint="eastAsia"/>
          <w:lang w:eastAsia="zh-CN"/>
        </w:rPr>
        <w:t xml:space="preserve"> </w:t>
      </w:r>
      <w:r>
        <w:t>异质性分析结果</w:t>
      </w:r>
      <w:bookmarkEnd w:id="70"/>
    </w:p>
    <w:tbl>
      <w:tblPr>
        <w:tblStyle w:val="af6"/>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411"/>
        <w:gridCol w:w="1456"/>
        <w:gridCol w:w="1456"/>
        <w:gridCol w:w="1456"/>
        <w:gridCol w:w="1411"/>
        <w:gridCol w:w="1456"/>
      </w:tblGrid>
      <w:tr w:rsidR="00B84757" w14:paraId="14AB0A2D" w14:textId="77777777">
        <w:trPr>
          <w:jc w:val="center"/>
        </w:trPr>
        <w:tc>
          <w:tcPr>
            <w:tcW w:w="1511" w:type="dxa"/>
            <w:tcBorders>
              <w:top w:val="single" w:sz="12" w:space="0" w:color="000000"/>
              <w:bottom w:val="single" w:sz="4" w:space="0" w:color="000000"/>
              <w:tl2br w:val="nil"/>
            </w:tcBorders>
            <w:shd w:val="clear" w:color="auto" w:fill="FFFFFF"/>
          </w:tcPr>
          <w:p w14:paraId="0523B0B5" w14:textId="77777777" w:rsidR="00B84757" w:rsidRDefault="00000000">
            <w:pPr>
              <w:spacing w:after="0"/>
              <w:jc w:val="center"/>
              <w:rPr>
                <w:color w:val="000000"/>
                <w:szCs w:val="24"/>
              </w:rPr>
            </w:pPr>
            <w:r>
              <w:rPr>
                <w:rFonts w:ascii="宋体" w:hAnsi="宋体"/>
                <w:color w:val="000000"/>
                <w:szCs w:val="24"/>
              </w:rPr>
              <w:lastRenderedPageBreak/>
              <w:t>区域</w:t>
            </w:r>
          </w:p>
        </w:tc>
        <w:tc>
          <w:tcPr>
            <w:tcW w:w="1511" w:type="dxa"/>
            <w:tcBorders>
              <w:top w:val="single" w:sz="12" w:space="0" w:color="000000"/>
              <w:bottom w:val="single" w:sz="4" w:space="0" w:color="000000"/>
            </w:tcBorders>
            <w:shd w:val="clear" w:color="auto" w:fill="FFFFFF"/>
          </w:tcPr>
          <w:p w14:paraId="453EB12C" w14:textId="77777777" w:rsidR="00B84757" w:rsidRDefault="00000000">
            <w:pPr>
              <w:spacing w:after="0"/>
              <w:jc w:val="center"/>
              <w:rPr>
                <w:color w:val="000000"/>
                <w:szCs w:val="24"/>
              </w:rPr>
            </w:pPr>
            <w:r>
              <w:rPr>
                <w:rFonts w:ascii="宋体" w:hAnsi="宋体"/>
                <w:color w:val="000000"/>
                <w:szCs w:val="24"/>
              </w:rPr>
              <w:t>LNTL系数</w:t>
            </w:r>
          </w:p>
        </w:tc>
        <w:tc>
          <w:tcPr>
            <w:tcW w:w="1511" w:type="dxa"/>
            <w:tcBorders>
              <w:top w:val="single" w:sz="12" w:space="0" w:color="000000"/>
              <w:bottom w:val="single" w:sz="4" w:space="0" w:color="000000"/>
            </w:tcBorders>
            <w:shd w:val="clear" w:color="auto" w:fill="FFFFFF"/>
          </w:tcPr>
          <w:p w14:paraId="111FBF47" w14:textId="77777777" w:rsidR="00B84757" w:rsidRDefault="00000000">
            <w:pPr>
              <w:spacing w:after="0"/>
              <w:jc w:val="center"/>
              <w:rPr>
                <w:color w:val="000000"/>
                <w:szCs w:val="24"/>
              </w:rPr>
            </w:pPr>
            <w:r>
              <w:rPr>
                <w:rFonts w:ascii="宋体" w:hAnsi="宋体"/>
                <w:color w:val="000000"/>
                <w:szCs w:val="24"/>
              </w:rPr>
              <w:t>标准误</w:t>
            </w:r>
          </w:p>
        </w:tc>
        <w:tc>
          <w:tcPr>
            <w:tcW w:w="1511" w:type="dxa"/>
            <w:tcBorders>
              <w:top w:val="single" w:sz="12" w:space="0" w:color="000000"/>
              <w:bottom w:val="single" w:sz="4" w:space="0" w:color="000000"/>
            </w:tcBorders>
            <w:shd w:val="clear" w:color="auto" w:fill="FFFFFF"/>
          </w:tcPr>
          <w:p w14:paraId="09F9B58D" w14:textId="77777777" w:rsidR="00B84757" w:rsidRDefault="00000000">
            <w:pPr>
              <w:spacing w:after="0"/>
              <w:jc w:val="center"/>
              <w:rPr>
                <w:color w:val="000000"/>
                <w:szCs w:val="24"/>
              </w:rPr>
            </w:pPr>
            <w:r>
              <w:rPr>
                <w:rFonts w:ascii="宋体" w:hAnsi="宋体"/>
                <w:color w:val="000000"/>
                <w:szCs w:val="24"/>
              </w:rPr>
              <w:t>p值</w:t>
            </w:r>
          </w:p>
        </w:tc>
        <w:tc>
          <w:tcPr>
            <w:tcW w:w="1511" w:type="dxa"/>
            <w:tcBorders>
              <w:top w:val="single" w:sz="12" w:space="0" w:color="000000"/>
              <w:bottom w:val="single" w:sz="4" w:space="0" w:color="000000"/>
            </w:tcBorders>
            <w:shd w:val="clear" w:color="auto" w:fill="FFFFFF"/>
          </w:tcPr>
          <w:p w14:paraId="4BB6A2E3" w14:textId="77777777" w:rsidR="00B84757" w:rsidRDefault="00000000">
            <w:pPr>
              <w:spacing w:after="0"/>
              <w:jc w:val="center"/>
              <w:rPr>
                <w:color w:val="000000"/>
                <w:szCs w:val="24"/>
              </w:rPr>
            </w:pPr>
            <w:r>
              <w:rPr>
                <w:rFonts w:ascii="宋体" w:hAnsi="宋体"/>
                <w:color w:val="000000"/>
                <w:szCs w:val="24"/>
              </w:rPr>
              <w:t>显著性</w:t>
            </w:r>
          </w:p>
        </w:tc>
        <w:tc>
          <w:tcPr>
            <w:tcW w:w="1511" w:type="dxa"/>
            <w:tcBorders>
              <w:top w:val="single" w:sz="12" w:space="0" w:color="000000"/>
              <w:bottom w:val="single" w:sz="4" w:space="0" w:color="000000"/>
            </w:tcBorders>
            <w:shd w:val="clear" w:color="auto" w:fill="FFFFFF"/>
          </w:tcPr>
          <w:p w14:paraId="3893AEF0" w14:textId="77777777" w:rsidR="00B84757" w:rsidRDefault="00000000">
            <w:pPr>
              <w:spacing w:after="0"/>
              <w:jc w:val="center"/>
              <w:rPr>
                <w:color w:val="000000"/>
                <w:szCs w:val="24"/>
              </w:rPr>
            </w:pPr>
            <w:r>
              <w:rPr>
                <w:rFonts w:ascii="宋体" w:hAnsi="宋体"/>
                <w:color w:val="000000"/>
                <w:szCs w:val="24"/>
              </w:rPr>
              <w:t>R²</w:t>
            </w:r>
          </w:p>
        </w:tc>
      </w:tr>
      <w:tr w:rsidR="00B84757" w14:paraId="3ED417A5" w14:textId="77777777">
        <w:trPr>
          <w:jc w:val="center"/>
        </w:trPr>
        <w:tc>
          <w:tcPr>
            <w:tcW w:w="1511" w:type="dxa"/>
            <w:tcBorders>
              <w:top w:val="single" w:sz="4" w:space="0" w:color="000000"/>
              <w:bottom w:val="nil"/>
            </w:tcBorders>
            <w:shd w:val="clear" w:color="auto" w:fill="FFFFFF"/>
          </w:tcPr>
          <w:p w14:paraId="00B223CA" w14:textId="77777777" w:rsidR="00B84757" w:rsidRDefault="00000000">
            <w:pPr>
              <w:spacing w:after="0"/>
              <w:jc w:val="center"/>
              <w:rPr>
                <w:color w:val="000000"/>
                <w:szCs w:val="24"/>
              </w:rPr>
            </w:pPr>
            <w:r>
              <w:rPr>
                <w:rFonts w:ascii="宋体" w:hAnsi="宋体"/>
                <w:color w:val="000000"/>
                <w:szCs w:val="24"/>
              </w:rPr>
              <w:t>东部</w:t>
            </w:r>
          </w:p>
        </w:tc>
        <w:tc>
          <w:tcPr>
            <w:tcW w:w="1511" w:type="dxa"/>
            <w:tcBorders>
              <w:top w:val="single" w:sz="4" w:space="0" w:color="000000"/>
              <w:bottom w:val="nil"/>
            </w:tcBorders>
            <w:shd w:val="clear" w:color="auto" w:fill="FFFFFF"/>
          </w:tcPr>
          <w:p w14:paraId="4D139BC7" w14:textId="77777777" w:rsidR="00B84757" w:rsidRDefault="00000000">
            <w:pPr>
              <w:spacing w:after="0"/>
              <w:jc w:val="center"/>
              <w:rPr>
                <w:color w:val="000000"/>
                <w:szCs w:val="24"/>
              </w:rPr>
            </w:pPr>
            <w:r>
              <w:rPr>
                <w:rFonts w:ascii="宋体" w:hAnsi="宋体"/>
                <w:color w:val="000000"/>
                <w:szCs w:val="24"/>
              </w:rPr>
              <w:t>0.1418</w:t>
            </w:r>
          </w:p>
        </w:tc>
        <w:tc>
          <w:tcPr>
            <w:tcW w:w="1511" w:type="dxa"/>
            <w:tcBorders>
              <w:top w:val="single" w:sz="4" w:space="0" w:color="000000"/>
              <w:bottom w:val="nil"/>
            </w:tcBorders>
            <w:shd w:val="clear" w:color="auto" w:fill="FFFFFF"/>
          </w:tcPr>
          <w:p w14:paraId="044BFF42" w14:textId="77777777" w:rsidR="00B84757" w:rsidRDefault="00000000">
            <w:pPr>
              <w:spacing w:after="0"/>
              <w:jc w:val="center"/>
              <w:rPr>
                <w:color w:val="000000"/>
                <w:szCs w:val="24"/>
              </w:rPr>
            </w:pPr>
            <w:r>
              <w:rPr>
                <w:rFonts w:ascii="宋体" w:hAnsi="宋体"/>
                <w:color w:val="000000"/>
                <w:szCs w:val="24"/>
              </w:rPr>
              <w:t>0.2486</w:t>
            </w:r>
          </w:p>
        </w:tc>
        <w:tc>
          <w:tcPr>
            <w:tcW w:w="1511" w:type="dxa"/>
            <w:tcBorders>
              <w:top w:val="single" w:sz="4" w:space="0" w:color="000000"/>
              <w:bottom w:val="nil"/>
            </w:tcBorders>
            <w:shd w:val="clear" w:color="auto" w:fill="FFFFFF"/>
          </w:tcPr>
          <w:p w14:paraId="728C3D5F" w14:textId="77777777" w:rsidR="00B84757" w:rsidRDefault="00000000">
            <w:pPr>
              <w:spacing w:after="0"/>
              <w:jc w:val="center"/>
              <w:rPr>
                <w:color w:val="000000"/>
                <w:szCs w:val="24"/>
              </w:rPr>
            </w:pPr>
            <w:r>
              <w:rPr>
                <w:rFonts w:ascii="宋体" w:hAnsi="宋体"/>
                <w:color w:val="000000"/>
                <w:szCs w:val="24"/>
              </w:rPr>
              <w:t>0.5705</w:t>
            </w:r>
          </w:p>
        </w:tc>
        <w:tc>
          <w:tcPr>
            <w:tcW w:w="1511" w:type="dxa"/>
            <w:tcBorders>
              <w:top w:val="single" w:sz="4" w:space="0" w:color="000000"/>
              <w:bottom w:val="nil"/>
            </w:tcBorders>
            <w:shd w:val="clear" w:color="auto" w:fill="FFFFFF"/>
          </w:tcPr>
          <w:p w14:paraId="091B60C6" w14:textId="77777777" w:rsidR="00B84757" w:rsidRDefault="00B84757">
            <w:pPr>
              <w:spacing w:after="0"/>
              <w:jc w:val="center"/>
              <w:rPr>
                <w:color w:val="000000"/>
                <w:szCs w:val="24"/>
              </w:rPr>
            </w:pPr>
          </w:p>
        </w:tc>
        <w:tc>
          <w:tcPr>
            <w:tcW w:w="1511" w:type="dxa"/>
            <w:tcBorders>
              <w:top w:val="single" w:sz="4" w:space="0" w:color="000000"/>
              <w:bottom w:val="nil"/>
            </w:tcBorders>
            <w:shd w:val="clear" w:color="auto" w:fill="FFFFFF"/>
          </w:tcPr>
          <w:p w14:paraId="7A5C37C2" w14:textId="77777777" w:rsidR="00B84757" w:rsidRDefault="00000000">
            <w:pPr>
              <w:spacing w:after="0"/>
              <w:jc w:val="center"/>
              <w:rPr>
                <w:color w:val="000000"/>
                <w:szCs w:val="24"/>
              </w:rPr>
            </w:pPr>
            <w:r>
              <w:rPr>
                <w:rFonts w:ascii="宋体" w:hAnsi="宋体"/>
                <w:color w:val="000000"/>
                <w:szCs w:val="24"/>
              </w:rPr>
              <w:t>0.1965</w:t>
            </w:r>
          </w:p>
        </w:tc>
      </w:tr>
      <w:tr w:rsidR="00B84757" w14:paraId="25B2D574" w14:textId="77777777">
        <w:trPr>
          <w:jc w:val="center"/>
        </w:trPr>
        <w:tc>
          <w:tcPr>
            <w:tcW w:w="1511" w:type="dxa"/>
            <w:tcBorders>
              <w:top w:val="nil"/>
              <w:bottom w:val="nil"/>
            </w:tcBorders>
            <w:shd w:val="clear" w:color="auto" w:fill="FFFFFF"/>
          </w:tcPr>
          <w:p w14:paraId="699BECAE" w14:textId="77777777" w:rsidR="00B84757" w:rsidRDefault="00000000">
            <w:pPr>
              <w:spacing w:after="0"/>
              <w:jc w:val="center"/>
              <w:rPr>
                <w:color w:val="000000"/>
                <w:szCs w:val="24"/>
              </w:rPr>
            </w:pPr>
            <w:r>
              <w:rPr>
                <w:rFonts w:ascii="宋体" w:hAnsi="宋体"/>
                <w:color w:val="000000"/>
                <w:szCs w:val="24"/>
              </w:rPr>
              <w:t>中部</w:t>
            </w:r>
          </w:p>
        </w:tc>
        <w:tc>
          <w:tcPr>
            <w:tcW w:w="1511" w:type="dxa"/>
            <w:tcBorders>
              <w:top w:val="nil"/>
              <w:bottom w:val="nil"/>
            </w:tcBorders>
            <w:shd w:val="clear" w:color="auto" w:fill="FFFFFF"/>
          </w:tcPr>
          <w:p w14:paraId="1DD3C3F4" w14:textId="77777777" w:rsidR="00B84757" w:rsidRDefault="00000000">
            <w:pPr>
              <w:spacing w:after="0"/>
              <w:jc w:val="center"/>
              <w:rPr>
                <w:color w:val="000000"/>
                <w:szCs w:val="24"/>
              </w:rPr>
            </w:pPr>
            <w:r>
              <w:rPr>
                <w:rFonts w:ascii="宋体" w:hAnsi="宋体"/>
                <w:color w:val="000000"/>
                <w:szCs w:val="24"/>
              </w:rPr>
              <w:t>0.0779</w:t>
            </w:r>
          </w:p>
        </w:tc>
        <w:tc>
          <w:tcPr>
            <w:tcW w:w="1511" w:type="dxa"/>
            <w:tcBorders>
              <w:top w:val="nil"/>
              <w:bottom w:val="nil"/>
            </w:tcBorders>
            <w:shd w:val="clear" w:color="auto" w:fill="FFFFFF"/>
          </w:tcPr>
          <w:p w14:paraId="60111AF7" w14:textId="77777777" w:rsidR="00B84757" w:rsidRDefault="00000000">
            <w:pPr>
              <w:spacing w:after="0"/>
              <w:jc w:val="center"/>
              <w:rPr>
                <w:color w:val="000000"/>
                <w:szCs w:val="24"/>
              </w:rPr>
            </w:pPr>
            <w:r>
              <w:rPr>
                <w:rFonts w:ascii="宋体" w:hAnsi="宋体"/>
                <w:color w:val="000000"/>
                <w:szCs w:val="24"/>
              </w:rPr>
              <w:t>0.2327</w:t>
            </w:r>
          </w:p>
        </w:tc>
        <w:tc>
          <w:tcPr>
            <w:tcW w:w="1511" w:type="dxa"/>
            <w:tcBorders>
              <w:top w:val="nil"/>
              <w:bottom w:val="nil"/>
            </w:tcBorders>
            <w:shd w:val="clear" w:color="auto" w:fill="FFFFFF"/>
          </w:tcPr>
          <w:p w14:paraId="0B445FD5" w14:textId="77777777" w:rsidR="00B84757" w:rsidRDefault="00000000">
            <w:pPr>
              <w:spacing w:after="0"/>
              <w:jc w:val="center"/>
              <w:rPr>
                <w:color w:val="000000"/>
                <w:szCs w:val="24"/>
              </w:rPr>
            </w:pPr>
            <w:r>
              <w:rPr>
                <w:rFonts w:ascii="宋体" w:hAnsi="宋体"/>
                <w:color w:val="000000"/>
                <w:szCs w:val="24"/>
              </w:rPr>
              <w:t>0.7400</w:t>
            </w:r>
          </w:p>
        </w:tc>
        <w:tc>
          <w:tcPr>
            <w:tcW w:w="1511" w:type="dxa"/>
            <w:tcBorders>
              <w:top w:val="nil"/>
              <w:bottom w:val="nil"/>
            </w:tcBorders>
            <w:shd w:val="clear" w:color="auto" w:fill="FFFFFF"/>
          </w:tcPr>
          <w:p w14:paraId="591D29A5" w14:textId="77777777" w:rsidR="00B84757" w:rsidRDefault="00B84757">
            <w:pPr>
              <w:spacing w:after="0"/>
              <w:jc w:val="center"/>
              <w:rPr>
                <w:color w:val="000000"/>
                <w:szCs w:val="24"/>
              </w:rPr>
            </w:pPr>
          </w:p>
        </w:tc>
        <w:tc>
          <w:tcPr>
            <w:tcW w:w="1511" w:type="dxa"/>
            <w:tcBorders>
              <w:top w:val="nil"/>
              <w:bottom w:val="nil"/>
            </w:tcBorders>
            <w:shd w:val="clear" w:color="auto" w:fill="FFFFFF"/>
          </w:tcPr>
          <w:p w14:paraId="4ED392C8" w14:textId="77777777" w:rsidR="00B84757" w:rsidRDefault="00000000">
            <w:pPr>
              <w:spacing w:after="0"/>
              <w:jc w:val="center"/>
              <w:rPr>
                <w:color w:val="000000"/>
                <w:szCs w:val="24"/>
              </w:rPr>
            </w:pPr>
            <w:r>
              <w:rPr>
                <w:rFonts w:ascii="宋体" w:hAnsi="宋体"/>
                <w:color w:val="000000"/>
                <w:szCs w:val="24"/>
              </w:rPr>
              <w:t>0.2284</w:t>
            </w:r>
          </w:p>
        </w:tc>
      </w:tr>
      <w:tr w:rsidR="00B84757" w14:paraId="30FE9675" w14:textId="77777777">
        <w:trPr>
          <w:jc w:val="center"/>
        </w:trPr>
        <w:tc>
          <w:tcPr>
            <w:tcW w:w="1511" w:type="dxa"/>
            <w:tcBorders>
              <w:top w:val="nil"/>
              <w:bottom w:val="nil"/>
            </w:tcBorders>
            <w:shd w:val="clear" w:color="auto" w:fill="FFFFFF"/>
          </w:tcPr>
          <w:p w14:paraId="58B391F7" w14:textId="77777777" w:rsidR="00B84757" w:rsidRDefault="00000000">
            <w:pPr>
              <w:spacing w:after="0"/>
              <w:jc w:val="center"/>
              <w:rPr>
                <w:color w:val="000000"/>
                <w:szCs w:val="24"/>
              </w:rPr>
            </w:pPr>
            <w:r>
              <w:rPr>
                <w:rFonts w:ascii="宋体" w:hAnsi="宋体"/>
                <w:color w:val="000000"/>
                <w:szCs w:val="24"/>
              </w:rPr>
              <w:t>西部</w:t>
            </w:r>
          </w:p>
        </w:tc>
        <w:tc>
          <w:tcPr>
            <w:tcW w:w="1511" w:type="dxa"/>
            <w:tcBorders>
              <w:top w:val="nil"/>
              <w:bottom w:val="nil"/>
            </w:tcBorders>
            <w:shd w:val="clear" w:color="auto" w:fill="FFFFFF"/>
          </w:tcPr>
          <w:p w14:paraId="7BF38DDD" w14:textId="77777777" w:rsidR="00B84757" w:rsidRDefault="00000000">
            <w:pPr>
              <w:spacing w:after="0"/>
              <w:jc w:val="center"/>
              <w:rPr>
                <w:color w:val="000000"/>
                <w:szCs w:val="24"/>
              </w:rPr>
            </w:pPr>
            <w:r>
              <w:rPr>
                <w:rFonts w:ascii="宋体" w:hAnsi="宋体"/>
                <w:color w:val="000000"/>
                <w:szCs w:val="24"/>
              </w:rPr>
              <w:t>0.1529</w:t>
            </w:r>
          </w:p>
        </w:tc>
        <w:tc>
          <w:tcPr>
            <w:tcW w:w="1511" w:type="dxa"/>
            <w:tcBorders>
              <w:top w:val="nil"/>
              <w:bottom w:val="nil"/>
            </w:tcBorders>
            <w:shd w:val="clear" w:color="auto" w:fill="FFFFFF"/>
          </w:tcPr>
          <w:p w14:paraId="49964F05" w14:textId="77777777" w:rsidR="00B84757" w:rsidRDefault="00000000">
            <w:pPr>
              <w:spacing w:after="0"/>
              <w:jc w:val="center"/>
              <w:rPr>
                <w:color w:val="000000"/>
                <w:szCs w:val="24"/>
              </w:rPr>
            </w:pPr>
            <w:r>
              <w:rPr>
                <w:rFonts w:ascii="宋体" w:hAnsi="宋体"/>
                <w:color w:val="000000"/>
                <w:szCs w:val="24"/>
              </w:rPr>
              <w:t>0.1362</w:t>
            </w:r>
          </w:p>
        </w:tc>
        <w:tc>
          <w:tcPr>
            <w:tcW w:w="1511" w:type="dxa"/>
            <w:tcBorders>
              <w:top w:val="nil"/>
              <w:bottom w:val="nil"/>
            </w:tcBorders>
            <w:shd w:val="clear" w:color="auto" w:fill="FFFFFF"/>
          </w:tcPr>
          <w:p w14:paraId="266256D9" w14:textId="77777777" w:rsidR="00B84757" w:rsidRDefault="00000000">
            <w:pPr>
              <w:spacing w:after="0"/>
              <w:jc w:val="center"/>
              <w:rPr>
                <w:color w:val="000000"/>
                <w:szCs w:val="24"/>
              </w:rPr>
            </w:pPr>
            <w:r>
              <w:rPr>
                <w:rFonts w:ascii="宋体" w:hAnsi="宋体"/>
                <w:color w:val="000000"/>
                <w:szCs w:val="24"/>
              </w:rPr>
              <w:t>0.2657</w:t>
            </w:r>
          </w:p>
        </w:tc>
        <w:tc>
          <w:tcPr>
            <w:tcW w:w="1511" w:type="dxa"/>
            <w:tcBorders>
              <w:top w:val="nil"/>
              <w:bottom w:val="nil"/>
            </w:tcBorders>
            <w:shd w:val="clear" w:color="auto" w:fill="FFFFFF"/>
          </w:tcPr>
          <w:p w14:paraId="25AA891E" w14:textId="77777777" w:rsidR="00B84757" w:rsidRDefault="00B84757">
            <w:pPr>
              <w:spacing w:after="0"/>
              <w:jc w:val="center"/>
              <w:rPr>
                <w:color w:val="000000"/>
                <w:szCs w:val="24"/>
              </w:rPr>
            </w:pPr>
          </w:p>
        </w:tc>
        <w:tc>
          <w:tcPr>
            <w:tcW w:w="1511" w:type="dxa"/>
            <w:tcBorders>
              <w:top w:val="nil"/>
              <w:bottom w:val="nil"/>
            </w:tcBorders>
            <w:shd w:val="clear" w:color="auto" w:fill="FFFFFF"/>
          </w:tcPr>
          <w:p w14:paraId="1A5B05EA" w14:textId="77777777" w:rsidR="00B84757" w:rsidRDefault="00000000">
            <w:pPr>
              <w:spacing w:after="0"/>
              <w:jc w:val="center"/>
              <w:rPr>
                <w:color w:val="000000"/>
                <w:szCs w:val="24"/>
              </w:rPr>
            </w:pPr>
            <w:r>
              <w:rPr>
                <w:rFonts w:ascii="宋体" w:hAnsi="宋体"/>
                <w:color w:val="000000"/>
                <w:szCs w:val="24"/>
              </w:rPr>
              <w:t>0.2666</w:t>
            </w:r>
          </w:p>
        </w:tc>
      </w:tr>
      <w:tr w:rsidR="00B84757" w14:paraId="58C25C86" w14:textId="77777777">
        <w:trPr>
          <w:jc w:val="center"/>
        </w:trPr>
        <w:tc>
          <w:tcPr>
            <w:tcW w:w="1511" w:type="dxa"/>
            <w:tcBorders>
              <w:top w:val="nil"/>
              <w:bottom w:val="single" w:sz="12" w:space="0" w:color="000000"/>
            </w:tcBorders>
            <w:shd w:val="clear" w:color="auto" w:fill="FFFFFF"/>
          </w:tcPr>
          <w:p w14:paraId="31DEE60A" w14:textId="77777777" w:rsidR="00B84757" w:rsidRDefault="00000000">
            <w:pPr>
              <w:spacing w:after="0"/>
              <w:jc w:val="center"/>
              <w:rPr>
                <w:color w:val="000000"/>
                <w:szCs w:val="24"/>
              </w:rPr>
            </w:pPr>
            <w:r>
              <w:rPr>
                <w:rFonts w:ascii="宋体" w:hAnsi="宋体"/>
                <w:color w:val="000000"/>
                <w:szCs w:val="24"/>
              </w:rPr>
              <w:t>东北</w:t>
            </w:r>
          </w:p>
        </w:tc>
        <w:tc>
          <w:tcPr>
            <w:tcW w:w="1511" w:type="dxa"/>
            <w:tcBorders>
              <w:top w:val="nil"/>
              <w:bottom w:val="single" w:sz="12" w:space="0" w:color="000000"/>
            </w:tcBorders>
            <w:shd w:val="clear" w:color="auto" w:fill="FFFFFF"/>
          </w:tcPr>
          <w:p w14:paraId="4F2BD7D0" w14:textId="77777777" w:rsidR="00B84757" w:rsidRDefault="00000000">
            <w:pPr>
              <w:spacing w:after="0"/>
              <w:jc w:val="center"/>
              <w:rPr>
                <w:color w:val="000000"/>
                <w:szCs w:val="24"/>
              </w:rPr>
            </w:pPr>
            <w:r>
              <w:rPr>
                <w:rFonts w:ascii="宋体" w:hAnsi="宋体"/>
                <w:color w:val="000000"/>
                <w:szCs w:val="24"/>
              </w:rPr>
              <w:t>0.1955</w:t>
            </w:r>
          </w:p>
        </w:tc>
        <w:tc>
          <w:tcPr>
            <w:tcW w:w="1511" w:type="dxa"/>
            <w:tcBorders>
              <w:top w:val="nil"/>
              <w:bottom w:val="single" w:sz="12" w:space="0" w:color="000000"/>
            </w:tcBorders>
            <w:shd w:val="clear" w:color="auto" w:fill="FFFFFF"/>
          </w:tcPr>
          <w:p w14:paraId="600319A8" w14:textId="77777777" w:rsidR="00B84757" w:rsidRDefault="00000000">
            <w:pPr>
              <w:spacing w:after="0"/>
              <w:jc w:val="center"/>
              <w:rPr>
                <w:color w:val="000000"/>
                <w:szCs w:val="24"/>
              </w:rPr>
            </w:pPr>
            <w:r>
              <w:rPr>
                <w:rFonts w:ascii="宋体" w:hAnsi="宋体"/>
                <w:color w:val="000000"/>
                <w:szCs w:val="24"/>
              </w:rPr>
              <w:t>0.0690</w:t>
            </w:r>
          </w:p>
        </w:tc>
        <w:tc>
          <w:tcPr>
            <w:tcW w:w="1511" w:type="dxa"/>
            <w:tcBorders>
              <w:top w:val="nil"/>
              <w:bottom w:val="single" w:sz="12" w:space="0" w:color="000000"/>
            </w:tcBorders>
            <w:shd w:val="clear" w:color="auto" w:fill="FFFFFF"/>
          </w:tcPr>
          <w:p w14:paraId="71FC2CBA" w14:textId="77777777" w:rsidR="00B84757" w:rsidRDefault="00000000">
            <w:pPr>
              <w:spacing w:after="0"/>
              <w:jc w:val="center"/>
              <w:rPr>
                <w:color w:val="000000"/>
                <w:szCs w:val="24"/>
              </w:rPr>
            </w:pPr>
            <w:r>
              <w:rPr>
                <w:rFonts w:ascii="宋体" w:hAnsi="宋体"/>
                <w:color w:val="000000"/>
                <w:szCs w:val="24"/>
              </w:rPr>
              <w:t>0.0220</w:t>
            </w:r>
          </w:p>
        </w:tc>
        <w:tc>
          <w:tcPr>
            <w:tcW w:w="1511" w:type="dxa"/>
            <w:tcBorders>
              <w:top w:val="nil"/>
              <w:bottom w:val="single" w:sz="12" w:space="0" w:color="000000"/>
            </w:tcBorders>
            <w:shd w:val="clear" w:color="auto" w:fill="FFFFFF"/>
          </w:tcPr>
          <w:p w14:paraId="724CCE95" w14:textId="77777777" w:rsidR="00B84757" w:rsidRDefault="00000000">
            <w:pPr>
              <w:spacing w:after="0"/>
              <w:jc w:val="center"/>
              <w:rPr>
                <w:color w:val="000000"/>
                <w:szCs w:val="24"/>
              </w:rPr>
            </w:pPr>
            <w:r>
              <w:rPr>
                <w:rFonts w:ascii="宋体" w:hAnsi="宋体"/>
                <w:color w:val="000000"/>
                <w:szCs w:val="24"/>
              </w:rPr>
              <w:t>**</w:t>
            </w:r>
          </w:p>
        </w:tc>
        <w:tc>
          <w:tcPr>
            <w:tcW w:w="1511" w:type="dxa"/>
            <w:tcBorders>
              <w:top w:val="nil"/>
              <w:bottom w:val="single" w:sz="12" w:space="0" w:color="000000"/>
            </w:tcBorders>
            <w:shd w:val="clear" w:color="auto" w:fill="FFFFFF"/>
          </w:tcPr>
          <w:p w14:paraId="079E2371" w14:textId="77777777" w:rsidR="00B84757" w:rsidRDefault="00000000">
            <w:pPr>
              <w:spacing w:after="0"/>
              <w:jc w:val="center"/>
              <w:rPr>
                <w:color w:val="000000"/>
                <w:szCs w:val="24"/>
              </w:rPr>
            </w:pPr>
            <w:r>
              <w:rPr>
                <w:rFonts w:ascii="宋体" w:hAnsi="宋体"/>
                <w:color w:val="000000"/>
                <w:szCs w:val="24"/>
              </w:rPr>
              <w:t>0.8231</w:t>
            </w:r>
          </w:p>
        </w:tc>
      </w:tr>
    </w:tbl>
    <w:p w14:paraId="33645C8B" w14:textId="77777777" w:rsidR="00B84757" w:rsidRDefault="00000000">
      <w:pPr>
        <w:pStyle w:val="1"/>
        <w:jc w:val="both"/>
        <w:rPr>
          <w:color w:val="auto"/>
          <w:szCs w:val="30"/>
          <w:lang w:eastAsia="zh-CN"/>
        </w:rPr>
      </w:pPr>
      <w:bookmarkStart w:id="71" w:name="_Toc12479"/>
      <w:r>
        <w:rPr>
          <w:color w:val="auto"/>
          <w:szCs w:val="30"/>
          <w:lang w:eastAsia="zh-CN"/>
        </w:rPr>
        <w:t>九、研究结论与政策建议</w:t>
      </w:r>
      <w:bookmarkEnd w:id="71"/>
    </w:p>
    <w:p w14:paraId="2C3F0E7F" w14:textId="77777777" w:rsidR="00B84757" w:rsidRDefault="00000000">
      <w:pPr>
        <w:pStyle w:val="21"/>
        <w:jc w:val="both"/>
        <w:rPr>
          <w:rFonts w:ascii="楷体" w:hAnsi="楷体"/>
          <w:color w:val="auto"/>
          <w:lang w:eastAsia="zh-CN"/>
        </w:rPr>
      </w:pPr>
      <w:bookmarkStart w:id="72" w:name="_Toc1976"/>
      <w:r>
        <w:rPr>
          <w:rFonts w:ascii="楷体" w:hAnsi="楷体"/>
          <w:color w:val="auto"/>
          <w:lang w:eastAsia="zh-CN"/>
        </w:rPr>
        <w:t>（一）研究结论</w:t>
      </w:r>
      <w:bookmarkEnd w:id="72"/>
    </w:p>
    <w:p w14:paraId="0A1BFB5A"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本文以我国30个省级地区为研究对象，基于2015—2022年省级面板数据，构建了“静态效率测度—动态演进分析—影响因素识别—空间相关性检验”的完整研究框架。研究表明：第一，样本期内全国省域碳排放效率总体呈上升趋势，平均超效率由2015年的0.4183提升至2022年的0.6350，说明我国绿色发展效率整体改善，但区域差异仍然显著；第二，从空间格局看，青海、北京、天津、河南和江苏处于较高效率区间，江西、甘肃、安徽、贵州和山西长期处于较低水平，省际分化特征明显；第三，从动态演进看，Malmquist指数均值为1.0637，技术进步指数明显高于1，而技术效率变化指数略低于1，说明效率提升主要来源于技术进步驱动。</w:t>
      </w:r>
    </w:p>
    <w:p w14:paraId="6E865DAC"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第四，从空间相关性看，2015—2022年全局Moran’s I均为正值，且大多数年份在5%水平上显著，说明省际碳排放效率存在较稳定的正向空间自相关，邻近地区之间具有明显的效率相似性；第五，从效率分解看，平均纯技术效率低于平均规模效率，说明不少地区的主要短板在于技术创新、管理水平和绿色转型能力不足；第六，双向固定效应结果显示，夜间灯光聚合度呈边际显著正向影响，城镇化率显著为负，对外开放水平显著为正，研发投入表现为边际显著促进作用。</w:t>
      </w:r>
    </w:p>
    <w:p w14:paraId="33C46F3E" w14:textId="77777777" w:rsidR="00B84757" w:rsidRDefault="00000000">
      <w:pPr>
        <w:pStyle w:val="21"/>
        <w:jc w:val="both"/>
        <w:rPr>
          <w:rFonts w:ascii="楷体" w:hAnsi="楷体"/>
          <w:color w:val="auto"/>
          <w:lang w:eastAsia="zh-CN"/>
        </w:rPr>
      </w:pPr>
      <w:bookmarkStart w:id="73" w:name="_Toc2467"/>
      <w:r>
        <w:rPr>
          <w:rFonts w:ascii="楷体" w:hAnsi="楷体"/>
          <w:color w:val="auto"/>
          <w:lang w:eastAsia="zh-CN"/>
        </w:rPr>
        <w:t>（二）政策建议</w:t>
      </w:r>
      <w:bookmarkEnd w:id="73"/>
    </w:p>
    <w:p w14:paraId="11EC7CC3"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第一，因地制宜推进低碳治理。应根据不同地区碳排放效率水平、产业基础和资源禀赋，实施差异化低碳发展政策。对高效率地区，要进一步发挥技术创新和制</w:t>
      </w:r>
      <w:r>
        <w:rPr>
          <w:rFonts w:ascii="宋体" w:hAnsi="宋体"/>
          <w:lang w:eastAsia="zh-CN"/>
        </w:rPr>
        <w:lastRenderedPageBreak/>
        <w:t>度示范效应；对低效率地区，则应围绕落后产能退出、节能改造和绿色投资支持开展重点治理。</w:t>
      </w:r>
    </w:p>
    <w:p w14:paraId="387AF325"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第二，持续优化产业结构和能源结构。对于第二产业占比较高、煤炭依赖程度较强的地区，应加快高耗能产业技术改造与清洁能源替代，推动产业链向高附加值、低排放环节升级，降低单位产出的碳排放强度。</w:t>
      </w:r>
    </w:p>
    <w:p w14:paraId="5FCEB605"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第三，充分发挥技术创新和数字化发展作用。绿色技术创新、智能制造、数字基础设施和数据要素配置，有助于提升资源使用效率、减少能源浪费并促进低碳转型。应进一步加大研发投入，提升绿色技术扩散和成果转化能力。</w:t>
      </w:r>
    </w:p>
    <w:p w14:paraId="1829C705"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第四，加强省际协同治理与经验扩散。鉴于碳排放效率具有显著的空间相关性与可能的空间溢出特征，应鼓励高效率地区在绿色技术、管理经验、碳核算规则和数字治理工具方面向周边地区进行扩散，推动形成跨区域低碳协同治理机制，促进全国范围内的绿色协调发展。</w:t>
      </w:r>
    </w:p>
    <w:p w14:paraId="15C4BF32" w14:textId="77777777" w:rsidR="00B84757" w:rsidRDefault="00000000">
      <w:pPr>
        <w:pStyle w:val="1"/>
        <w:pageBreakBefore/>
        <w:spacing w:before="0" w:afterLines="50" w:after="120" w:line="480" w:lineRule="exact"/>
        <w:jc w:val="both"/>
        <w:rPr>
          <w:sz w:val="28"/>
        </w:rPr>
      </w:pPr>
      <w:bookmarkStart w:id="74" w:name="_Toc6926"/>
      <w:r>
        <w:rPr>
          <w:color w:val="auto"/>
          <w:sz w:val="28"/>
        </w:rPr>
        <w:lastRenderedPageBreak/>
        <w:t>参考文献</w:t>
      </w:r>
      <w:bookmarkEnd w:id="74"/>
    </w:p>
    <w:p w14:paraId="37E7935E" w14:textId="77777777" w:rsidR="00B84757" w:rsidRDefault="00000000">
      <w:pPr>
        <w:pStyle w:val="aff2"/>
        <w:numPr>
          <w:ilvl w:val="0"/>
          <w:numId w:val="7"/>
        </w:numPr>
        <w:autoSpaceDE w:val="0"/>
        <w:jc w:val="both"/>
      </w:pPr>
      <w:r>
        <w:t>Charnes A, Cooper W W, Rhodes E. Measuring the efficiency of decision making units[J]. European Journal of Operational Research, 1978, 2(6): 429-444.</w:t>
      </w:r>
    </w:p>
    <w:p w14:paraId="4A0D4B73" w14:textId="77777777" w:rsidR="00B84757" w:rsidRDefault="00000000">
      <w:pPr>
        <w:pStyle w:val="aff2"/>
        <w:numPr>
          <w:ilvl w:val="0"/>
          <w:numId w:val="7"/>
        </w:numPr>
        <w:autoSpaceDE w:val="0"/>
        <w:jc w:val="both"/>
      </w:pPr>
      <w:r>
        <w:t>Banker R D, Charnes A, Cooper W W. Some models for estimating technical and scale inefficiencies in data envelopment analysis[J]. Management Science, 1984, 30(9): 1078-1092.</w:t>
      </w:r>
    </w:p>
    <w:p w14:paraId="7B144D7F" w14:textId="77777777" w:rsidR="00B84757" w:rsidRDefault="00000000">
      <w:pPr>
        <w:pStyle w:val="aff2"/>
        <w:numPr>
          <w:ilvl w:val="0"/>
          <w:numId w:val="7"/>
        </w:numPr>
        <w:autoSpaceDE w:val="0"/>
        <w:jc w:val="both"/>
      </w:pPr>
      <w:r>
        <w:t>Tone K. A slacks-based measure of efficiency in data envelopment analysis[J]. European Journal of Operational Research, 2001, 130(3): 498-509.</w:t>
      </w:r>
    </w:p>
    <w:p w14:paraId="54EDEF5B" w14:textId="77777777" w:rsidR="00B84757" w:rsidRDefault="00000000">
      <w:pPr>
        <w:pStyle w:val="aff2"/>
        <w:numPr>
          <w:ilvl w:val="0"/>
          <w:numId w:val="7"/>
        </w:numPr>
        <w:autoSpaceDE w:val="0"/>
        <w:jc w:val="both"/>
      </w:pPr>
      <w:r>
        <w:t>Tone K. A slacks-based measure of super-efficiency in data envelopment analysis[J]. European Journal of Operational Research, 2002, 143(1): 32-41.</w:t>
      </w:r>
    </w:p>
    <w:p w14:paraId="47045764" w14:textId="77777777" w:rsidR="00B84757" w:rsidRDefault="00000000">
      <w:pPr>
        <w:pStyle w:val="aff2"/>
        <w:numPr>
          <w:ilvl w:val="0"/>
          <w:numId w:val="7"/>
        </w:numPr>
        <w:autoSpaceDE w:val="0"/>
        <w:jc w:val="both"/>
      </w:pPr>
      <w:r>
        <w:t>Chung Y H, Färe R, Grosskopf S. Productivity and undesirable outputs: a directional distance function approach[J]. Journal of Environmental Management, 1997, 51(3): 229-240.</w:t>
      </w:r>
    </w:p>
    <w:p w14:paraId="0C996F4C" w14:textId="77777777" w:rsidR="00B84757" w:rsidRDefault="00000000">
      <w:pPr>
        <w:pStyle w:val="aff2"/>
        <w:numPr>
          <w:ilvl w:val="0"/>
          <w:numId w:val="7"/>
        </w:numPr>
        <w:autoSpaceDE w:val="0"/>
        <w:jc w:val="both"/>
      </w:pPr>
      <w:r>
        <w:t>Henderson J V, Storeygard A, Weil D N. Measuring economic growth from outer space[J]. American Economic Review, 2012, 102(2): 994-1028.</w:t>
      </w:r>
    </w:p>
    <w:p w14:paraId="754F7386" w14:textId="77777777" w:rsidR="00B84757" w:rsidRDefault="00000000">
      <w:pPr>
        <w:pStyle w:val="aff2"/>
        <w:numPr>
          <w:ilvl w:val="0"/>
          <w:numId w:val="7"/>
        </w:numPr>
        <w:autoSpaceDE w:val="0"/>
        <w:jc w:val="both"/>
      </w:pPr>
      <w:r>
        <w:t>Román M O, Wang Z, Sun Q, et al. NASA's Black Marble nighttime lights product suite[J]. Remote Sensing of Environment, 2018, 210: 113-143.</w:t>
      </w:r>
    </w:p>
    <w:p w14:paraId="040FCF5F" w14:textId="77777777" w:rsidR="00B84757" w:rsidRDefault="00000000">
      <w:pPr>
        <w:pStyle w:val="aff2"/>
        <w:numPr>
          <w:ilvl w:val="0"/>
          <w:numId w:val="7"/>
        </w:numPr>
        <w:autoSpaceDE w:val="0"/>
        <w:jc w:val="both"/>
        <w:rPr>
          <w:lang w:eastAsia="zh-CN"/>
        </w:rPr>
      </w:pPr>
      <w:r>
        <w:t xml:space="preserve">Elvidge C D, Zhizhin M, Ghosh T, et al. Annual time series of global VIIRS nighttime lights derived from monthly averages: 2012 to 2019[J]. </w:t>
      </w:r>
      <w:r>
        <w:rPr>
          <w:lang w:eastAsia="zh-CN"/>
        </w:rPr>
        <w:t>Remote Sensing, 2021, 13(5): 922.</w:t>
      </w:r>
    </w:p>
    <w:p w14:paraId="6D93345E" w14:textId="77777777" w:rsidR="00B84757" w:rsidRDefault="00000000">
      <w:pPr>
        <w:pStyle w:val="aff2"/>
        <w:numPr>
          <w:ilvl w:val="0"/>
          <w:numId w:val="7"/>
        </w:numPr>
        <w:autoSpaceDE w:val="0"/>
        <w:jc w:val="both"/>
        <w:rPr>
          <w:lang w:eastAsia="zh-CN"/>
        </w:rPr>
      </w:pPr>
      <w:r>
        <w:rPr>
          <w:lang w:eastAsia="zh-CN"/>
        </w:rPr>
        <w:t>国家统计局</w:t>
      </w:r>
      <w:r>
        <w:rPr>
          <w:lang w:eastAsia="zh-CN"/>
        </w:rPr>
        <w:t xml:space="preserve">. </w:t>
      </w:r>
      <w:r>
        <w:rPr>
          <w:lang w:eastAsia="zh-CN"/>
        </w:rPr>
        <w:t>中国统计年鉴</w:t>
      </w:r>
      <w:r>
        <w:rPr>
          <w:lang w:eastAsia="zh-CN"/>
        </w:rPr>
        <w:t xml:space="preserve">[M]. </w:t>
      </w:r>
      <w:r>
        <w:rPr>
          <w:lang w:eastAsia="zh-CN"/>
        </w:rPr>
        <w:t>北京</w:t>
      </w:r>
      <w:r>
        <w:rPr>
          <w:lang w:eastAsia="zh-CN"/>
        </w:rPr>
        <w:t xml:space="preserve">: </w:t>
      </w:r>
      <w:r>
        <w:rPr>
          <w:lang w:eastAsia="zh-CN"/>
        </w:rPr>
        <w:t>中国统计出版社</w:t>
      </w:r>
      <w:r>
        <w:rPr>
          <w:lang w:eastAsia="zh-CN"/>
        </w:rPr>
        <w:t xml:space="preserve">, </w:t>
      </w:r>
      <w:r>
        <w:rPr>
          <w:lang w:eastAsia="zh-CN"/>
        </w:rPr>
        <w:t>各年版</w:t>
      </w:r>
      <w:r>
        <w:rPr>
          <w:lang w:eastAsia="zh-CN"/>
        </w:rPr>
        <w:t>.</w:t>
      </w:r>
    </w:p>
    <w:p w14:paraId="434CF794" w14:textId="77777777" w:rsidR="00B84757" w:rsidRDefault="00000000">
      <w:pPr>
        <w:pStyle w:val="aff2"/>
        <w:numPr>
          <w:ilvl w:val="0"/>
          <w:numId w:val="7"/>
        </w:numPr>
        <w:autoSpaceDE w:val="0"/>
        <w:jc w:val="both"/>
        <w:rPr>
          <w:lang w:eastAsia="zh-CN"/>
        </w:rPr>
      </w:pPr>
      <w:r>
        <w:rPr>
          <w:lang w:eastAsia="zh-CN"/>
        </w:rPr>
        <w:t>国家统计局能源统计司</w:t>
      </w:r>
      <w:r>
        <w:rPr>
          <w:lang w:eastAsia="zh-CN"/>
        </w:rPr>
        <w:t xml:space="preserve">. </w:t>
      </w:r>
      <w:r>
        <w:rPr>
          <w:lang w:eastAsia="zh-CN"/>
        </w:rPr>
        <w:t>中国能源统计年鉴</w:t>
      </w:r>
      <w:r>
        <w:rPr>
          <w:lang w:eastAsia="zh-CN"/>
        </w:rPr>
        <w:t xml:space="preserve">[M]. </w:t>
      </w:r>
      <w:r>
        <w:rPr>
          <w:lang w:eastAsia="zh-CN"/>
        </w:rPr>
        <w:t>北京</w:t>
      </w:r>
      <w:r>
        <w:rPr>
          <w:lang w:eastAsia="zh-CN"/>
        </w:rPr>
        <w:t xml:space="preserve">: </w:t>
      </w:r>
      <w:r>
        <w:rPr>
          <w:lang w:eastAsia="zh-CN"/>
        </w:rPr>
        <w:t>中国统计出版社</w:t>
      </w:r>
      <w:r>
        <w:rPr>
          <w:lang w:eastAsia="zh-CN"/>
        </w:rPr>
        <w:t xml:space="preserve">, </w:t>
      </w:r>
      <w:r>
        <w:rPr>
          <w:lang w:eastAsia="zh-CN"/>
        </w:rPr>
        <w:t>各年版</w:t>
      </w:r>
      <w:r>
        <w:rPr>
          <w:lang w:eastAsia="zh-CN"/>
        </w:rPr>
        <w:t>.</w:t>
      </w:r>
    </w:p>
    <w:p w14:paraId="7AC2C54C" w14:textId="77777777" w:rsidR="00B84757" w:rsidRDefault="00000000">
      <w:pPr>
        <w:pStyle w:val="aff2"/>
        <w:numPr>
          <w:ilvl w:val="0"/>
          <w:numId w:val="7"/>
        </w:numPr>
        <w:autoSpaceDE w:val="0"/>
        <w:jc w:val="both"/>
      </w:pPr>
      <w:r>
        <w:t>IPCC. 2006 IPCC Guidelines for National Greenhouse Gas Inventories[M]. Hayama: Institute for Global Environmental Strategies, 2006.</w:t>
      </w:r>
    </w:p>
    <w:p w14:paraId="1D180154" w14:textId="77777777" w:rsidR="00B84757" w:rsidRDefault="00000000">
      <w:pPr>
        <w:pStyle w:val="aff2"/>
        <w:numPr>
          <w:ilvl w:val="0"/>
          <w:numId w:val="7"/>
        </w:numPr>
        <w:autoSpaceDE w:val="0"/>
        <w:jc w:val="both"/>
      </w:pPr>
      <w:r>
        <w:t>Färe R, Grosskopf S, Norris M, Zhang Z. Productivity growth, technical progress, and efficiency change in industrialized countries[J]. American Economic Review, 1994, 84(1): 66-83.</w:t>
      </w:r>
    </w:p>
    <w:p w14:paraId="3CF7ABCA" w14:textId="77777777" w:rsidR="00B84757" w:rsidRDefault="00000000">
      <w:pPr>
        <w:pStyle w:val="aff2"/>
        <w:numPr>
          <w:ilvl w:val="0"/>
          <w:numId w:val="7"/>
        </w:numPr>
        <w:autoSpaceDE w:val="0"/>
        <w:jc w:val="both"/>
      </w:pPr>
      <w:r>
        <w:t>Zhou P, Ang B W, Poh K L. A survey of data envelopment analysis in energy and environmental studies[J]. European Journal of Operational Research, 2008, 189(1): 1-18.</w:t>
      </w:r>
    </w:p>
    <w:p w14:paraId="048627AC" w14:textId="77777777" w:rsidR="00B84757" w:rsidRDefault="00000000">
      <w:pPr>
        <w:pStyle w:val="aff2"/>
        <w:numPr>
          <w:ilvl w:val="0"/>
          <w:numId w:val="7"/>
        </w:numPr>
        <w:autoSpaceDE w:val="0"/>
        <w:jc w:val="both"/>
      </w:pPr>
      <w:r>
        <w:lastRenderedPageBreak/>
        <w:t>Li H, Fang K, Yang W, Wang D, Hong X. Regional environmental efficiency evaluation in China: Analysis based on the Super-SBM model with undesirable outputs[J]. Mathematical and Computer Modelling, 2013, 58(5-6): 1018-1031.</w:t>
      </w:r>
    </w:p>
    <w:p w14:paraId="29ACA94F" w14:textId="77777777" w:rsidR="00B84757" w:rsidRDefault="00000000">
      <w:pPr>
        <w:pStyle w:val="aff2"/>
        <w:numPr>
          <w:ilvl w:val="0"/>
          <w:numId w:val="7"/>
        </w:numPr>
        <w:autoSpaceDE w:val="0"/>
        <w:jc w:val="both"/>
      </w:pPr>
      <w:r>
        <w:t>Zhou Y, Xing X, Fang K, Liang D, Xu C. Environmental efficiency analysis of power industry in China based on an entropy SBM model[J]. Energy Policy, 2013, 57: 68-75.</w:t>
      </w:r>
    </w:p>
    <w:p w14:paraId="5FE7FB89" w14:textId="77777777" w:rsidR="00B84757" w:rsidRDefault="00000000">
      <w:pPr>
        <w:pStyle w:val="aff2"/>
        <w:numPr>
          <w:ilvl w:val="0"/>
          <w:numId w:val="7"/>
        </w:numPr>
        <w:autoSpaceDE w:val="0"/>
        <w:jc w:val="both"/>
      </w:pPr>
      <w:r>
        <w:t>Zhang J, Zeng W, Wang J, Yang F, Jiang H. Regional low-carbon economy efficiency in China: analysis based on the Super-SBM model with CO2 emissions[J]. Journal of Cleaner Production, 2017, 163: 202-211.</w:t>
      </w:r>
    </w:p>
    <w:p w14:paraId="61A9ADAE" w14:textId="77777777" w:rsidR="00B84757" w:rsidRDefault="00000000">
      <w:pPr>
        <w:pStyle w:val="aff2"/>
        <w:numPr>
          <w:ilvl w:val="0"/>
          <w:numId w:val="7"/>
        </w:numPr>
        <w:autoSpaceDE w:val="0"/>
        <w:jc w:val="both"/>
      </w:pPr>
      <w:r>
        <w:t>Yan D, Lei Y, Li L, Song W. Carbon emission efficiency and spatial clustering analyses in China’s thermal power industry: Evidence from the provincial level[J]. Journal of Cleaner Production, 2017, 156: 518-527.</w:t>
      </w:r>
    </w:p>
    <w:p w14:paraId="4578D02A" w14:textId="77777777" w:rsidR="00B84757" w:rsidRDefault="00000000">
      <w:pPr>
        <w:pStyle w:val="aff2"/>
        <w:numPr>
          <w:ilvl w:val="0"/>
          <w:numId w:val="7"/>
        </w:numPr>
        <w:autoSpaceDE w:val="0"/>
        <w:jc w:val="both"/>
      </w:pPr>
      <w:r>
        <w:t>Yang T, Liu J, Mi H, Cao Z, Wang Y, Han H, Luan J, Wang Z. An estimating method for carbon emissions of China based on nighttime lights remote sensing satellite images[J]. Sustainability, 2022, 14(4): 2269.</w:t>
      </w:r>
    </w:p>
    <w:p w14:paraId="46D6C0EF" w14:textId="77777777" w:rsidR="00B84757" w:rsidRDefault="00000000">
      <w:pPr>
        <w:pStyle w:val="aff2"/>
        <w:numPr>
          <w:ilvl w:val="0"/>
          <w:numId w:val="7"/>
        </w:numPr>
        <w:autoSpaceDE w:val="0"/>
        <w:jc w:val="both"/>
        <w:rPr>
          <w:lang w:eastAsia="zh-CN"/>
        </w:rPr>
      </w:pPr>
      <w:r>
        <w:rPr>
          <w:lang w:eastAsia="zh-CN"/>
        </w:rPr>
        <w:t>张军</w:t>
      </w:r>
      <w:r>
        <w:rPr>
          <w:lang w:eastAsia="zh-CN"/>
        </w:rPr>
        <w:t xml:space="preserve">, </w:t>
      </w:r>
      <w:r>
        <w:rPr>
          <w:lang w:eastAsia="zh-CN"/>
        </w:rPr>
        <w:t>吴桂英</w:t>
      </w:r>
      <w:r>
        <w:rPr>
          <w:lang w:eastAsia="zh-CN"/>
        </w:rPr>
        <w:t xml:space="preserve">, </w:t>
      </w:r>
      <w:r>
        <w:rPr>
          <w:lang w:eastAsia="zh-CN"/>
        </w:rPr>
        <w:t>张吉鹏</w:t>
      </w:r>
      <w:r>
        <w:rPr>
          <w:lang w:eastAsia="zh-CN"/>
        </w:rPr>
        <w:t xml:space="preserve">. </w:t>
      </w:r>
      <w:r>
        <w:rPr>
          <w:lang w:eastAsia="zh-CN"/>
        </w:rPr>
        <w:t>中国省际物质资本存量估算</w:t>
      </w:r>
      <w:r>
        <w:rPr>
          <w:lang w:eastAsia="zh-CN"/>
        </w:rPr>
        <w:t xml:space="preserve">: 1952—2000[J]. </w:t>
      </w:r>
      <w:r>
        <w:rPr>
          <w:lang w:eastAsia="zh-CN"/>
        </w:rPr>
        <w:t>经济研究</w:t>
      </w:r>
      <w:r>
        <w:rPr>
          <w:lang w:eastAsia="zh-CN"/>
        </w:rPr>
        <w:t>, 2004(10): 35-44.</w:t>
      </w:r>
    </w:p>
    <w:p w14:paraId="37B47D52" w14:textId="77777777" w:rsidR="00B84757" w:rsidRDefault="00000000">
      <w:pPr>
        <w:pStyle w:val="aff2"/>
        <w:numPr>
          <w:ilvl w:val="0"/>
          <w:numId w:val="7"/>
        </w:numPr>
        <w:autoSpaceDE w:val="0"/>
      </w:pPr>
      <w:r>
        <w:t>Xing P, Wang Y, Ye T, Sun Y, Li Q, Li X, Li M, Chen W. Carbon emission efficiency of 284 cities in China based on machine learning approach: Driving factors and regional heterogeneity[J]. Energy Economics, 2024, 129: 107222.</w:t>
      </w:r>
    </w:p>
    <w:p w14:paraId="22388D3B" w14:textId="77777777" w:rsidR="00B84757" w:rsidRDefault="00000000">
      <w:pPr>
        <w:pStyle w:val="aff2"/>
        <w:numPr>
          <w:ilvl w:val="0"/>
          <w:numId w:val="7"/>
        </w:numPr>
        <w:autoSpaceDE w:val="0"/>
      </w:pPr>
      <w:r>
        <w:t>Wei W, Du H, Ma L, Liu C, Zhou J. Spatiotemporal dynamics of CO2 emissions using nighttime light data: a comparative analysis between the Yellow and Yangtze River Basins in China[J]. Environment, Development and Sustainability, 2024, 26(1): 1081-1102.</w:t>
      </w:r>
    </w:p>
    <w:p w14:paraId="6E8ECD1F" w14:textId="77777777" w:rsidR="00B84757" w:rsidRDefault="00000000">
      <w:pPr>
        <w:pStyle w:val="aff2"/>
        <w:numPr>
          <w:ilvl w:val="0"/>
          <w:numId w:val="7"/>
        </w:numPr>
        <w:autoSpaceDE w:val="0"/>
      </w:pPr>
      <w:r>
        <w:t>Jiang J. Spatiotemporal evolution and analysis of influencing factors of low-carbon economy in China's Yangtze River Delta based on nighttime light remote sensing data[J]. Carbon Balance and Management, 2025, 20(1).</w:t>
      </w:r>
    </w:p>
    <w:p w14:paraId="77602368" w14:textId="77777777" w:rsidR="00B84757" w:rsidRDefault="00000000">
      <w:pPr>
        <w:pStyle w:val="aff2"/>
        <w:numPr>
          <w:ilvl w:val="0"/>
          <w:numId w:val="7"/>
        </w:numPr>
        <w:autoSpaceDE w:val="0"/>
      </w:pPr>
      <w:r>
        <w:t>Shen Y, Li H. Carbon Emission Efficiency in China (2010-2025): Dual-Scale Analysis, Drivers, and Forecasts Across the Eight Comprehensive Economic Zones[J]. Sustainability, 2025, 17(22): 10007.</w:t>
      </w:r>
    </w:p>
    <w:p w14:paraId="3E3B4471" w14:textId="77777777" w:rsidR="00B84757" w:rsidRDefault="00000000">
      <w:pPr>
        <w:pStyle w:val="aff2"/>
        <w:numPr>
          <w:ilvl w:val="0"/>
          <w:numId w:val="7"/>
        </w:numPr>
        <w:autoSpaceDE w:val="0"/>
        <w:jc w:val="both"/>
        <w:rPr>
          <w:lang w:eastAsia="zh-CN"/>
        </w:rPr>
      </w:pPr>
      <w:r>
        <w:lastRenderedPageBreak/>
        <w:t xml:space="preserve">Choi Y, Zhang N, Zhou P. Efficiency and abatement costs of energy-related CO2 emissions in China: a slacks-based efficiency measure[J]. </w:t>
      </w:r>
      <w:r>
        <w:rPr>
          <w:lang w:eastAsia="zh-CN"/>
        </w:rPr>
        <w:t>Applied Energy, 2012, 98: 198-208.</w:t>
      </w:r>
    </w:p>
    <w:p w14:paraId="02BD800A" w14:textId="77777777" w:rsidR="00B84757" w:rsidRDefault="00000000">
      <w:r>
        <w:br w:type="page"/>
      </w:r>
    </w:p>
    <w:p w14:paraId="3AE5C312" w14:textId="77777777" w:rsidR="00B84757" w:rsidRDefault="00000000">
      <w:pPr>
        <w:pStyle w:val="1"/>
        <w:rPr>
          <w:lang w:eastAsia="zh-CN"/>
        </w:rPr>
      </w:pPr>
      <w:r>
        <w:rPr>
          <w:lang w:eastAsia="zh-CN"/>
        </w:rPr>
        <w:lastRenderedPageBreak/>
        <w:t>附录</w:t>
      </w:r>
    </w:p>
    <w:p w14:paraId="1B794F4D" w14:textId="77777777" w:rsidR="00B84757" w:rsidRDefault="00000000">
      <w:pPr>
        <w:rPr>
          <w:lang w:eastAsia="zh-CN"/>
        </w:rPr>
      </w:pPr>
      <w:r>
        <w:rPr>
          <w:b/>
          <w:lang w:eastAsia="zh-CN"/>
        </w:rPr>
        <w:t>附录</w:t>
      </w:r>
      <w:r>
        <w:rPr>
          <w:b/>
          <w:lang w:eastAsia="zh-CN"/>
        </w:rPr>
        <w:t xml:space="preserve">1 </w:t>
      </w:r>
      <w:r>
        <w:rPr>
          <w:b/>
          <w:lang w:eastAsia="zh-CN"/>
        </w:rPr>
        <w:t>核心模型公式</w:t>
      </w:r>
    </w:p>
    <w:p w14:paraId="17E40B93" w14:textId="77777777" w:rsidR="00205702" w:rsidRDefault="00000000">
      <w:pPr>
        <w:rPr>
          <w:lang w:eastAsia="zh-CN"/>
        </w:rPr>
      </w:pPr>
      <w:r>
        <w:rPr>
          <w:lang w:eastAsia="zh-CN"/>
        </w:rPr>
        <w:t>表</w:t>
      </w:r>
      <w:r>
        <w:rPr>
          <w:lang w:eastAsia="zh-CN"/>
        </w:rPr>
        <w:t xml:space="preserve">1 </w:t>
      </w:r>
      <w:r>
        <w:rPr>
          <w:lang w:eastAsia="zh-CN"/>
        </w:rPr>
        <w:t>主要模型与用途对照表</w:t>
      </w:r>
    </w:p>
    <w:tbl>
      <w:tblPr>
        <w:tblStyle w:val="af6"/>
        <w:tblW w:w="0" w:type="auto"/>
        <w:tblLook w:val="04A0" w:firstRow="1" w:lastRow="0" w:firstColumn="1" w:lastColumn="0" w:noHBand="0" w:noVBand="1"/>
      </w:tblPr>
      <w:tblGrid>
        <w:gridCol w:w="2159"/>
        <w:gridCol w:w="2160"/>
        <w:gridCol w:w="2158"/>
        <w:gridCol w:w="2159"/>
      </w:tblGrid>
      <w:tr w:rsidR="00205702" w14:paraId="61C05F57" w14:textId="77777777">
        <w:tc>
          <w:tcPr>
            <w:tcW w:w="2161" w:type="dxa"/>
          </w:tcPr>
          <w:p w14:paraId="229CCEA3" w14:textId="77777777" w:rsidR="00205702" w:rsidRDefault="00000000">
            <w:r>
              <w:rPr>
                <w:sz w:val="21"/>
              </w:rPr>
              <w:t>模型名称</w:t>
            </w:r>
          </w:p>
        </w:tc>
        <w:tc>
          <w:tcPr>
            <w:tcW w:w="2161" w:type="dxa"/>
          </w:tcPr>
          <w:p w14:paraId="74AFFA95" w14:textId="77777777" w:rsidR="00205702" w:rsidRDefault="00000000">
            <w:r>
              <w:rPr>
                <w:sz w:val="21"/>
              </w:rPr>
              <w:t>核心表达</w:t>
            </w:r>
          </w:p>
        </w:tc>
        <w:tc>
          <w:tcPr>
            <w:tcW w:w="2161" w:type="dxa"/>
          </w:tcPr>
          <w:p w14:paraId="1E2D2F40" w14:textId="77777777" w:rsidR="00205702" w:rsidRDefault="00000000">
            <w:r>
              <w:rPr>
                <w:sz w:val="21"/>
              </w:rPr>
              <w:t>主要用途</w:t>
            </w:r>
          </w:p>
        </w:tc>
        <w:tc>
          <w:tcPr>
            <w:tcW w:w="2161" w:type="dxa"/>
          </w:tcPr>
          <w:p w14:paraId="467A6D50" w14:textId="77777777" w:rsidR="00205702" w:rsidRDefault="00000000">
            <w:r>
              <w:rPr>
                <w:sz w:val="21"/>
              </w:rPr>
              <w:t>正文对应部分</w:t>
            </w:r>
          </w:p>
        </w:tc>
      </w:tr>
      <w:tr w:rsidR="00205702" w14:paraId="646E4F68" w14:textId="77777777">
        <w:tc>
          <w:tcPr>
            <w:tcW w:w="2161" w:type="dxa"/>
          </w:tcPr>
          <w:p w14:paraId="2C167F2C" w14:textId="77777777" w:rsidR="00205702" w:rsidRDefault="00000000">
            <w:r>
              <w:rPr>
                <w:sz w:val="21"/>
              </w:rPr>
              <w:t>超效率</w:t>
            </w:r>
            <w:r>
              <w:rPr>
                <w:sz w:val="21"/>
              </w:rPr>
              <w:t>SBM</w:t>
            </w:r>
            <w:r>
              <w:rPr>
                <w:sz w:val="21"/>
              </w:rPr>
              <w:t>模型</w:t>
            </w:r>
          </w:p>
        </w:tc>
        <w:tc>
          <w:tcPr>
            <w:tcW w:w="2161" w:type="dxa"/>
          </w:tcPr>
          <w:p w14:paraId="76198A68" w14:textId="77777777" w:rsidR="00205702" w:rsidRDefault="00000000">
            <w:pPr>
              <w:rPr>
                <w:lang w:eastAsia="zh-CN"/>
              </w:rPr>
            </w:pPr>
            <w:r>
              <w:rPr>
                <w:sz w:val="21"/>
                <w:lang w:eastAsia="zh-CN"/>
              </w:rPr>
              <w:t>在</w:t>
            </w:r>
            <w:r>
              <w:rPr>
                <w:sz w:val="21"/>
                <w:lang w:eastAsia="zh-CN"/>
              </w:rPr>
              <w:t>VRS</w:t>
            </w:r>
            <w:r>
              <w:rPr>
                <w:sz w:val="21"/>
                <w:lang w:eastAsia="zh-CN"/>
              </w:rPr>
              <w:t>假设下测度包含非期望产出的静态碳排放效率</w:t>
            </w:r>
          </w:p>
        </w:tc>
        <w:tc>
          <w:tcPr>
            <w:tcW w:w="2161" w:type="dxa"/>
          </w:tcPr>
          <w:p w14:paraId="4CDFA64D" w14:textId="77777777" w:rsidR="00205702" w:rsidRDefault="00000000">
            <w:pPr>
              <w:rPr>
                <w:lang w:eastAsia="zh-CN"/>
              </w:rPr>
            </w:pPr>
            <w:r>
              <w:rPr>
                <w:sz w:val="21"/>
                <w:lang w:eastAsia="zh-CN"/>
              </w:rPr>
              <w:t>识别各省年度静态效率水平并进行排序</w:t>
            </w:r>
          </w:p>
        </w:tc>
        <w:tc>
          <w:tcPr>
            <w:tcW w:w="2161" w:type="dxa"/>
          </w:tcPr>
          <w:p w14:paraId="3AFBAED1" w14:textId="77777777" w:rsidR="00205702" w:rsidRDefault="00000000">
            <w:r>
              <w:rPr>
                <w:sz w:val="21"/>
              </w:rPr>
              <w:t>第五章（一）</w:t>
            </w:r>
          </w:p>
        </w:tc>
      </w:tr>
      <w:tr w:rsidR="00205702" w14:paraId="54B25F61" w14:textId="77777777">
        <w:tc>
          <w:tcPr>
            <w:tcW w:w="2161" w:type="dxa"/>
          </w:tcPr>
          <w:p w14:paraId="76E92D8F" w14:textId="77777777" w:rsidR="00205702" w:rsidRDefault="00000000">
            <w:r>
              <w:rPr>
                <w:sz w:val="21"/>
              </w:rPr>
              <w:t>Malmquist</w:t>
            </w:r>
            <w:r>
              <w:rPr>
                <w:sz w:val="21"/>
              </w:rPr>
              <w:t>指数</w:t>
            </w:r>
          </w:p>
        </w:tc>
        <w:tc>
          <w:tcPr>
            <w:tcW w:w="2161" w:type="dxa"/>
          </w:tcPr>
          <w:p w14:paraId="6A85AC8D" w14:textId="77777777" w:rsidR="00205702" w:rsidRDefault="00000000">
            <w:r>
              <w:rPr>
                <w:sz w:val="21"/>
              </w:rPr>
              <w:t>tfpch = effch × techch</w:t>
            </w:r>
          </w:p>
        </w:tc>
        <w:tc>
          <w:tcPr>
            <w:tcW w:w="2161" w:type="dxa"/>
          </w:tcPr>
          <w:p w14:paraId="253982C1" w14:textId="77777777" w:rsidR="00205702" w:rsidRDefault="00000000">
            <w:pPr>
              <w:rPr>
                <w:lang w:eastAsia="zh-CN"/>
              </w:rPr>
            </w:pPr>
            <w:r>
              <w:rPr>
                <w:sz w:val="21"/>
                <w:lang w:eastAsia="zh-CN"/>
              </w:rPr>
              <w:t>刻画跨期全要素生产率变化及其来源分解</w:t>
            </w:r>
          </w:p>
        </w:tc>
        <w:tc>
          <w:tcPr>
            <w:tcW w:w="2161" w:type="dxa"/>
          </w:tcPr>
          <w:p w14:paraId="2A59DE50" w14:textId="77777777" w:rsidR="00205702" w:rsidRDefault="00000000">
            <w:r>
              <w:rPr>
                <w:sz w:val="21"/>
              </w:rPr>
              <w:t>第五章（三）</w:t>
            </w:r>
          </w:p>
        </w:tc>
      </w:tr>
      <w:tr w:rsidR="00205702" w14:paraId="78F241B8" w14:textId="77777777">
        <w:tc>
          <w:tcPr>
            <w:tcW w:w="2161" w:type="dxa"/>
          </w:tcPr>
          <w:p w14:paraId="5A01EE8B" w14:textId="77777777" w:rsidR="00205702" w:rsidRDefault="00000000">
            <w:r>
              <w:rPr>
                <w:sz w:val="21"/>
              </w:rPr>
              <w:t>双向固定效应模型</w:t>
            </w:r>
          </w:p>
        </w:tc>
        <w:tc>
          <w:tcPr>
            <w:tcW w:w="2161" w:type="dxa"/>
          </w:tcPr>
          <w:p w14:paraId="17293054" w14:textId="025881E6" w:rsidR="00205702" w:rsidRDefault="00350533">
            <m:oMathPara>
              <m:oMath>
                <m:r>
                  <w:rPr>
                    <w:rFonts w:ascii="Cambria Math" w:hAnsi="Cambria Math"/>
                    <w:sz w:val="21"/>
                  </w:rPr>
                  <m:t>CE</m:t>
                </m:r>
                <m:sSub>
                  <m:sSubPr>
                    <m:ctrlPr>
                      <w:rPr>
                        <w:rFonts w:ascii="Cambria Math" w:hAnsi="Cambria Math"/>
                        <w:i/>
                        <w:sz w:val="21"/>
                      </w:rPr>
                    </m:ctrlPr>
                  </m:sSubPr>
                  <m:e>
                    <m:r>
                      <w:rPr>
                        <w:rFonts w:ascii="Cambria Math" w:hAnsi="Cambria Math"/>
                        <w:sz w:val="21"/>
                      </w:rPr>
                      <m:t>E</m:t>
                    </m:r>
                  </m:e>
                  <m:sub>
                    <m:r>
                      <w:rPr>
                        <w:rFonts w:ascii="Cambria Math" w:hAnsi="Cambria Math"/>
                        <w:sz w:val="21"/>
                      </w:rPr>
                      <m:t>it</m:t>
                    </m:r>
                  </m:sub>
                </m:sSub>
                <m:r>
                  <w:rPr>
                    <w:rFonts w:ascii="Cambria Math" w:hAnsi="Cambria Math"/>
                    <w:sz w:val="21"/>
                  </w:rPr>
                  <m:t>= β0 + β1LNT</m:t>
                </m:r>
                <m:sSub>
                  <m:sSubPr>
                    <m:ctrlPr>
                      <w:rPr>
                        <w:rFonts w:ascii="Cambria Math" w:hAnsi="Cambria Math"/>
                        <w:i/>
                        <w:sz w:val="21"/>
                      </w:rPr>
                    </m:ctrlPr>
                  </m:sSubPr>
                  <m:e>
                    <m:r>
                      <w:rPr>
                        <w:rFonts w:ascii="Cambria Math" w:hAnsi="Cambria Math"/>
                        <w:sz w:val="21"/>
                      </w:rPr>
                      <m:t>L</m:t>
                    </m:r>
                  </m:e>
                  <m:sub>
                    <m:r>
                      <w:rPr>
                        <w:rFonts w:ascii="Cambria Math" w:hAnsi="Cambria Math"/>
                        <w:sz w:val="21"/>
                      </w:rPr>
                      <m:t>it</m:t>
                    </m:r>
                  </m:sub>
                </m:sSub>
                <m:r>
                  <w:rPr>
                    <w:rFonts w:ascii="Cambria Math" w:hAnsi="Cambria Math"/>
                    <w:sz w:val="21"/>
                  </w:rPr>
                  <m:t>+ β2</m:t>
                </m:r>
                <m:sSub>
                  <m:sSubPr>
                    <m:ctrlPr>
                      <w:rPr>
                        <w:rFonts w:ascii="Cambria Math" w:hAnsi="Cambria Math"/>
                        <w:i/>
                        <w:sz w:val="21"/>
                      </w:rPr>
                    </m:ctrlPr>
                  </m:sSubPr>
                  <m:e>
                    <m:r>
                      <w:rPr>
                        <w:rFonts w:ascii="Cambria Math" w:hAnsi="Cambria Math"/>
                        <w:sz w:val="21"/>
                      </w:rPr>
                      <m:t>X</m:t>
                    </m:r>
                  </m:e>
                  <m:sub>
                    <m:r>
                      <w:rPr>
                        <w:rFonts w:ascii="Cambria Math" w:hAnsi="Cambria Math"/>
                        <w:sz w:val="21"/>
                      </w:rPr>
                      <m:t>it</m:t>
                    </m:r>
                  </m:sub>
                </m:sSub>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μ</m:t>
                    </m:r>
                  </m:e>
                  <m:sub>
                    <m:r>
                      <w:rPr>
                        <w:rFonts w:ascii="Cambria Math" w:hAnsi="Cambria Math"/>
                        <w:sz w:val="21"/>
                      </w:rPr>
                      <m:t>i</m:t>
                    </m:r>
                  </m:sub>
                </m:sSub>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λ</m:t>
                    </m:r>
                  </m:e>
                  <m:sub>
                    <m:r>
                      <w:rPr>
                        <w:rFonts w:ascii="Cambria Math" w:hAnsi="Cambria Math"/>
                        <w:sz w:val="21"/>
                      </w:rPr>
                      <m:t>t</m:t>
                    </m:r>
                  </m:sub>
                </m:sSub>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ε</m:t>
                    </m:r>
                  </m:e>
                  <m:sub>
                    <m:r>
                      <w:rPr>
                        <w:rFonts w:ascii="Cambria Math" w:hAnsi="Cambria Math"/>
                        <w:sz w:val="21"/>
                      </w:rPr>
                      <m:t>it</m:t>
                    </m:r>
                  </m:sub>
                </m:sSub>
              </m:oMath>
            </m:oMathPara>
          </w:p>
        </w:tc>
        <w:tc>
          <w:tcPr>
            <w:tcW w:w="2161" w:type="dxa"/>
          </w:tcPr>
          <w:p w14:paraId="222FB439" w14:textId="6D8E94F0" w:rsidR="00205702" w:rsidRDefault="00000000">
            <w:pPr>
              <w:rPr>
                <w:lang w:eastAsia="zh-CN"/>
              </w:rPr>
            </w:pPr>
            <w:r>
              <w:rPr>
                <w:sz w:val="21"/>
                <w:lang w:eastAsia="zh-CN"/>
              </w:rPr>
              <w:t>识别夜间灯光聚合度及控制变量对碳排放效</w:t>
            </w:r>
            <w:r w:rsidR="007268CF">
              <w:rPr>
                <w:rFonts w:hint="eastAsia"/>
                <w:sz w:val="21"/>
                <w:lang w:eastAsia="zh-CN"/>
              </w:rPr>
              <w:t xml:space="preserve">  </w:t>
            </w:r>
            <w:r>
              <w:rPr>
                <w:sz w:val="21"/>
                <w:lang w:eastAsia="zh-CN"/>
              </w:rPr>
              <w:t>率的影响</w:t>
            </w:r>
          </w:p>
        </w:tc>
        <w:tc>
          <w:tcPr>
            <w:tcW w:w="2161" w:type="dxa"/>
          </w:tcPr>
          <w:p w14:paraId="1B21C0E8" w14:textId="77777777" w:rsidR="00205702" w:rsidRDefault="00000000">
            <w:r>
              <w:rPr>
                <w:sz w:val="21"/>
              </w:rPr>
              <w:t>第六章</w:t>
            </w:r>
          </w:p>
        </w:tc>
      </w:tr>
      <w:tr w:rsidR="00205702" w14:paraId="008CEA95" w14:textId="77777777">
        <w:tc>
          <w:tcPr>
            <w:tcW w:w="2161" w:type="dxa"/>
          </w:tcPr>
          <w:p w14:paraId="00D02DF4" w14:textId="77777777" w:rsidR="00205702" w:rsidRDefault="00000000">
            <w:r>
              <w:rPr>
                <w:sz w:val="21"/>
              </w:rPr>
              <w:t>Global Moran’s I</w:t>
            </w:r>
          </w:p>
        </w:tc>
        <w:tc>
          <w:tcPr>
            <w:tcW w:w="2161" w:type="dxa"/>
          </w:tcPr>
          <w:p w14:paraId="4D7F91BA" w14:textId="77777777" w:rsidR="00205702" w:rsidRDefault="00000000">
            <w:pPr>
              <w:rPr>
                <w:lang w:eastAsia="zh-CN"/>
              </w:rPr>
            </w:pPr>
            <w:r>
              <w:rPr>
                <w:sz w:val="21"/>
                <w:lang w:eastAsia="zh-CN"/>
              </w:rPr>
              <w:t>基于空间权重矩阵衡量整体空间自相关</w:t>
            </w:r>
          </w:p>
        </w:tc>
        <w:tc>
          <w:tcPr>
            <w:tcW w:w="2161" w:type="dxa"/>
          </w:tcPr>
          <w:p w14:paraId="32066D3B" w14:textId="77777777" w:rsidR="00205702" w:rsidRDefault="00000000">
            <w:pPr>
              <w:rPr>
                <w:lang w:eastAsia="zh-CN"/>
              </w:rPr>
            </w:pPr>
            <w:r>
              <w:rPr>
                <w:sz w:val="21"/>
                <w:lang w:eastAsia="zh-CN"/>
              </w:rPr>
              <w:t>检验省域碳排放效率是否存在空间集聚</w:t>
            </w:r>
          </w:p>
        </w:tc>
        <w:tc>
          <w:tcPr>
            <w:tcW w:w="2161" w:type="dxa"/>
          </w:tcPr>
          <w:p w14:paraId="3B993B83" w14:textId="77777777" w:rsidR="00205702" w:rsidRDefault="00000000">
            <w:r>
              <w:rPr>
                <w:sz w:val="21"/>
              </w:rPr>
              <w:t>第七章（一）</w:t>
            </w:r>
          </w:p>
        </w:tc>
      </w:tr>
      <w:tr w:rsidR="00205702" w14:paraId="199F93ED" w14:textId="77777777">
        <w:tc>
          <w:tcPr>
            <w:tcW w:w="2161" w:type="dxa"/>
          </w:tcPr>
          <w:p w14:paraId="39100F60" w14:textId="77777777" w:rsidR="00205702" w:rsidRDefault="00000000">
            <w:r>
              <w:rPr>
                <w:sz w:val="21"/>
              </w:rPr>
              <w:t>VIF</w:t>
            </w:r>
            <w:r>
              <w:rPr>
                <w:sz w:val="21"/>
              </w:rPr>
              <w:t>检验</w:t>
            </w:r>
          </w:p>
        </w:tc>
        <w:tc>
          <w:tcPr>
            <w:tcW w:w="2161" w:type="dxa"/>
          </w:tcPr>
          <w:p w14:paraId="382AA706" w14:textId="68606FCD" w:rsidR="00205702" w:rsidRDefault="007268CF">
            <m:oMathPara>
              <m:oMath>
                <m:r>
                  <w:rPr>
                    <w:rFonts w:ascii="Cambria Math" w:hAnsi="Cambria Math"/>
                    <w:sz w:val="21"/>
                  </w:rPr>
                  <m:t>VI</m:t>
                </m:r>
                <m:sSub>
                  <m:sSubPr>
                    <m:ctrlPr>
                      <w:rPr>
                        <w:rFonts w:ascii="Cambria Math" w:hAnsi="Cambria Math"/>
                        <w:i/>
                        <w:sz w:val="21"/>
                      </w:rPr>
                    </m:ctrlPr>
                  </m:sSubPr>
                  <m:e>
                    <m:r>
                      <w:rPr>
                        <w:rFonts w:ascii="Cambria Math" w:hAnsi="Cambria Math"/>
                        <w:sz w:val="21"/>
                      </w:rPr>
                      <m:t>F</m:t>
                    </m:r>
                  </m:e>
                  <m:sub>
                    <m:r>
                      <w:rPr>
                        <w:rFonts w:ascii="Cambria Math" w:hAnsi="Cambria Math"/>
                        <w:sz w:val="21"/>
                      </w:rPr>
                      <m:t>j</m:t>
                    </m:r>
                  </m:sub>
                </m:sSub>
                <m:r>
                  <w:rPr>
                    <w:rFonts w:ascii="Cambria Math" w:hAnsi="Cambria Math"/>
                    <w:sz w:val="21"/>
                  </w:rPr>
                  <m:t>=</m:t>
                </m:r>
                <m:f>
                  <m:fPr>
                    <m:ctrlPr>
                      <w:rPr>
                        <w:rFonts w:ascii="Cambria Math" w:hAnsi="Cambria Math"/>
                        <w:i/>
                        <w:sz w:val="21"/>
                      </w:rPr>
                    </m:ctrlPr>
                  </m:fPr>
                  <m:num>
                    <m:r>
                      <w:rPr>
                        <w:rFonts w:ascii="Cambria Math" w:hAnsi="Cambria Math"/>
                        <w:sz w:val="21"/>
                      </w:rPr>
                      <m:t>1</m:t>
                    </m:r>
                  </m:num>
                  <m:den>
                    <m:r>
                      <w:rPr>
                        <w:rFonts w:ascii="Cambria Math" w:hAnsi="Cambria Math"/>
                        <w:sz w:val="21"/>
                      </w:rPr>
                      <m:t>1-</m:t>
                    </m:r>
                    <m:sSubSup>
                      <m:sSubSupPr>
                        <m:ctrlPr>
                          <w:rPr>
                            <w:rFonts w:ascii="Cambria Math" w:hAnsi="Cambria Math"/>
                            <w:i/>
                            <w:sz w:val="21"/>
                          </w:rPr>
                        </m:ctrlPr>
                      </m:sSubSupPr>
                      <m:e>
                        <m:r>
                          <w:rPr>
                            <w:rFonts w:ascii="Cambria Math" w:hAnsi="Cambria Math"/>
                            <w:sz w:val="21"/>
                          </w:rPr>
                          <m:t>R</m:t>
                        </m:r>
                      </m:e>
                      <m:sub>
                        <m:r>
                          <w:rPr>
                            <w:rFonts w:ascii="Cambria Math" w:hAnsi="Cambria Math"/>
                            <w:sz w:val="21"/>
                          </w:rPr>
                          <m:t>j</m:t>
                        </m:r>
                      </m:sub>
                      <m:sup>
                        <m:r>
                          <w:rPr>
                            <w:rFonts w:ascii="Cambria Math" w:hAnsi="Cambria Math"/>
                            <w:sz w:val="21"/>
                          </w:rPr>
                          <m:t>2</m:t>
                        </m:r>
                      </m:sup>
                    </m:sSubSup>
                  </m:den>
                </m:f>
              </m:oMath>
            </m:oMathPara>
          </w:p>
        </w:tc>
        <w:tc>
          <w:tcPr>
            <w:tcW w:w="2161" w:type="dxa"/>
          </w:tcPr>
          <w:p w14:paraId="57566B9E" w14:textId="77777777" w:rsidR="00205702" w:rsidRDefault="00000000">
            <w:pPr>
              <w:rPr>
                <w:lang w:eastAsia="zh-CN"/>
              </w:rPr>
            </w:pPr>
            <w:r>
              <w:rPr>
                <w:sz w:val="21"/>
                <w:lang w:eastAsia="zh-CN"/>
              </w:rPr>
              <w:t>诊断解释变量之间的多重共线性风险</w:t>
            </w:r>
          </w:p>
        </w:tc>
        <w:tc>
          <w:tcPr>
            <w:tcW w:w="2161" w:type="dxa"/>
          </w:tcPr>
          <w:p w14:paraId="296B6F75" w14:textId="77777777" w:rsidR="00205702" w:rsidRDefault="00000000">
            <w:r>
              <w:rPr>
                <w:sz w:val="21"/>
              </w:rPr>
              <w:t>第四章（五）</w:t>
            </w:r>
          </w:p>
        </w:tc>
      </w:tr>
    </w:tbl>
    <w:p w14:paraId="19FABC53" w14:textId="77777777" w:rsidR="00B84757" w:rsidRDefault="00000000">
      <w:pPr>
        <w:pStyle w:val="21"/>
        <w:rPr>
          <w:lang w:eastAsia="zh-CN"/>
        </w:rPr>
      </w:pPr>
      <w:r>
        <w:rPr>
          <w:lang w:eastAsia="zh-CN"/>
        </w:rPr>
        <w:t>（一）夜间灯光聚合度指标构造</w:t>
      </w:r>
    </w:p>
    <w:p w14:paraId="43176BBB" w14:textId="4BF2D963" w:rsidR="00B84757" w:rsidRDefault="00000000">
      <w:pPr>
        <w:rPr>
          <w:lang w:eastAsia="zh-CN"/>
        </w:rPr>
      </w:pPr>
      <w:r>
        <w:rPr>
          <w:lang w:eastAsia="zh-CN"/>
        </w:rPr>
        <w:t>设省域内部共有</w:t>
      </w:r>
      <w:r>
        <w:rPr>
          <w:lang w:eastAsia="zh-CN"/>
        </w:rPr>
        <w:t xml:space="preserve"> </w:t>
      </w:r>
      <m:oMath>
        <m:r>
          <w:rPr>
            <w:rFonts w:ascii="Cambria Math" w:hAnsi="Cambria Math"/>
            <w:lang w:eastAsia="zh-CN"/>
          </w:rPr>
          <m:t xml:space="preserve">n </m:t>
        </m:r>
      </m:oMath>
      <w:r>
        <w:rPr>
          <w:lang w:eastAsia="zh-CN"/>
        </w:rPr>
        <w:t>个灯光栅格，第</w:t>
      </w:r>
      <w:r>
        <w:rPr>
          <w:lang w:eastAsia="zh-CN"/>
        </w:rPr>
        <w:t xml:space="preserve"> </w:t>
      </w:r>
      <m:oMath>
        <m:r>
          <w:rPr>
            <w:rFonts w:ascii="Cambria Math" w:hAnsi="Cambria Math"/>
            <w:lang w:eastAsia="zh-CN"/>
          </w:rPr>
          <m:t>i</m:t>
        </m:r>
      </m:oMath>
      <w:r>
        <w:rPr>
          <w:lang w:eastAsia="zh-CN"/>
        </w:rPr>
        <w:t xml:space="preserve"> </w:t>
      </w:r>
      <w:r>
        <w:rPr>
          <w:lang w:eastAsia="zh-CN"/>
        </w:rPr>
        <w:t>个栅格亮度值为</w:t>
      </w:r>
      <w:r>
        <w:rPr>
          <w:lang w:eastAsia="zh-CN"/>
        </w:rPr>
        <w:t xml:space="preserve"> </w:t>
      </w:r>
      <m:oMath>
        <m:sSub>
          <m:sSubPr>
            <m:ctrlPr>
              <w:rPr>
                <w:rFonts w:ascii="Cambria Math" w:hAnsi="Cambria Math"/>
                <w:i/>
                <w:lang w:eastAsia="zh-CN"/>
              </w:rPr>
            </m:ctrlPr>
          </m:sSubPr>
          <m:e>
            <m:r>
              <w:rPr>
                <w:rFonts w:ascii="Cambria Math" w:hAnsi="Cambria Math"/>
                <w:lang w:eastAsia="zh-CN"/>
              </w:rPr>
              <m:t>L</m:t>
            </m:r>
          </m:e>
          <m:sub>
            <m:r>
              <w:rPr>
                <w:rFonts w:ascii="Cambria Math" w:hAnsi="Cambria Math"/>
                <w:lang w:eastAsia="zh-CN"/>
              </w:rPr>
              <m:t>i</m:t>
            </m:r>
          </m:sub>
        </m:sSub>
      </m:oMath>
      <w:r>
        <w:rPr>
          <w:lang w:eastAsia="zh-CN"/>
        </w:rPr>
        <w:t>，则其亮度份额可表示为：</w:t>
      </w:r>
    </w:p>
    <w:p w14:paraId="748CCBE2" w14:textId="77777777" w:rsidR="00B84757" w:rsidRDefault="00000000">
      <w:pPr>
        <w:pStyle w:val="aff7"/>
      </w:pPr>
      <w:r>
        <w:t>公式（</w:t>
      </w:r>
      <w:r>
        <w:t>A1</w:t>
      </w:r>
      <w:r>
        <w:t>）</w:t>
      </w:r>
      <w:r>
        <w:t xml:space="preserve">  </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i=1</m:t>
                        </m:r>
                      </m:e>
                    </m:d>
                  </m:e>
                  <m:sub>
                    <m:r>
                      <w:rPr>
                        <w:rFonts w:ascii="Cambria Math" w:hAnsi="Cambria Math"/>
                      </w:rPr>
                      <m:t>i</m:t>
                    </m:r>
                  </m:sub>
                  <m:sup>
                    <m:d>
                      <m:dPr>
                        <m:begChr m:val="{"/>
                        <m:endChr m:val="}"/>
                        <m:ctrlPr>
                          <w:rPr>
                            <w:rFonts w:ascii="Cambria Math" w:hAnsi="Cambria Math"/>
                            <w:i/>
                          </w:rPr>
                        </m:ctrlPr>
                      </m:dPr>
                      <m:e>
                        <m:r>
                          <w:rPr>
                            <w:rFonts w:ascii="Cambria Math" w:hAnsi="Cambria Math"/>
                          </w:rPr>
                          <m:t>n</m:t>
                        </m:r>
                      </m:e>
                    </m:d>
                    <m:r>
                      <w:rPr>
                        <w:rFonts w:ascii="Cambria Math" w:hAnsi="Cambria Math"/>
                      </w:rPr>
                      <m:t>L</m:t>
                    </m:r>
                  </m:sup>
                </m:sSubSup>
              </m:sub>
            </m:sSub>
          </m:den>
        </m:f>
      </m:oMath>
    </w:p>
    <w:p w14:paraId="58768CF8" w14:textId="77777777" w:rsidR="00B84757" w:rsidRDefault="00000000">
      <w:pPr>
        <w:rPr>
          <w:lang w:eastAsia="zh-CN"/>
        </w:rPr>
      </w:pPr>
      <w:r>
        <w:rPr>
          <w:lang w:eastAsia="zh-CN"/>
        </w:rPr>
        <w:t>据此构造</w:t>
      </w:r>
      <w:r>
        <w:rPr>
          <w:lang w:eastAsia="zh-CN"/>
        </w:rPr>
        <w:t xml:space="preserve"> Herfindahl </w:t>
      </w:r>
      <w:r>
        <w:rPr>
          <w:lang w:eastAsia="zh-CN"/>
        </w:rPr>
        <w:t>型夜间灯光聚合度指标：</w:t>
      </w:r>
    </w:p>
    <w:p w14:paraId="570AE746" w14:textId="77777777" w:rsidR="00B84757" w:rsidRDefault="00000000">
      <w:pPr>
        <w:pStyle w:val="aff7"/>
        <w:rPr>
          <w:lang w:eastAsia="zh-CN"/>
        </w:rPr>
      </w:pPr>
      <w:r>
        <w:rPr>
          <w:lang w:eastAsia="zh-CN"/>
        </w:rPr>
        <w:t>公式（</w:t>
      </w:r>
      <w:r>
        <w:rPr>
          <w:lang w:eastAsia="zh-CN"/>
        </w:rPr>
        <w:t>A2</w:t>
      </w:r>
      <w:r>
        <w:rPr>
          <w:lang w:eastAsia="zh-CN"/>
        </w:rPr>
        <w:t>）</w:t>
      </w:r>
      <w:r>
        <w:rPr>
          <w:lang w:eastAsia="zh-CN"/>
        </w:rPr>
        <w:t xml:space="preserve">  </w:t>
      </w:r>
      <m:oMath>
        <m:r>
          <w:rPr>
            <w:rFonts w:ascii="Cambria Math" w:hAnsi="Cambria Math"/>
            <w:lang w:eastAsia="zh-CN"/>
          </w:rPr>
          <m:t xml:space="preserve">ntl = </m:t>
        </m:r>
        <m:sSubSup>
          <m:sSubSupPr>
            <m:ctrlPr>
              <w:rPr>
                <w:rFonts w:ascii="Cambria Math" w:hAnsi="Cambria Math"/>
                <w:i/>
              </w:rPr>
            </m:ctrlPr>
          </m:sSubSupPr>
          <m:e>
            <m:r>
              <w:rPr>
                <w:rFonts w:ascii="Cambria Math" w:hAnsi="Cambria Math"/>
                <w:lang w:eastAsia="zh-CN"/>
              </w:rPr>
              <m:t>Σ</m:t>
            </m:r>
          </m:e>
          <m:sub>
            <m:d>
              <m:dPr>
                <m:begChr m:val="{"/>
                <m:endChr m:val="}"/>
                <m:ctrlPr>
                  <w:rPr>
                    <w:rFonts w:ascii="Cambria Math" w:hAnsi="Cambria Math"/>
                    <w:i/>
                  </w:rPr>
                </m:ctrlPr>
              </m:dPr>
              <m:e>
                <m:r>
                  <w:rPr>
                    <w:rFonts w:ascii="Cambria Math" w:hAnsi="Cambria Math"/>
                    <w:lang w:eastAsia="zh-CN"/>
                  </w:rPr>
                  <m:t>i=1</m:t>
                </m:r>
              </m:e>
            </m:d>
          </m:sub>
          <m:sup>
            <m:d>
              <m:dPr>
                <m:begChr m:val="{"/>
                <m:endChr m:val="}"/>
                <m:ctrlPr>
                  <w:rPr>
                    <w:rFonts w:ascii="Cambria Math" w:hAnsi="Cambria Math"/>
                    <w:i/>
                  </w:rPr>
                </m:ctrlPr>
              </m:dPr>
              <m:e>
                <m:r>
                  <w:rPr>
                    <w:rFonts w:ascii="Cambria Math" w:hAnsi="Cambria Math"/>
                    <w:lang w:eastAsia="zh-CN"/>
                  </w:rPr>
                  <m:t>n</m:t>
                </m:r>
              </m:e>
            </m:d>
            <m:sSubSup>
              <m:sSubSupPr>
                <m:ctrlPr>
                  <w:rPr>
                    <w:rFonts w:ascii="Cambria Math" w:hAnsi="Cambria Math"/>
                    <w:i/>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2</m:t>
                </m:r>
              </m:sup>
            </m:sSubSup>
          </m:sup>
        </m:sSubSup>
      </m:oMath>
    </w:p>
    <w:p w14:paraId="585758D2" w14:textId="77777777" w:rsidR="00B84757" w:rsidRDefault="00000000">
      <w:pPr>
        <w:rPr>
          <w:lang w:eastAsia="zh-CN"/>
        </w:rPr>
      </w:pPr>
      <w:r>
        <w:rPr>
          <w:lang w:eastAsia="zh-CN"/>
        </w:rPr>
        <w:t>为缓解右偏分布并增强可比性，本文进一步取对数形式进入第二阶段回归模型：</w:t>
      </w:r>
    </w:p>
    <w:p w14:paraId="29F75BD0" w14:textId="77777777" w:rsidR="00B84757" w:rsidRDefault="00000000">
      <w:pPr>
        <w:pStyle w:val="aff7"/>
      </w:pPr>
      <w:r>
        <w:lastRenderedPageBreak/>
        <w:t>公式（</w:t>
      </w:r>
      <w:r>
        <w:t>A3</w:t>
      </w:r>
      <w:r>
        <w:t>）</w:t>
      </w:r>
      <w:r>
        <w:t xml:space="preserve">  </w:t>
      </w:r>
      <m:oMath>
        <m:r>
          <w:rPr>
            <w:rFonts w:ascii="Cambria Math" w:hAnsi="Cambria Math"/>
          </w:rPr>
          <m:t>lntl =</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ntl + 1</m:t>
                </m:r>
              </m:e>
            </m:d>
          </m:e>
        </m:func>
      </m:oMath>
    </w:p>
    <w:p w14:paraId="118A0724" w14:textId="77777777" w:rsidR="00B84757" w:rsidRDefault="00000000">
      <w:pPr>
        <w:pStyle w:val="21"/>
      </w:pPr>
      <w:r>
        <w:t>（二）超效率</w:t>
      </w:r>
      <w:r>
        <w:t>SBM</w:t>
      </w:r>
      <w:r>
        <w:t>模型</w:t>
      </w:r>
    </w:p>
    <w:p w14:paraId="7740BBFA" w14:textId="77777777" w:rsidR="00B84757" w:rsidRDefault="00000000">
      <w:pPr>
        <w:rPr>
          <w:lang w:eastAsia="zh-CN"/>
        </w:rPr>
      </w:pPr>
      <w:r>
        <w:rPr>
          <w:lang w:eastAsia="zh-CN"/>
        </w:rPr>
        <w:t>在规模报酬可变（</w:t>
      </w:r>
      <w:r>
        <w:rPr>
          <w:lang w:eastAsia="zh-CN"/>
        </w:rPr>
        <w:t>VRS</w:t>
      </w:r>
      <w:r>
        <w:rPr>
          <w:lang w:eastAsia="zh-CN"/>
        </w:rPr>
        <w:t>）假设下，考虑非期望产出的超效率</w:t>
      </w:r>
      <w:r>
        <w:rPr>
          <w:lang w:eastAsia="zh-CN"/>
        </w:rPr>
        <w:t>SBM</w:t>
      </w:r>
      <w:r>
        <w:rPr>
          <w:lang w:eastAsia="zh-CN"/>
        </w:rPr>
        <w:t>模型可表示为：</w:t>
      </w:r>
    </w:p>
    <w:p w14:paraId="0978661A" w14:textId="77777777" w:rsidR="00B84757" w:rsidRDefault="00000000">
      <w:pPr>
        <w:pStyle w:val="aff7"/>
      </w:pPr>
      <w:r>
        <w:t>公式（</w:t>
      </w:r>
      <w:r>
        <w:t>A4</w:t>
      </w:r>
      <w:r>
        <w:t>）</w:t>
      </w:r>
      <w:r>
        <w:t xml:space="preserve">  </w:t>
      </w:r>
      <m:oMath>
        <m:func>
          <m:funcPr>
            <m:ctrlPr>
              <w:rPr>
                <w:rFonts w:ascii="Cambria Math" w:hAnsi="Cambria Math"/>
              </w:rPr>
            </m:ctrlPr>
          </m:funcPr>
          <m:fName>
            <m:r>
              <m:rPr>
                <m:sty m:val="p"/>
              </m:rPr>
              <w:rPr>
                <w:rFonts w:ascii="Cambria Math" w:hAnsi="Cambria Math"/>
              </w:rPr>
              <m:t>min</m:t>
            </m:r>
          </m:fName>
          <m:e>
            <m:r>
              <w:rPr>
                <w:rFonts w:ascii="Cambria Math" w:hAnsi="Cambria Math"/>
              </w:rPr>
              <m:t>ρ</m:t>
            </m:r>
          </m:e>
        </m:func>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 xml:space="preserve">1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m</m:t>
                        </m:r>
                      </m:den>
                    </m:f>
                  </m:e>
                </m:d>
                <m:r>
                  <w:rPr>
                    <w:rFonts w:ascii="Cambria Math" w:hAnsi="Cambria Math"/>
                  </w:rPr>
                  <m:t>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m:t>
                            </m:r>
                          </m:sup>
                        </m:sSubSup>
                      </m:num>
                      <m:den>
                        <m:sSub>
                          <m:sSubPr>
                            <m:ctrlPr>
                              <w:rPr>
                                <w:rFonts w:ascii="Cambria Math" w:hAnsi="Cambria Math"/>
                                <w:i/>
                              </w:rPr>
                            </m:ctrlPr>
                          </m:sSubPr>
                          <m:e>
                            <m:r>
                              <w:rPr>
                                <w:rFonts w:ascii="Cambria Math" w:hAnsi="Cambria Math"/>
                              </w:rPr>
                              <m:t>x</m:t>
                            </m:r>
                          </m:e>
                          <m:sub>
                            <m:r>
                              <w:rPr>
                                <w:rFonts w:ascii="Cambria Math" w:hAnsi="Cambria Math"/>
                              </w:rPr>
                              <m:t>io</m:t>
                            </m:r>
                          </m:sub>
                        </m:sSub>
                      </m:den>
                    </m:f>
                  </m:e>
                </m:d>
              </m:e>
            </m:d>
          </m:num>
          <m:den>
            <m:d>
              <m:dPr>
                <m:begChr m:val="["/>
                <m:endChr m:val="]"/>
                <m:ctrlPr>
                  <w:rPr>
                    <w:rFonts w:ascii="Cambria Math" w:hAnsi="Cambria Math"/>
                    <w:i/>
                  </w:rPr>
                </m:ctrlPr>
              </m:dPr>
              <m:e>
                <m:r>
                  <w:rPr>
                    <w:rFonts w:ascii="Cambria Math" w:hAnsi="Cambria Math"/>
                  </w:rPr>
                  <m:t xml:space="preserve">1 - </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den>
                    </m:f>
                  </m:e>
                </m:d>
                <m:d>
                  <m:dPr>
                    <m:ctrlPr>
                      <w:rPr>
                        <w:rFonts w:ascii="Cambria Math" w:hAnsi="Cambria Math"/>
                        <w:i/>
                      </w:rPr>
                    </m:ctrlPr>
                  </m:dPr>
                  <m:e>
                    <m:r>
                      <w:rPr>
                        <w:rFonts w:ascii="Cambria Math" w:hAnsi="Cambria Math"/>
                      </w:rPr>
                      <m:t>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r</m:t>
                                </m:r>
                              </m:sub>
                              <m:sup>
                                <m:r>
                                  <w:rPr>
                                    <w:rFonts w:ascii="Cambria Math" w:hAnsi="Cambria Math"/>
                                  </w:rPr>
                                  <m:t>g</m:t>
                                </m:r>
                              </m:sup>
                            </m:sSubSup>
                          </m:num>
                          <m:den>
                            <m:sSubSup>
                              <m:sSubSupPr>
                                <m:ctrlPr>
                                  <w:rPr>
                                    <w:rFonts w:ascii="Cambria Math" w:hAnsi="Cambria Math"/>
                                    <w:i/>
                                  </w:rPr>
                                </m:ctrlPr>
                              </m:sSubSupPr>
                              <m:e>
                                <m:r>
                                  <w:rPr>
                                    <w:rFonts w:ascii="Cambria Math" w:hAnsi="Cambria Math"/>
                                  </w:rPr>
                                  <m:t>y</m:t>
                                </m:r>
                              </m:e>
                              <m:sub>
                                <m:r>
                                  <w:rPr>
                                    <w:rFonts w:ascii="Cambria Math" w:hAnsi="Cambria Math"/>
                                  </w:rPr>
                                  <m:t>ro</m:t>
                                </m:r>
                              </m:sub>
                              <m:sup>
                                <m:r>
                                  <w:rPr>
                                    <w:rFonts w:ascii="Cambria Math" w:hAnsi="Cambria Math"/>
                                  </w:rPr>
                                  <m:t>g</m:t>
                                </m:r>
                              </m:sup>
                            </m:sSubSup>
                          </m:den>
                        </m:f>
                      </m:e>
                    </m:d>
                    <m:r>
                      <w:rPr>
                        <w:rFonts w:ascii="Cambria Math" w:hAnsi="Cambria Math"/>
                      </w:rPr>
                      <m:t>+ 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q</m:t>
                                </m:r>
                              </m:sub>
                              <m:sup>
                                <m:r>
                                  <w:rPr>
                                    <w:rFonts w:ascii="Cambria Math" w:hAnsi="Cambria Math"/>
                                  </w:rPr>
                                  <m:t>b</m:t>
                                </m:r>
                              </m:sup>
                            </m:sSubSup>
                          </m:num>
                          <m:den>
                            <m:sSubSup>
                              <m:sSubSupPr>
                                <m:ctrlPr>
                                  <w:rPr>
                                    <w:rFonts w:ascii="Cambria Math" w:hAnsi="Cambria Math"/>
                                    <w:i/>
                                  </w:rPr>
                                </m:ctrlPr>
                              </m:sSubSupPr>
                              <m:e>
                                <m:r>
                                  <w:rPr>
                                    <w:rFonts w:ascii="Cambria Math" w:hAnsi="Cambria Math"/>
                                  </w:rPr>
                                  <m:t>y</m:t>
                                </m:r>
                              </m:e>
                              <m:sub>
                                <m:r>
                                  <w:rPr>
                                    <w:rFonts w:ascii="Cambria Math" w:hAnsi="Cambria Math"/>
                                  </w:rPr>
                                  <m:t>qo</m:t>
                                </m:r>
                              </m:sub>
                              <m:sup>
                                <m:r>
                                  <w:rPr>
                                    <w:rFonts w:ascii="Cambria Math" w:hAnsi="Cambria Math"/>
                                  </w:rPr>
                                  <m:t>b</m:t>
                                </m:r>
                              </m:sup>
                            </m:sSubSup>
                          </m:den>
                        </m:f>
                      </m:e>
                    </m:d>
                  </m:e>
                </m:d>
              </m:e>
            </m:d>
          </m:den>
        </m:f>
      </m:oMath>
    </w:p>
    <w:p w14:paraId="6AF1A5B8" w14:textId="77777777" w:rsidR="00B84757" w:rsidRDefault="00000000">
      <w:pPr>
        <w:rPr>
          <w:lang w:eastAsia="zh-CN"/>
        </w:rPr>
      </w:pPr>
      <w:r>
        <w:rPr>
          <w:lang w:eastAsia="zh-CN"/>
        </w:rPr>
        <w:t>其约束条件为：</w:t>
      </w:r>
    </w:p>
    <w:p w14:paraId="536F7F79" w14:textId="77777777" w:rsidR="00B84757" w:rsidRDefault="00000000">
      <w:pPr>
        <w:pStyle w:val="aff7"/>
        <w:rPr>
          <w:lang w:eastAsia="zh-CN"/>
        </w:rPr>
      </w:pPr>
      <w:r>
        <w:rPr>
          <w:lang w:eastAsia="zh-CN"/>
        </w:rPr>
        <w:t>公式（</w:t>
      </w:r>
      <w:r>
        <w:rPr>
          <w:lang w:eastAsia="zh-CN"/>
        </w:rPr>
        <w:t>A5</w:t>
      </w:r>
      <w:r>
        <w:rPr>
          <w:lang w:eastAsia="zh-CN"/>
        </w:rPr>
        <w:t>）</w:t>
      </w:r>
      <w:r>
        <w:rPr>
          <w:lang w:eastAsia="zh-CN"/>
        </w:rPr>
        <w:t xml:space="preserve">  </w:t>
      </w:r>
      <m:oMath>
        <m:sSub>
          <m:sSubPr>
            <m:ctrlPr>
              <w:rPr>
                <w:rFonts w:ascii="Cambria Math" w:hAnsi="Cambria Math"/>
                <w:i/>
              </w:rPr>
            </m:ctrlPr>
          </m:sSubPr>
          <m:e>
            <m:r>
              <w:rPr>
                <w:rFonts w:ascii="Cambria Math" w:hAnsi="Cambria Math"/>
                <w:lang w:eastAsia="zh-CN"/>
              </w:rPr>
              <m:t>x</m:t>
            </m:r>
          </m:e>
          <m:sub>
            <m:r>
              <w:rPr>
                <w:rFonts w:ascii="Cambria Math" w:hAnsi="Cambria Math"/>
                <w:lang w:eastAsia="zh-CN"/>
              </w:rPr>
              <m:t>o</m:t>
            </m:r>
          </m:sub>
        </m:sSub>
        <m:r>
          <w:rPr>
            <w:rFonts w:ascii="Cambria Math" w:hAnsi="Cambria Math"/>
            <w:lang w:eastAsia="zh-CN"/>
          </w:rPr>
          <m:t xml:space="preserve">= Xλ + </m:t>
        </m:r>
        <m:sSup>
          <m:sSupPr>
            <m:ctrlPr>
              <w:rPr>
                <w:rFonts w:ascii="Cambria Math" w:hAnsi="Cambria Math"/>
                <w:i/>
              </w:rPr>
            </m:ctrlPr>
          </m:sSupPr>
          <m:e>
            <m:r>
              <w:rPr>
                <w:rFonts w:ascii="Cambria Math" w:hAnsi="Cambria Math"/>
                <w:lang w:eastAsia="zh-CN"/>
              </w:rPr>
              <m:t>s</m:t>
            </m:r>
          </m:e>
          <m:sup>
            <m:r>
              <w:rPr>
                <w:rFonts w:ascii="Cambria Math" w:hAnsi="Cambria Math"/>
                <w:lang w:eastAsia="zh-CN"/>
              </w:rPr>
              <m:t>-</m:t>
            </m:r>
          </m:sup>
        </m:sSup>
        <m:r>
          <w:rPr>
            <w:rFonts w:ascii="Cambria Math" w:hAnsi="Cambria Math"/>
            <w:lang w:eastAsia="zh-CN"/>
          </w:rPr>
          <m:t xml:space="preserve">;   </m:t>
        </m:r>
        <m:sSubSup>
          <m:sSubSupPr>
            <m:ctrlPr>
              <w:rPr>
                <w:rFonts w:ascii="Cambria Math" w:hAnsi="Cambria Math"/>
                <w:i/>
              </w:rPr>
            </m:ctrlPr>
          </m:sSubSupPr>
          <m:e>
            <m:r>
              <w:rPr>
                <w:rFonts w:ascii="Cambria Math" w:hAnsi="Cambria Math"/>
                <w:lang w:eastAsia="zh-CN"/>
              </w:rPr>
              <m:t>y</m:t>
            </m:r>
          </m:e>
          <m:sub>
            <m:r>
              <w:rPr>
                <w:rFonts w:ascii="Cambria Math" w:hAnsi="Cambria Math"/>
                <w:lang w:eastAsia="zh-CN"/>
              </w:rPr>
              <m:t>o</m:t>
            </m:r>
          </m:sub>
          <m:sup>
            <m:r>
              <w:rPr>
                <w:rFonts w:ascii="Cambria Math" w:hAnsi="Cambria Math"/>
                <w:lang w:eastAsia="zh-CN"/>
              </w:rPr>
              <m:t>g</m:t>
            </m:r>
          </m:sup>
        </m:sSubSup>
        <m:r>
          <w:rPr>
            <w:rFonts w:ascii="Cambria Math" w:hAnsi="Cambria Math"/>
            <w:lang w:eastAsia="zh-CN"/>
          </w:rPr>
          <m:t xml:space="preserve">= </m:t>
        </m:r>
        <m:sSup>
          <m:sSupPr>
            <m:ctrlPr>
              <w:rPr>
                <w:rFonts w:ascii="Cambria Math" w:hAnsi="Cambria Math"/>
                <w:i/>
              </w:rPr>
            </m:ctrlPr>
          </m:sSupPr>
          <m:e>
            <m:r>
              <w:rPr>
                <w:rFonts w:ascii="Cambria Math" w:hAnsi="Cambria Math"/>
                <w:lang w:eastAsia="zh-CN"/>
              </w:rPr>
              <m:t>Y</m:t>
            </m:r>
          </m:e>
          <m:sup>
            <m:r>
              <w:rPr>
                <w:rFonts w:ascii="Cambria Math" w:hAnsi="Cambria Math"/>
                <w:lang w:eastAsia="zh-CN"/>
              </w:rPr>
              <m:t>gλ</m:t>
            </m:r>
          </m:sup>
        </m:sSup>
        <m:r>
          <w:rPr>
            <w:rFonts w:ascii="Cambria Math" w:hAnsi="Cambria Math"/>
            <w:lang w:eastAsia="zh-CN"/>
          </w:rPr>
          <m:t xml:space="preserve">- </m:t>
        </m:r>
        <m:sSup>
          <m:sSupPr>
            <m:ctrlPr>
              <w:rPr>
                <w:rFonts w:ascii="Cambria Math" w:hAnsi="Cambria Math"/>
                <w:i/>
              </w:rPr>
            </m:ctrlPr>
          </m:sSupPr>
          <m:e>
            <m:r>
              <w:rPr>
                <w:rFonts w:ascii="Cambria Math" w:hAnsi="Cambria Math"/>
                <w:lang w:eastAsia="zh-CN"/>
              </w:rPr>
              <m:t>s</m:t>
            </m:r>
          </m:e>
          <m:sup>
            <m:r>
              <w:rPr>
                <w:rFonts w:ascii="Cambria Math" w:hAnsi="Cambria Math"/>
                <w:lang w:eastAsia="zh-CN"/>
              </w:rPr>
              <m:t>g</m:t>
            </m:r>
          </m:sup>
        </m:sSup>
        <m:r>
          <w:rPr>
            <w:rFonts w:ascii="Cambria Math" w:hAnsi="Cambria Math"/>
            <w:lang w:eastAsia="zh-CN"/>
          </w:rPr>
          <m:t xml:space="preserve">;   </m:t>
        </m:r>
        <m:sSubSup>
          <m:sSubSupPr>
            <m:ctrlPr>
              <w:rPr>
                <w:rFonts w:ascii="Cambria Math" w:hAnsi="Cambria Math"/>
                <w:i/>
              </w:rPr>
            </m:ctrlPr>
          </m:sSubSupPr>
          <m:e>
            <m:r>
              <w:rPr>
                <w:rFonts w:ascii="Cambria Math" w:hAnsi="Cambria Math"/>
                <w:lang w:eastAsia="zh-CN"/>
              </w:rPr>
              <m:t>y</m:t>
            </m:r>
          </m:e>
          <m:sub>
            <m:r>
              <w:rPr>
                <w:rFonts w:ascii="Cambria Math" w:hAnsi="Cambria Math"/>
                <w:lang w:eastAsia="zh-CN"/>
              </w:rPr>
              <m:t>o</m:t>
            </m:r>
          </m:sub>
          <m:sup>
            <m:r>
              <w:rPr>
                <w:rFonts w:ascii="Cambria Math" w:hAnsi="Cambria Math"/>
                <w:lang w:eastAsia="zh-CN"/>
              </w:rPr>
              <m:t>b</m:t>
            </m:r>
          </m:sup>
        </m:sSubSup>
        <m:r>
          <w:rPr>
            <w:rFonts w:ascii="Cambria Math" w:hAnsi="Cambria Math"/>
            <w:lang w:eastAsia="zh-CN"/>
          </w:rPr>
          <m:t xml:space="preserve">= </m:t>
        </m:r>
        <m:sSup>
          <m:sSupPr>
            <m:ctrlPr>
              <w:rPr>
                <w:rFonts w:ascii="Cambria Math" w:hAnsi="Cambria Math"/>
                <w:i/>
              </w:rPr>
            </m:ctrlPr>
          </m:sSupPr>
          <m:e>
            <m:r>
              <w:rPr>
                <w:rFonts w:ascii="Cambria Math" w:hAnsi="Cambria Math"/>
                <w:lang w:eastAsia="zh-CN"/>
              </w:rPr>
              <m:t>Y</m:t>
            </m:r>
          </m:e>
          <m:sup>
            <m:r>
              <w:rPr>
                <w:rFonts w:ascii="Cambria Math" w:hAnsi="Cambria Math"/>
                <w:lang w:eastAsia="zh-CN"/>
              </w:rPr>
              <m:t>bλ</m:t>
            </m:r>
          </m:sup>
        </m:sSup>
        <m:r>
          <w:rPr>
            <w:rFonts w:ascii="Cambria Math" w:hAnsi="Cambria Math"/>
            <w:lang w:eastAsia="zh-CN"/>
          </w:rPr>
          <m:t xml:space="preserve">+ </m:t>
        </m:r>
        <m:sSup>
          <m:sSupPr>
            <m:ctrlPr>
              <w:rPr>
                <w:rFonts w:ascii="Cambria Math" w:hAnsi="Cambria Math"/>
                <w:i/>
              </w:rPr>
            </m:ctrlPr>
          </m:sSupPr>
          <m:e>
            <m:r>
              <w:rPr>
                <w:rFonts w:ascii="Cambria Math" w:hAnsi="Cambria Math"/>
                <w:lang w:eastAsia="zh-CN"/>
              </w:rPr>
              <m:t>s</m:t>
            </m:r>
          </m:e>
          <m:sup>
            <m:r>
              <w:rPr>
                <w:rFonts w:ascii="Cambria Math" w:hAnsi="Cambria Math"/>
                <w:lang w:eastAsia="zh-CN"/>
              </w:rPr>
              <m:t>b</m:t>
            </m:r>
          </m:sup>
        </m:sSup>
        <m:r>
          <w:rPr>
            <w:rFonts w:ascii="Cambria Math" w:hAnsi="Cambria Math"/>
            <w:lang w:eastAsia="zh-CN"/>
          </w:rPr>
          <m:t>;   λ ≥ 0</m:t>
        </m:r>
      </m:oMath>
    </w:p>
    <w:p w14:paraId="777A3A11" w14:textId="77777777" w:rsidR="00B84757" w:rsidRDefault="00000000">
      <w:pPr>
        <w:rPr>
          <w:lang w:eastAsia="zh-CN"/>
        </w:rPr>
      </w:pPr>
      <w:r>
        <w:rPr>
          <w:lang w:eastAsia="zh-CN"/>
        </w:rPr>
        <w:t>其中，</w:t>
      </w:r>
      <m:oMath>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o</m:t>
            </m:r>
          </m:sub>
        </m:sSub>
      </m:oMath>
      <w:r>
        <w:rPr>
          <w:lang w:eastAsia="zh-CN"/>
        </w:rPr>
        <w:t xml:space="preserve"> </w:t>
      </w:r>
      <w:r>
        <w:rPr>
          <w:lang w:eastAsia="zh-CN"/>
        </w:rPr>
        <w:t>为投入向量，</w:t>
      </w:r>
      <m:oMath>
        <m:sSubSup>
          <m:sSubSupPr>
            <m:ctrlPr>
              <w:rPr>
                <w:rFonts w:ascii="Cambria Math" w:hAnsi="Cambria Math"/>
                <w:i/>
                <w:lang w:eastAsia="zh-CN"/>
              </w:rPr>
            </m:ctrlPr>
          </m:sSubSupPr>
          <m:e>
            <m:r>
              <w:rPr>
                <w:rFonts w:ascii="Cambria Math" w:hAnsi="Cambria Math"/>
                <w:lang w:eastAsia="zh-CN"/>
              </w:rPr>
              <m:t>y</m:t>
            </m:r>
          </m:e>
          <m:sub>
            <m:r>
              <w:rPr>
                <w:rFonts w:ascii="Cambria Math" w:hAnsi="Cambria Math"/>
                <w:lang w:eastAsia="zh-CN"/>
              </w:rPr>
              <m:t>o</m:t>
            </m:r>
          </m:sub>
          <m:sup>
            <m:r>
              <w:rPr>
                <w:rFonts w:ascii="Cambria Math" w:hAnsi="Cambria Math"/>
                <w:lang w:eastAsia="zh-CN"/>
              </w:rPr>
              <m:t>g</m:t>
            </m:r>
          </m:sup>
        </m:sSubSup>
      </m:oMath>
      <w:r>
        <w:rPr>
          <w:lang w:eastAsia="zh-CN"/>
        </w:rPr>
        <w:t xml:space="preserve"> </w:t>
      </w:r>
      <w:r>
        <w:rPr>
          <w:lang w:eastAsia="zh-CN"/>
        </w:rPr>
        <w:t>为期望产出，</w:t>
      </w:r>
      <m:oMath>
        <m:sSubSup>
          <m:sSubSupPr>
            <m:ctrlPr>
              <w:rPr>
                <w:rFonts w:ascii="Cambria Math" w:hAnsi="Cambria Math"/>
                <w:i/>
                <w:lang w:eastAsia="zh-CN"/>
              </w:rPr>
            </m:ctrlPr>
          </m:sSubSupPr>
          <m:e>
            <m:r>
              <w:rPr>
                <w:rFonts w:ascii="Cambria Math" w:hAnsi="Cambria Math"/>
                <w:lang w:eastAsia="zh-CN"/>
              </w:rPr>
              <m:t>y</m:t>
            </m:r>
          </m:e>
          <m:sub>
            <m:r>
              <w:rPr>
                <w:rFonts w:ascii="Cambria Math" w:hAnsi="Cambria Math"/>
                <w:lang w:eastAsia="zh-CN"/>
              </w:rPr>
              <m:t>o</m:t>
            </m:r>
          </m:sub>
          <m:sup>
            <m:r>
              <w:rPr>
                <w:rFonts w:ascii="Cambria Math" w:hAnsi="Cambria Math"/>
                <w:lang w:eastAsia="zh-CN"/>
              </w:rPr>
              <m:t>b</m:t>
            </m:r>
          </m:sup>
        </m:sSubSup>
      </m:oMath>
      <w:r>
        <w:rPr>
          <w:lang w:eastAsia="zh-CN"/>
        </w:rPr>
        <w:t xml:space="preserve"> </w:t>
      </w:r>
      <w:r>
        <w:rPr>
          <w:lang w:eastAsia="zh-CN"/>
        </w:rPr>
        <w:t>为非期望产出，</w:t>
      </w:r>
      <m:oMath>
        <m:sSup>
          <m:sSupPr>
            <m:ctrlPr>
              <w:rPr>
                <w:rFonts w:ascii="Cambria Math" w:hAnsi="Cambria Math"/>
                <w:i/>
                <w:lang w:eastAsia="zh-CN"/>
              </w:rPr>
            </m:ctrlPr>
          </m:sSupPr>
          <m:e>
            <m:r>
              <w:rPr>
                <w:rFonts w:ascii="Cambria Math" w:hAnsi="Cambria Math"/>
                <w:lang w:eastAsia="zh-CN"/>
              </w:rPr>
              <m:t>s</m:t>
            </m:r>
          </m:e>
          <m:sup>
            <m:r>
              <w:rPr>
                <w:rFonts w:ascii="Cambria Math" w:hAnsi="Cambria Math"/>
                <w:lang w:eastAsia="zh-CN"/>
              </w:rPr>
              <m:t>-</m:t>
            </m:r>
            <m:r>
              <w:rPr>
                <w:rFonts w:ascii="Cambria Math" w:hAnsi="Cambria Math"/>
                <w:lang w:eastAsia="zh-CN"/>
              </w:rPr>
              <m:t>、</m:t>
            </m:r>
            <m:sSup>
              <m:sSupPr>
                <m:ctrlPr>
                  <w:rPr>
                    <w:rFonts w:ascii="Cambria Math" w:hAnsi="Cambria Math"/>
                    <w:i/>
                    <w:lang w:eastAsia="zh-CN"/>
                  </w:rPr>
                </m:ctrlPr>
              </m:sSupPr>
              <m:e>
                <m:r>
                  <w:rPr>
                    <w:rFonts w:ascii="Cambria Math" w:hAnsi="Cambria Math"/>
                    <w:lang w:eastAsia="zh-CN"/>
                  </w:rPr>
                  <m:t>s</m:t>
                </m:r>
              </m:e>
              <m:sup>
                <m:r>
                  <w:rPr>
                    <w:rFonts w:ascii="Cambria Math" w:hAnsi="Cambria Math"/>
                    <w:lang w:eastAsia="zh-CN"/>
                  </w:rPr>
                  <m:t>g</m:t>
                </m:r>
                <m:r>
                  <w:rPr>
                    <w:rFonts w:ascii="Cambria Math" w:hAnsi="Cambria Math"/>
                    <w:lang w:eastAsia="zh-CN"/>
                  </w:rPr>
                  <m:t>、</m:t>
                </m:r>
                <m:sSup>
                  <m:sSupPr>
                    <m:ctrlPr>
                      <w:rPr>
                        <w:rFonts w:ascii="Cambria Math" w:hAnsi="Cambria Math"/>
                        <w:i/>
                        <w:lang w:eastAsia="zh-CN"/>
                      </w:rPr>
                    </m:ctrlPr>
                  </m:sSupPr>
                  <m:e>
                    <m:r>
                      <w:rPr>
                        <w:rFonts w:ascii="Cambria Math" w:hAnsi="Cambria Math"/>
                        <w:lang w:eastAsia="zh-CN"/>
                      </w:rPr>
                      <m:t>s</m:t>
                    </m:r>
                  </m:e>
                  <m:sup>
                    <m:r>
                      <w:rPr>
                        <w:rFonts w:ascii="Cambria Math" w:hAnsi="Cambria Math"/>
                        <w:lang w:eastAsia="zh-CN"/>
                      </w:rPr>
                      <m:t>b</m:t>
                    </m:r>
                  </m:sup>
                </m:sSup>
              </m:sup>
            </m:sSup>
          </m:sup>
        </m:sSup>
      </m:oMath>
      <w:r>
        <w:rPr>
          <w:lang w:eastAsia="zh-CN"/>
        </w:rPr>
        <w:t xml:space="preserve"> </w:t>
      </w:r>
      <w:r>
        <w:rPr>
          <w:lang w:eastAsia="zh-CN"/>
        </w:rPr>
        <w:t>分别表示投入冗余、期望产出不足和非期望产出冗余。</w:t>
      </w:r>
    </w:p>
    <w:p w14:paraId="27129AB5" w14:textId="77777777" w:rsidR="00B84757" w:rsidRDefault="00000000">
      <w:pPr>
        <w:pStyle w:val="21"/>
        <w:rPr>
          <w:lang w:eastAsia="zh-CN"/>
        </w:rPr>
      </w:pPr>
      <w:r>
        <w:rPr>
          <w:lang w:eastAsia="zh-CN"/>
        </w:rPr>
        <w:t>（三）</w:t>
      </w:r>
      <w:r>
        <w:rPr>
          <w:lang w:eastAsia="zh-CN"/>
        </w:rPr>
        <w:t>Malmquist</w:t>
      </w:r>
      <w:r>
        <w:rPr>
          <w:lang w:eastAsia="zh-CN"/>
        </w:rPr>
        <w:t>指数分解</w:t>
      </w:r>
    </w:p>
    <w:p w14:paraId="0FC5E766" w14:textId="77777777" w:rsidR="00B84757" w:rsidRDefault="00000000">
      <w:pPr>
        <w:rPr>
          <w:lang w:eastAsia="zh-CN"/>
        </w:rPr>
      </w:pPr>
      <w:r>
        <w:rPr>
          <w:lang w:eastAsia="zh-CN"/>
        </w:rPr>
        <w:t>本文采用全局参比</w:t>
      </w:r>
      <w:r>
        <w:rPr>
          <w:lang w:eastAsia="zh-CN"/>
        </w:rPr>
        <w:t>Malmquist</w:t>
      </w:r>
      <w:r>
        <w:rPr>
          <w:lang w:eastAsia="zh-CN"/>
        </w:rPr>
        <w:t>指数考察碳排放效率的动态演进，其基本形式为：</w:t>
      </w:r>
    </w:p>
    <w:p w14:paraId="364AFF22" w14:textId="77777777" w:rsidR="00B84757" w:rsidRDefault="00000000">
      <w:pPr>
        <w:pStyle w:val="aff7"/>
      </w:pPr>
      <w:r>
        <w:t>公式（</w:t>
      </w:r>
      <w:r>
        <w:t>A6</w:t>
      </w:r>
      <w:r>
        <w:t>）</w:t>
      </w:r>
      <w:r>
        <w:t xml:space="preserve">  </w:t>
      </w:r>
      <m:oMath>
        <m:r>
          <w:rPr>
            <w:rFonts w:ascii="Cambria Math" w:hAnsi="Cambria Math"/>
          </w:rPr>
          <m:t xml:space="preserve">Malmquist =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x</m:t>
                                    </m:r>
                                  </m:e>
                                  <m:sub>
                                    <m:d>
                                      <m:dPr>
                                        <m:begChr m:val="{"/>
                                        <m:endChr m:val="}"/>
                                        <m:ctrlPr>
                                          <w:rPr>
                                            <w:rFonts w:ascii="Cambria Math" w:hAnsi="Cambria Math"/>
                                            <w:i/>
                                          </w:rPr>
                                        </m:ctrlPr>
                                      </m:dPr>
                                      <m:e>
                                        <m:r>
                                          <w:rPr>
                                            <w:rFonts w:ascii="Cambria Math" w:hAnsi="Cambria Math"/>
                                          </w:rPr>
                                          <m:t>t+1</m:t>
                                        </m:r>
                                      </m:e>
                                    </m:d>
                                  </m:sub>
                                </m:sSub>
                                <m:r>
                                  <w:rPr>
                                    <w:rFonts w:ascii="Cambria Math" w:hAnsi="Cambria Math"/>
                                  </w:rPr>
                                  <m:t xml:space="preserve">, </m:t>
                                </m:r>
                                <m:sSub>
                                  <m:sSubPr>
                                    <m:ctrlPr>
                                      <w:rPr>
                                        <w:rFonts w:ascii="Cambria Math" w:hAnsi="Cambria Math"/>
                                        <w:i/>
                                      </w:rPr>
                                    </m:ctrlPr>
                                  </m:sSubPr>
                                  <m:e>
                                    <m:r>
                                      <w:rPr>
                                        <w:rFonts w:ascii="Cambria Math" w:hAnsi="Cambria Math"/>
                                      </w:rPr>
                                      <m:t>y</m:t>
                                    </m:r>
                                  </m:e>
                                  <m:sub>
                                    <m:d>
                                      <m:dPr>
                                        <m:begChr m:val="{"/>
                                        <m:endChr m:val="}"/>
                                        <m:ctrlPr>
                                          <w:rPr>
                                            <w:rFonts w:ascii="Cambria Math" w:hAnsi="Cambria Math"/>
                                            <w:i/>
                                          </w:rPr>
                                        </m:ctrlPr>
                                      </m:dPr>
                                      <m:e>
                                        <m:r>
                                          <w:rPr>
                                            <w:rFonts w:ascii="Cambria Math" w:hAnsi="Cambria Math"/>
                                          </w:rPr>
                                          <m:t>t+1</m:t>
                                        </m:r>
                                      </m:e>
                                    </m:d>
                                  </m:sub>
                                </m:sSub>
                              </m:e>
                            </m:d>
                          </m:sub>
                        </m:sSub>
                      </m:num>
                      <m:den>
                        <m:sSub>
                          <m:sSubPr>
                            <m:ctrlPr>
                              <w:rPr>
                                <w:rFonts w:ascii="Cambria Math" w:hAnsi="Cambria Math"/>
                                <w:i/>
                              </w:rPr>
                            </m:ctrlPr>
                          </m:sSubPr>
                          <m:e>
                            <m:r>
                              <w:rPr>
                                <w:rFonts w:ascii="Cambria Math" w:hAnsi="Cambria Math"/>
                              </w:rPr>
                              <m:t>D</m:t>
                            </m:r>
                          </m:e>
                          <m:sub>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t</m:t>
                                    </m:r>
                                  </m:sub>
                                </m:sSub>
                              </m:e>
                            </m:d>
                          </m:sub>
                        </m:sSub>
                      </m:den>
                    </m:f>
                  </m:e>
                </m:d>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t+1</m:t>
                                </m:r>
                              </m:e>
                            </m:d>
                            <m:d>
                              <m:dPr>
                                <m:ctrlPr>
                                  <w:rPr>
                                    <w:rFonts w:ascii="Cambria Math" w:hAnsi="Cambria Math"/>
                                    <w:i/>
                                  </w:rPr>
                                </m:ctrlPr>
                              </m:dPr>
                              <m:e>
                                <m:sSub>
                                  <m:sSubPr>
                                    <m:ctrlPr>
                                      <w:rPr>
                                        <w:rFonts w:ascii="Cambria Math" w:hAnsi="Cambria Math"/>
                                        <w:i/>
                                      </w:rPr>
                                    </m:ctrlPr>
                                  </m:sSubPr>
                                  <m:e>
                                    <m:r>
                                      <w:rPr>
                                        <w:rFonts w:ascii="Cambria Math" w:hAnsi="Cambria Math"/>
                                      </w:rPr>
                                      <m:t>x</m:t>
                                    </m:r>
                                  </m:e>
                                  <m:sub>
                                    <m:d>
                                      <m:dPr>
                                        <m:begChr m:val="{"/>
                                        <m:endChr m:val="}"/>
                                        <m:ctrlPr>
                                          <w:rPr>
                                            <w:rFonts w:ascii="Cambria Math" w:hAnsi="Cambria Math"/>
                                            <w:i/>
                                          </w:rPr>
                                        </m:ctrlPr>
                                      </m:dPr>
                                      <m:e>
                                        <m:r>
                                          <w:rPr>
                                            <w:rFonts w:ascii="Cambria Math" w:hAnsi="Cambria Math"/>
                                          </w:rPr>
                                          <m:t>t+1</m:t>
                                        </m:r>
                                      </m:e>
                                    </m:d>
                                  </m:sub>
                                </m:sSub>
                                <m:r>
                                  <w:rPr>
                                    <w:rFonts w:ascii="Cambria Math" w:hAnsi="Cambria Math"/>
                                  </w:rPr>
                                  <m:t xml:space="preserve">, </m:t>
                                </m:r>
                                <m:sSub>
                                  <m:sSubPr>
                                    <m:ctrlPr>
                                      <w:rPr>
                                        <w:rFonts w:ascii="Cambria Math" w:hAnsi="Cambria Math"/>
                                        <w:i/>
                                      </w:rPr>
                                    </m:ctrlPr>
                                  </m:sSubPr>
                                  <m:e>
                                    <m:r>
                                      <w:rPr>
                                        <w:rFonts w:ascii="Cambria Math" w:hAnsi="Cambria Math"/>
                                      </w:rPr>
                                      <m:t>y</m:t>
                                    </m:r>
                                  </m:e>
                                  <m:sub>
                                    <m:d>
                                      <m:dPr>
                                        <m:begChr m:val="{"/>
                                        <m:endChr m:val="}"/>
                                        <m:ctrlPr>
                                          <w:rPr>
                                            <w:rFonts w:ascii="Cambria Math" w:hAnsi="Cambria Math"/>
                                            <w:i/>
                                          </w:rPr>
                                        </m:ctrlPr>
                                      </m:dPr>
                                      <m:e>
                                        <m:r>
                                          <w:rPr>
                                            <w:rFonts w:ascii="Cambria Math" w:hAnsi="Cambria Math"/>
                                          </w:rPr>
                                          <m:t>t+1</m:t>
                                        </m:r>
                                      </m:e>
                                    </m:d>
                                  </m:sub>
                                </m:sSub>
                              </m:e>
                            </m:d>
                          </m:sub>
                        </m:sSub>
                      </m:num>
                      <m:den>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t+1</m:t>
                                </m:r>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t</m:t>
                                    </m:r>
                                  </m:sub>
                                </m:sSub>
                              </m:e>
                            </m:d>
                          </m:sub>
                        </m:sSub>
                      </m:den>
                    </m:f>
                  </m:e>
                </m:d>
              </m:e>
            </m:d>
          </m:e>
          <m: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sup>
        </m:sSup>
      </m:oMath>
    </w:p>
    <w:p w14:paraId="762A9556" w14:textId="77777777" w:rsidR="00B84757" w:rsidRDefault="00000000">
      <w:pPr>
        <w:rPr>
          <w:lang w:eastAsia="zh-CN"/>
        </w:rPr>
      </w:pPr>
      <w:r>
        <w:rPr>
          <w:lang w:eastAsia="zh-CN"/>
        </w:rPr>
        <w:t>进一步地，全要素生产率变化指数可分解为技术效率变化和技术进步两部分：</w:t>
      </w:r>
    </w:p>
    <w:p w14:paraId="5AB00A36" w14:textId="77777777" w:rsidR="00B84757" w:rsidRDefault="00000000">
      <w:pPr>
        <w:pStyle w:val="aff7"/>
      </w:pPr>
      <w:r>
        <w:t>公式（</w:t>
      </w:r>
      <w:r>
        <w:t>A7</w:t>
      </w:r>
      <w:r>
        <w:t>）</w:t>
      </w:r>
      <w:r>
        <w:t xml:space="preserve">  </w:t>
      </w:r>
      <m:oMath>
        <m:r>
          <w:rPr>
            <w:rFonts w:ascii="Cambria Math" w:hAnsi="Cambria Math"/>
          </w:rPr>
          <m:t>tfpch = effch × techch</m:t>
        </m:r>
      </m:oMath>
    </w:p>
    <w:p w14:paraId="2E84B121" w14:textId="77777777" w:rsidR="00B84757" w:rsidRDefault="00000000">
      <w:pPr>
        <w:pStyle w:val="21"/>
        <w:rPr>
          <w:lang w:eastAsia="zh-CN"/>
        </w:rPr>
      </w:pPr>
      <w:r>
        <w:rPr>
          <w:lang w:eastAsia="zh-CN"/>
        </w:rPr>
        <w:t>（四）双向固定效应模型</w:t>
      </w:r>
    </w:p>
    <w:p w14:paraId="338C0DF7" w14:textId="77777777" w:rsidR="00B84757" w:rsidRDefault="00000000">
      <w:pPr>
        <w:rPr>
          <w:lang w:eastAsia="zh-CN"/>
        </w:rPr>
      </w:pPr>
      <w:r>
        <w:rPr>
          <w:lang w:eastAsia="zh-CN"/>
        </w:rPr>
        <w:t>第二阶段回归模型设定如下：</w:t>
      </w:r>
    </w:p>
    <w:p w14:paraId="1F008171" w14:textId="77777777" w:rsidR="00B84757" w:rsidRDefault="00000000">
      <w:pPr>
        <w:pStyle w:val="aff7"/>
      </w:pPr>
      <w:r>
        <w:t>公式（</w:t>
      </w:r>
      <w:r>
        <w:t>A8</w:t>
      </w:r>
      <w:r>
        <w:t>）</w:t>
      </w:r>
      <w:r>
        <w:t xml:space="preserve">  </w:t>
      </w:r>
      <m:oMath>
        <m:r>
          <w:rPr>
            <w:rFonts w:ascii="Cambria Math" w:hAnsi="Cambria Math"/>
          </w:rPr>
          <m:t>ef</m:t>
        </m:r>
        <m:sSub>
          <m:sSubPr>
            <m:ctrlPr>
              <w:rPr>
                <w:rFonts w:ascii="Cambria Math" w:hAnsi="Cambria Math"/>
                <w:i/>
              </w:rPr>
            </m:ctrlPr>
          </m:sSubPr>
          <m:e>
            <m:r>
              <w:rPr>
                <w:rFonts w:ascii="Cambria Math" w:hAnsi="Cambria Math"/>
              </w:rPr>
              <m:t>f</m:t>
            </m:r>
          </m:e>
          <m:sub>
            <m:r>
              <w:rPr>
                <w:rFonts w:ascii="Cambria Math" w:hAnsi="Cambria Math"/>
              </w:rPr>
              <m:t>it</m:t>
            </m:r>
          </m:sub>
        </m:sSub>
        <m:r>
          <w:rPr>
            <w:rFonts w:ascii="Cambria Math" w:hAnsi="Cambria Math"/>
          </w:rPr>
          <m:t xml:space="preserve">= α +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lnt</m:t>
        </m:r>
        <m:sSub>
          <m:sSubPr>
            <m:ctrlPr>
              <w:rPr>
                <w:rFonts w:ascii="Cambria Math" w:hAnsi="Cambria Math"/>
                <w:i/>
              </w:rPr>
            </m:ctrlPr>
          </m:sSubPr>
          <m:e>
            <m:r>
              <w:rPr>
                <w:rFonts w:ascii="Cambria Math" w:hAnsi="Cambria Math"/>
              </w:rPr>
              <m:t>l</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in</m:t>
        </m:r>
        <m:sSub>
          <m:sSubPr>
            <m:ctrlPr>
              <w:rPr>
                <w:rFonts w:ascii="Cambria Math" w:hAnsi="Cambria Math"/>
                <w:i/>
              </w:rPr>
            </m:ctrlPr>
          </m:sSubPr>
          <m:e>
            <m:r>
              <w:rPr>
                <w:rFonts w:ascii="Cambria Math" w:hAnsi="Cambria Math"/>
              </w:rPr>
              <m:t>d</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ur</m:t>
        </m:r>
        <m:sSub>
          <m:sSubPr>
            <m:ctrlPr>
              <w:rPr>
                <w:rFonts w:ascii="Cambria Math" w:hAnsi="Cambria Math"/>
                <w:i/>
              </w:rPr>
            </m:ctrlPr>
          </m:sSubPr>
          <m:e>
            <m:r>
              <w:rPr>
                <w:rFonts w:ascii="Cambria Math" w:hAnsi="Cambria Math"/>
              </w:rPr>
              <m:t>b</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r</m:t>
        </m:r>
        <m:sSub>
          <m:sSubPr>
            <m:ctrlPr>
              <w:rPr>
                <w:rFonts w:ascii="Cambria Math" w:hAnsi="Cambria Math"/>
                <w:i/>
              </w:rPr>
            </m:ctrlPr>
          </m:sSubPr>
          <m:e>
            <m:r>
              <w:rPr>
                <w:rFonts w:ascii="Cambria Math" w:hAnsi="Cambria Math"/>
              </w:rPr>
              <m:t>d</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ope</m:t>
        </m:r>
        <m:sSub>
          <m:sSubPr>
            <m:ctrlPr>
              <w:rPr>
                <w:rFonts w:ascii="Cambria Math" w:hAnsi="Cambria Math"/>
                <w:i/>
              </w:rPr>
            </m:ctrlPr>
          </m:sSubPr>
          <m:e>
            <m:r>
              <w:rPr>
                <w:rFonts w:ascii="Cambria Math" w:hAnsi="Cambria Math"/>
              </w:rPr>
              <m:t>n</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e</m:t>
        </m:r>
        <m:sSub>
          <m:sSubPr>
            <m:ctrlPr>
              <w:rPr>
                <w:rFonts w:ascii="Cambria Math" w:hAnsi="Cambria Math"/>
                <w:i/>
              </w:rPr>
            </m:ctrlPr>
          </m:sSubPr>
          <m:e>
            <m:r>
              <w:rPr>
                <w:rFonts w:ascii="Cambria Math" w:hAnsi="Cambria Math"/>
              </w:rPr>
              <m:t>s</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it</m:t>
            </m:r>
          </m:sub>
        </m:sSub>
      </m:oMath>
    </w:p>
    <w:p w14:paraId="7172952E" w14:textId="77777777" w:rsidR="00B84757" w:rsidRDefault="00000000">
      <w:pPr>
        <w:rPr>
          <w:lang w:eastAsia="zh-CN"/>
        </w:rPr>
      </w:pPr>
      <w:r>
        <w:rPr>
          <w:lang w:eastAsia="zh-CN"/>
        </w:rPr>
        <w:t>其中，</w:t>
      </w:r>
      <m:oMath>
        <m:sSub>
          <m:sSubPr>
            <m:ctrlPr>
              <w:rPr>
                <w:rFonts w:ascii="Cambria Math" w:hAnsi="Cambria Math"/>
                <w:i/>
                <w:lang w:eastAsia="zh-CN"/>
              </w:rPr>
            </m:ctrlPr>
          </m:sSubPr>
          <m:e>
            <m:r>
              <w:rPr>
                <w:rFonts w:ascii="Cambria Math" w:hAnsi="Cambria Math"/>
                <w:lang w:eastAsia="zh-CN"/>
              </w:rPr>
              <m:t>μ</m:t>
            </m:r>
          </m:e>
          <m:sub>
            <m:r>
              <w:rPr>
                <w:rFonts w:ascii="Cambria Math" w:hAnsi="Cambria Math"/>
                <w:lang w:eastAsia="zh-CN"/>
              </w:rPr>
              <m:t>i</m:t>
            </m:r>
          </m:sub>
        </m:sSub>
      </m:oMath>
      <w:r>
        <w:rPr>
          <w:lang w:eastAsia="zh-CN"/>
        </w:rPr>
        <w:t xml:space="preserve"> </w:t>
      </w:r>
      <w:r>
        <w:rPr>
          <w:lang w:eastAsia="zh-CN"/>
        </w:rPr>
        <w:t>表示省份固定效应，</w:t>
      </w:r>
      <m:oMath>
        <m:sSub>
          <m:sSubPr>
            <m:ctrlPr>
              <w:rPr>
                <w:rFonts w:ascii="Cambria Math" w:hAnsi="Cambria Math"/>
                <w:i/>
                <w:lang w:eastAsia="zh-CN"/>
              </w:rPr>
            </m:ctrlPr>
          </m:sSubPr>
          <m:e>
            <m:r>
              <w:rPr>
                <w:rFonts w:ascii="Cambria Math" w:hAnsi="Cambria Math"/>
                <w:lang w:eastAsia="zh-CN"/>
              </w:rPr>
              <m:t>γ</m:t>
            </m:r>
          </m:e>
          <m:sub>
            <m:r>
              <w:rPr>
                <w:rFonts w:ascii="Cambria Math" w:hAnsi="Cambria Math"/>
                <w:lang w:eastAsia="zh-CN"/>
              </w:rPr>
              <m:t>t</m:t>
            </m:r>
          </m:sub>
        </m:sSub>
      </m:oMath>
      <w:r>
        <w:rPr>
          <w:lang w:eastAsia="zh-CN"/>
        </w:rPr>
        <w:t>表示年份固定效应，</w:t>
      </w:r>
      <m:oMath>
        <m:sSub>
          <m:sSubPr>
            <m:ctrlPr>
              <w:rPr>
                <w:rFonts w:ascii="Cambria Math" w:hAnsi="Cambria Math"/>
                <w:i/>
                <w:lang w:eastAsia="zh-CN"/>
              </w:rPr>
            </m:ctrlPr>
          </m:sSubPr>
          <m:e>
            <m:r>
              <w:rPr>
                <w:rFonts w:ascii="Cambria Math" w:hAnsi="Cambria Math"/>
                <w:lang w:eastAsia="zh-CN"/>
              </w:rPr>
              <m:t>ε</m:t>
            </m:r>
          </m:e>
          <m:sub>
            <m:r>
              <w:rPr>
                <w:rFonts w:ascii="Cambria Math" w:hAnsi="Cambria Math"/>
                <w:lang w:eastAsia="zh-CN"/>
              </w:rPr>
              <m:t>it</m:t>
            </m:r>
          </m:sub>
        </m:sSub>
      </m:oMath>
      <w:r>
        <w:rPr>
          <w:lang w:eastAsia="zh-CN"/>
        </w:rPr>
        <w:t xml:space="preserve"> </w:t>
      </w:r>
      <w:r>
        <w:rPr>
          <w:lang w:eastAsia="zh-CN"/>
        </w:rPr>
        <w:t>为随机扰动项。</w:t>
      </w:r>
    </w:p>
    <w:p w14:paraId="53D1EA57" w14:textId="77777777" w:rsidR="00B84757" w:rsidRDefault="00000000">
      <w:pPr>
        <w:pStyle w:val="21"/>
      </w:pPr>
      <w:r>
        <w:t>（五）全局</w:t>
      </w:r>
      <w:r>
        <w:t>Moran’s I</w:t>
      </w:r>
    </w:p>
    <w:p w14:paraId="3717E359" w14:textId="77777777" w:rsidR="00B84757" w:rsidRDefault="00000000">
      <w:pPr>
        <w:rPr>
          <w:lang w:eastAsia="zh-CN"/>
        </w:rPr>
      </w:pPr>
      <w:r>
        <w:rPr>
          <w:lang w:eastAsia="zh-CN"/>
        </w:rPr>
        <w:t>为检验省域碳排放效率的空间相关性，本文采用全局</w:t>
      </w:r>
      <w:r>
        <w:rPr>
          <w:lang w:eastAsia="zh-CN"/>
        </w:rPr>
        <w:t>Moran’s I</w:t>
      </w:r>
      <w:r>
        <w:rPr>
          <w:lang w:eastAsia="zh-CN"/>
        </w:rPr>
        <w:t>统计量：</w:t>
      </w:r>
    </w:p>
    <w:p w14:paraId="2A799BB5" w14:textId="77777777" w:rsidR="00B84757" w:rsidRDefault="00000000">
      <w:pPr>
        <w:pStyle w:val="aff7"/>
      </w:pPr>
      <w:r>
        <w:lastRenderedPageBreak/>
        <w:t>公式（</w:t>
      </w:r>
      <w:r>
        <w:t>A9</w:t>
      </w:r>
      <w:r>
        <w:t>）</w:t>
      </w:r>
      <w:r>
        <w:t xml:space="preserve">  </w:t>
      </w:r>
      <m:oMath>
        <m:r>
          <w:rPr>
            <w:rFonts w:ascii="Cambria Math" w:hAnsi="Cambria Math"/>
          </w:rPr>
          <m:t xml:space="preserve">I = </m:t>
        </m:r>
        <m:d>
          <m:dPr>
            <m:begChr m:val="["/>
            <m:endChr m:val="]"/>
            <m:ctrlPr>
              <w:rPr>
                <w:rFonts w:ascii="Cambria Math" w:hAnsi="Cambria Math"/>
                <w:i/>
              </w:rPr>
            </m:ctrlPr>
          </m:dPr>
          <m:e>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S</m:t>
                    </m:r>
                  </m:e>
                  <m:sub>
                    <m:r>
                      <w:rPr>
                        <w:rFonts w:ascii="Cambria Math" w:hAnsi="Cambria Math"/>
                      </w:rPr>
                      <m:t>0</m:t>
                    </m:r>
                  </m:sub>
                </m:sSub>
              </m:den>
            </m:f>
          </m:e>
        </m:d>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i</m:t>
                    </m:r>
                  </m:sub>
                </m:sSub>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w</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num>
              <m:den>
                <m:sSub>
                  <m:sSubPr>
                    <m:ctrlPr>
                      <w:rPr>
                        <w:rFonts w:ascii="Cambria Math" w:hAnsi="Cambria Math"/>
                        <w:i/>
                      </w:rPr>
                    </m:ctrlPr>
                  </m:sSubPr>
                  <m:e>
                    <m:r>
                      <w:rPr>
                        <w:rFonts w:ascii="Cambria Math" w:hAnsi="Cambria Math"/>
                      </w:rPr>
                      <m:t>Σ</m:t>
                    </m:r>
                  </m:e>
                  <m:sub>
                    <m:r>
                      <w:rPr>
                        <w:rFonts w:ascii="Cambria Math" w:hAnsi="Cambria Math"/>
                      </w:rPr>
                      <m:t>i</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den>
            </m:f>
          </m:e>
        </m:d>
      </m:oMath>
    </w:p>
    <w:p w14:paraId="16574872" w14:textId="77777777" w:rsidR="00B84757" w:rsidRDefault="00000000">
      <w:pPr>
        <w:rPr>
          <w:lang w:eastAsia="zh-CN"/>
        </w:rPr>
      </w:pPr>
      <w:r>
        <w:rPr>
          <w:lang w:eastAsia="zh-CN"/>
        </w:rPr>
        <w:t>其中，</w:t>
      </w:r>
      <m:oMath>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ij</m:t>
            </m:r>
          </m:sub>
        </m:sSub>
      </m:oMath>
      <w:r>
        <w:rPr>
          <w:lang w:eastAsia="zh-CN"/>
        </w:rPr>
        <w:t xml:space="preserve"> </w:t>
      </w:r>
      <w:r>
        <w:rPr>
          <w:lang w:eastAsia="zh-CN"/>
        </w:rPr>
        <w:t>为空间权重矩阵元素，</w:t>
      </w:r>
      <m:oMath>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0</m:t>
            </m:r>
          </m:sub>
        </m:sSub>
        <m:r>
          <w:rPr>
            <w:rFonts w:ascii="Cambria Math" w:hAnsi="Cambria Math"/>
            <w:lang w:eastAsia="zh-CN"/>
          </w:rPr>
          <m:t xml:space="preserve">= </m:t>
        </m:r>
        <m:sSub>
          <m:sSubPr>
            <m:ctrlPr>
              <w:rPr>
                <w:rFonts w:ascii="Cambria Math" w:hAnsi="Cambria Math"/>
                <w:i/>
                <w:lang w:eastAsia="zh-CN"/>
              </w:rPr>
            </m:ctrlPr>
          </m:sSubPr>
          <m:e>
            <m:r>
              <w:rPr>
                <w:rFonts w:ascii="Cambria Math" w:hAnsi="Cambria Math"/>
                <w:lang w:eastAsia="zh-CN"/>
              </w:rPr>
              <m:t>Σ</m:t>
            </m:r>
          </m:e>
          <m:sub>
            <m:r>
              <w:rPr>
                <w:rFonts w:ascii="Cambria Math" w:hAnsi="Cambria Math"/>
                <w:lang w:eastAsia="zh-CN"/>
              </w:rPr>
              <m:t>i</m:t>
            </m:r>
          </m:sub>
        </m:sSub>
        <m:sSub>
          <m:sSubPr>
            <m:ctrlPr>
              <w:rPr>
                <w:rFonts w:ascii="Cambria Math" w:hAnsi="Cambria Math"/>
                <w:i/>
                <w:lang w:eastAsia="zh-CN"/>
              </w:rPr>
            </m:ctrlPr>
          </m:sSubPr>
          <m:e>
            <m:r>
              <w:rPr>
                <w:rFonts w:ascii="Cambria Math" w:hAnsi="Cambria Math"/>
                <w:lang w:eastAsia="zh-CN"/>
              </w:rPr>
              <m:t>Σ</m:t>
            </m:r>
          </m:e>
          <m:sub>
            <m:r>
              <w:rPr>
                <w:rFonts w:ascii="Cambria Math" w:hAnsi="Cambria Math"/>
                <w:lang w:eastAsia="zh-CN"/>
              </w:rPr>
              <m:t>j</m:t>
            </m:r>
          </m:sub>
        </m:sSub>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ij</m:t>
            </m:r>
          </m:sub>
        </m:sSub>
      </m:oMath>
      <w:r>
        <w:rPr>
          <w:lang w:eastAsia="zh-CN"/>
        </w:rPr>
        <w:t>。</w:t>
      </w:r>
      <w:r>
        <w:rPr>
          <w:lang w:eastAsia="zh-CN"/>
        </w:rPr>
        <w:t xml:space="preserve">I </w:t>
      </w:r>
      <w:r>
        <w:rPr>
          <w:lang w:eastAsia="zh-CN"/>
        </w:rPr>
        <w:t>值大于</w:t>
      </w:r>
      <w:r>
        <w:rPr>
          <w:lang w:eastAsia="zh-CN"/>
        </w:rPr>
        <w:t xml:space="preserve"> 0 </w:t>
      </w:r>
      <w:r>
        <w:rPr>
          <w:lang w:eastAsia="zh-CN"/>
        </w:rPr>
        <w:t>表示正向空间相关，小于</w:t>
      </w:r>
      <w:r>
        <w:rPr>
          <w:lang w:eastAsia="zh-CN"/>
        </w:rPr>
        <w:t xml:space="preserve"> 0 </w:t>
      </w:r>
      <w:r>
        <w:rPr>
          <w:lang w:eastAsia="zh-CN"/>
        </w:rPr>
        <w:t>表示负向空间相关。</w:t>
      </w:r>
    </w:p>
    <w:p w14:paraId="2D830127" w14:textId="77777777" w:rsidR="00B84757" w:rsidRDefault="00000000">
      <w:pPr>
        <w:pStyle w:val="21"/>
        <w:rPr>
          <w:lang w:eastAsia="zh-CN"/>
        </w:rPr>
      </w:pPr>
      <w:r>
        <w:rPr>
          <w:lang w:eastAsia="zh-CN"/>
        </w:rPr>
        <w:t>（六）多重共线性检验</w:t>
      </w:r>
    </w:p>
    <w:p w14:paraId="15CFF070" w14:textId="77777777" w:rsidR="00B84757" w:rsidRDefault="00000000">
      <w:pPr>
        <w:rPr>
          <w:lang w:eastAsia="zh-CN"/>
        </w:rPr>
      </w:pPr>
      <w:r>
        <w:rPr>
          <w:lang w:eastAsia="zh-CN"/>
        </w:rPr>
        <w:t>为诊断解释变量间的多重共线性，本文计算方差膨胀因子（</w:t>
      </w:r>
      <w:r>
        <w:rPr>
          <w:lang w:eastAsia="zh-CN"/>
        </w:rPr>
        <w:t>VIF</w:t>
      </w:r>
      <w:r>
        <w:rPr>
          <w:lang w:eastAsia="zh-CN"/>
        </w:rPr>
        <w:t>）：</w:t>
      </w:r>
    </w:p>
    <w:p w14:paraId="6547C629" w14:textId="77777777" w:rsidR="00B84757" w:rsidRDefault="00000000">
      <w:pPr>
        <w:pStyle w:val="aff7"/>
      </w:pPr>
      <w:r>
        <w:t>公式（</w:t>
      </w:r>
      <w:r>
        <w:t>A10</w:t>
      </w:r>
      <w:r>
        <w:t>）</w:t>
      </w:r>
      <w:r>
        <w:t xml:space="preserve">  </w:t>
      </w:r>
      <m:oMath>
        <m:r>
          <w:rPr>
            <w:rFonts w:ascii="Cambria Math" w:hAnsi="Cambria Math"/>
          </w:rPr>
          <m:t>VI</m:t>
        </m:r>
        <m:sSub>
          <m:sSubPr>
            <m:ctrlPr>
              <w:rPr>
                <w:rFonts w:ascii="Cambria Math" w:hAnsi="Cambria Math"/>
                <w:i/>
              </w:rPr>
            </m:ctrlPr>
          </m:sSubPr>
          <m:e>
            <m:r>
              <w:rPr>
                <w:rFonts w:ascii="Cambria Math" w:hAnsi="Cambria Math"/>
              </w:rPr>
              <m:t>F</m:t>
            </m:r>
          </m:e>
          <m:sub>
            <m:r>
              <w:rPr>
                <w:rFonts w:ascii="Cambria Math" w:hAnsi="Cambria Math"/>
              </w:rPr>
              <m:t>j</m:t>
            </m:r>
          </m:sub>
        </m:sSub>
        <m:r>
          <w:rPr>
            <w:rFonts w:ascii="Cambria Math" w:hAnsi="Cambria Math"/>
          </w:rPr>
          <m:t xml:space="preserve">= </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 xml:space="preserve">1 - </m:t>
                </m:r>
                <m:sSubSup>
                  <m:sSubSupPr>
                    <m:ctrlPr>
                      <w:rPr>
                        <w:rFonts w:ascii="Cambria Math" w:hAnsi="Cambria Math"/>
                        <w:i/>
                      </w:rPr>
                    </m:ctrlPr>
                  </m:sSubSupPr>
                  <m:e>
                    <m:r>
                      <w:rPr>
                        <w:rFonts w:ascii="Cambria Math" w:hAnsi="Cambria Math"/>
                      </w:rPr>
                      <m:t>R</m:t>
                    </m:r>
                  </m:e>
                  <m:sub>
                    <m:r>
                      <w:rPr>
                        <w:rFonts w:ascii="Cambria Math" w:hAnsi="Cambria Math"/>
                      </w:rPr>
                      <m:t>j</m:t>
                    </m:r>
                  </m:sub>
                  <m:sup>
                    <m:r>
                      <w:rPr>
                        <w:rFonts w:ascii="Cambria Math" w:hAnsi="Cambria Math"/>
                      </w:rPr>
                      <m:t>2</m:t>
                    </m:r>
                  </m:sup>
                </m:sSubSup>
              </m:e>
            </m:d>
          </m:den>
        </m:f>
      </m:oMath>
    </w:p>
    <w:p w14:paraId="0D8A0C0F" w14:textId="77777777" w:rsidR="00B84757" w:rsidRDefault="00000000">
      <w:pPr>
        <w:rPr>
          <w:lang w:eastAsia="zh-CN"/>
        </w:rPr>
      </w:pPr>
      <w:r>
        <w:rPr>
          <w:b/>
          <w:lang w:eastAsia="zh-CN"/>
        </w:rPr>
        <w:t>附录</w:t>
      </w:r>
      <w:r>
        <w:rPr>
          <w:b/>
          <w:lang w:eastAsia="zh-CN"/>
        </w:rPr>
        <w:t xml:space="preserve">2 </w:t>
      </w:r>
      <w:r>
        <w:rPr>
          <w:b/>
          <w:lang w:eastAsia="zh-CN"/>
        </w:rPr>
        <w:t>核心代码</w:t>
      </w:r>
    </w:p>
    <w:p w14:paraId="03FD43EA" w14:textId="77777777" w:rsidR="00205702" w:rsidRDefault="00000000">
      <w:pPr>
        <w:rPr>
          <w:lang w:eastAsia="zh-CN"/>
        </w:rPr>
      </w:pPr>
      <w:r>
        <w:rPr>
          <w:lang w:eastAsia="zh-CN"/>
        </w:rPr>
        <w:t>表</w:t>
      </w:r>
      <w:r>
        <w:rPr>
          <w:lang w:eastAsia="zh-CN"/>
        </w:rPr>
        <w:t xml:space="preserve">2 </w:t>
      </w:r>
      <w:r>
        <w:rPr>
          <w:lang w:eastAsia="zh-CN"/>
        </w:rPr>
        <w:t>代码运行环境与依赖库表</w:t>
      </w:r>
    </w:p>
    <w:p w14:paraId="26231EC8" w14:textId="77777777" w:rsidR="00205702" w:rsidRDefault="00000000">
      <w:r>
        <w:t>表</w:t>
      </w:r>
      <w:r>
        <w:t xml:space="preserve">3 </w:t>
      </w:r>
      <w:r>
        <w:t>核心脚本功能说明表</w:t>
      </w:r>
    </w:p>
    <w:tbl>
      <w:tblPr>
        <w:tblStyle w:val="af6"/>
        <w:tblW w:w="0" w:type="auto"/>
        <w:tblLook w:val="04A0" w:firstRow="1" w:lastRow="0" w:firstColumn="1" w:lastColumn="0" w:noHBand="0" w:noVBand="1"/>
      </w:tblPr>
      <w:tblGrid>
        <w:gridCol w:w="2877"/>
        <w:gridCol w:w="1440"/>
        <w:gridCol w:w="1440"/>
        <w:gridCol w:w="2879"/>
      </w:tblGrid>
      <w:tr w:rsidR="00205702" w14:paraId="5431A72B" w14:textId="77777777">
        <w:tc>
          <w:tcPr>
            <w:tcW w:w="2882" w:type="dxa"/>
          </w:tcPr>
          <w:p w14:paraId="2C60B008" w14:textId="77777777" w:rsidR="00205702" w:rsidRDefault="00000000">
            <w:r>
              <w:rPr>
                <w:sz w:val="21"/>
              </w:rPr>
              <w:t>脚本模块</w:t>
            </w:r>
          </w:p>
        </w:tc>
        <w:tc>
          <w:tcPr>
            <w:tcW w:w="2882" w:type="dxa"/>
            <w:gridSpan w:val="2"/>
          </w:tcPr>
          <w:p w14:paraId="144DE06D" w14:textId="77777777" w:rsidR="00205702" w:rsidRDefault="00000000">
            <w:r>
              <w:rPr>
                <w:sz w:val="21"/>
              </w:rPr>
              <w:t>主要功能</w:t>
            </w:r>
          </w:p>
        </w:tc>
        <w:tc>
          <w:tcPr>
            <w:tcW w:w="2882" w:type="dxa"/>
          </w:tcPr>
          <w:p w14:paraId="0AA76DF3" w14:textId="77777777" w:rsidR="00205702" w:rsidRDefault="00000000">
            <w:r>
              <w:rPr>
                <w:sz w:val="21"/>
              </w:rPr>
              <w:t>主要输出</w:t>
            </w:r>
          </w:p>
        </w:tc>
      </w:tr>
      <w:tr w:rsidR="00205702" w14:paraId="4B632C83" w14:textId="77777777">
        <w:tc>
          <w:tcPr>
            <w:tcW w:w="2882" w:type="dxa"/>
          </w:tcPr>
          <w:p w14:paraId="0FE6F6B0" w14:textId="77777777" w:rsidR="00205702" w:rsidRDefault="00000000">
            <w:pPr>
              <w:rPr>
                <w:lang w:eastAsia="zh-CN"/>
              </w:rPr>
            </w:pPr>
            <w:r>
              <w:rPr>
                <w:sz w:val="21"/>
                <w:lang w:eastAsia="zh-CN"/>
              </w:rPr>
              <w:t>夜间灯光聚合度构造模块</w:t>
            </w:r>
          </w:p>
        </w:tc>
        <w:tc>
          <w:tcPr>
            <w:tcW w:w="2882" w:type="dxa"/>
            <w:gridSpan w:val="2"/>
          </w:tcPr>
          <w:p w14:paraId="2A927E27" w14:textId="77777777" w:rsidR="00205702" w:rsidRDefault="00000000">
            <w:pPr>
              <w:rPr>
                <w:lang w:eastAsia="zh-CN"/>
              </w:rPr>
            </w:pPr>
            <w:r>
              <w:rPr>
                <w:sz w:val="21"/>
                <w:lang w:eastAsia="zh-CN"/>
              </w:rPr>
              <w:t>根据栅格亮度份额计算</w:t>
            </w:r>
            <w:r>
              <w:rPr>
                <w:sz w:val="21"/>
                <w:lang w:eastAsia="zh-CN"/>
              </w:rPr>
              <w:t>Herfindahl</w:t>
            </w:r>
            <w:r>
              <w:rPr>
                <w:sz w:val="21"/>
                <w:lang w:eastAsia="zh-CN"/>
              </w:rPr>
              <w:t>型聚合度，并进行对数化处理</w:t>
            </w:r>
          </w:p>
        </w:tc>
        <w:tc>
          <w:tcPr>
            <w:tcW w:w="2882" w:type="dxa"/>
          </w:tcPr>
          <w:p w14:paraId="50FE6B32" w14:textId="77777777" w:rsidR="00205702" w:rsidRDefault="00000000">
            <w:r>
              <w:rPr>
                <w:sz w:val="21"/>
              </w:rPr>
              <w:t>省份</w:t>
            </w:r>
            <w:r>
              <w:rPr>
                <w:sz w:val="21"/>
              </w:rPr>
              <w:t>—</w:t>
            </w:r>
            <w:r>
              <w:rPr>
                <w:sz w:val="21"/>
              </w:rPr>
              <w:t>年份层面的</w:t>
            </w:r>
            <w:r>
              <w:rPr>
                <w:sz w:val="21"/>
              </w:rPr>
              <w:t xml:space="preserve"> ntl </w:t>
            </w:r>
            <w:r>
              <w:rPr>
                <w:sz w:val="21"/>
              </w:rPr>
              <w:t>与</w:t>
            </w:r>
            <w:r>
              <w:rPr>
                <w:sz w:val="21"/>
              </w:rPr>
              <w:t xml:space="preserve"> lntl</w:t>
            </w:r>
          </w:p>
        </w:tc>
      </w:tr>
      <w:tr w:rsidR="00205702" w14:paraId="701FD5DA" w14:textId="77777777">
        <w:tc>
          <w:tcPr>
            <w:tcW w:w="2882" w:type="dxa"/>
          </w:tcPr>
          <w:p w14:paraId="36AF8524" w14:textId="77777777" w:rsidR="00205702" w:rsidRDefault="00000000">
            <w:pPr>
              <w:rPr>
                <w:lang w:eastAsia="zh-CN"/>
              </w:rPr>
            </w:pPr>
            <w:r>
              <w:rPr>
                <w:sz w:val="21"/>
                <w:lang w:eastAsia="zh-CN"/>
              </w:rPr>
              <w:t>双向固定效应估计模块</w:t>
            </w:r>
          </w:p>
        </w:tc>
        <w:tc>
          <w:tcPr>
            <w:tcW w:w="2882" w:type="dxa"/>
            <w:gridSpan w:val="2"/>
          </w:tcPr>
          <w:p w14:paraId="069390F8" w14:textId="77777777" w:rsidR="00205702" w:rsidRDefault="00000000">
            <w:pPr>
              <w:rPr>
                <w:lang w:eastAsia="zh-CN"/>
              </w:rPr>
            </w:pPr>
            <w:r>
              <w:rPr>
                <w:sz w:val="21"/>
                <w:lang w:eastAsia="zh-CN"/>
              </w:rPr>
              <w:t>完成基准回归、稳健标准误估计及结果汇总</w:t>
            </w:r>
          </w:p>
        </w:tc>
        <w:tc>
          <w:tcPr>
            <w:tcW w:w="2882" w:type="dxa"/>
          </w:tcPr>
          <w:p w14:paraId="662D3A3B" w14:textId="77777777" w:rsidR="00205702" w:rsidRDefault="00000000">
            <w:pPr>
              <w:rPr>
                <w:lang w:eastAsia="zh-CN"/>
              </w:rPr>
            </w:pPr>
            <w:r>
              <w:rPr>
                <w:sz w:val="21"/>
                <w:lang w:eastAsia="zh-CN"/>
              </w:rPr>
              <w:t>系数、标准误、</w:t>
            </w:r>
            <w:r>
              <w:rPr>
                <w:sz w:val="21"/>
                <w:lang w:eastAsia="zh-CN"/>
              </w:rPr>
              <w:t>t</w:t>
            </w:r>
            <w:r>
              <w:rPr>
                <w:sz w:val="21"/>
                <w:lang w:eastAsia="zh-CN"/>
              </w:rPr>
              <w:t>值、</w:t>
            </w:r>
            <w:r>
              <w:rPr>
                <w:sz w:val="21"/>
                <w:lang w:eastAsia="zh-CN"/>
              </w:rPr>
              <w:t>p</w:t>
            </w:r>
            <w:r>
              <w:rPr>
                <w:sz w:val="21"/>
                <w:lang w:eastAsia="zh-CN"/>
              </w:rPr>
              <w:t>值与拟合统计量</w:t>
            </w:r>
          </w:p>
        </w:tc>
      </w:tr>
      <w:tr w:rsidR="00205702" w14:paraId="55F15C23" w14:textId="77777777">
        <w:tc>
          <w:tcPr>
            <w:tcW w:w="2882" w:type="dxa"/>
          </w:tcPr>
          <w:p w14:paraId="105C0608" w14:textId="77777777" w:rsidR="00205702" w:rsidRDefault="00000000">
            <w:r>
              <w:rPr>
                <w:sz w:val="21"/>
              </w:rPr>
              <w:t>空间相关性检验模块</w:t>
            </w:r>
          </w:p>
        </w:tc>
        <w:tc>
          <w:tcPr>
            <w:tcW w:w="2882" w:type="dxa"/>
            <w:gridSpan w:val="2"/>
          </w:tcPr>
          <w:p w14:paraId="356021DF" w14:textId="77777777" w:rsidR="00205702" w:rsidRDefault="00000000">
            <w:r>
              <w:rPr>
                <w:sz w:val="21"/>
              </w:rPr>
              <w:t>基于</w:t>
            </w:r>
            <w:r>
              <w:rPr>
                <w:sz w:val="21"/>
              </w:rPr>
              <w:t>Queen</w:t>
            </w:r>
            <w:r>
              <w:rPr>
                <w:sz w:val="21"/>
              </w:rPr>
              <w:t>邻接权重矩阵计算</w:t>
            </w:r>
            <w:r>
              <w:rPr>
                <w:sz w:val="21"/>
              </w:rPr>
              <w:t>Global Moran’s I</w:t>
            </w:r>
          </w:p>
        </w:tc>
        <w:tc>
          <w:tcPr>
            <w:tcW w:w="2882" w:type="dxa"/>
          </w:tcPr>
          <w:p w14:paraId="44002DFF" w14:textId="77777777" w:rsidR="00205702" w:rsidRDefault="00000000">
            <w:pPr>
              <w:rPr>
                <w:lang w:eastAsia="zh-CN"/>
              </w:rPr>
            </w:pPr>
            <w:r>
              <w:rPr>
                <w:sz w:val="21"/>
                <w:lang w:eastAsia="zh-CN"/>
              </w:rPr>
              <w:t>I</w:t>
            </w:r>
            <w:r>
              <w:rPr>
                <w:sz w:val="21"/>
                <w:lang w:eastAsia="zh-CN"/>
              </w:rPr>
              <w:t>值、</w:t>
            </w:r>
            <w:r>
              <w:rPr>
                <w:sz w:val="21"/>
                <w:lang w:eastAsia="zh-CN"/>
              </w:rPr>
              <w:t>Z</w:t>
            </w:r>
            <w:r>
              <w:rPr>
                <w:sz w:val="21"/>
                <w:lang w:eastAsia="zh-CN"/>
              </w:rPr>
              <w:t>值、</w:t>
            </w:r>
            <w:r>
              <w:rPr>
                <w:sz w:val="21"/>
                <w:lang w:eastAsia="zh-CN"/>
              </w:rPr>
              <w:t>P</w:t>
            </w:r>
            <w:r>
              <w:rPr>
                <w:sz w:val="21"/>
                <w:lang w:eastAsia="zh-CN"/>
              </w:rPr>
              <w:t>值及显著性判断</w:t>
            </w:r>
          </w:p>
        </w:tc>
      </w:tr>
      <w:tr w:rsidR="00205702" w14:paraId="2C45C1C5" w14:textId="77777777">
        <w:tc>
          <w:tcPr>
            <w:tcW w:w="2882" w:type="dxa"/>
          </w:tcPr>
          <w:p w14:paraId="27689604" w14:textId="77777777" w:rsidR="00205702" w:rsidRDefault="00000000">
            <w:r>
              <w:rPr>
                <w:sz w:val="21"/>
              </w:rPr>
              <w:t>可视化模块</w:t>
            </w:r>
          </w:p>
        </w:tc>
        <w:tc>
          <w:tcPr>
            <w:tcW w:w="2882" w:type="dxa"/>
            <w:gridSpan w:val="2"/>
          </w:tcPr>
          <w:p w14:paraId="724FCF1F" w14:textId="77777777" w:rsidR="00205702" w:rsidRDefault="00000000">
            <w:pPr>
              <w:rPr>
                <w:lang w:eastAsia="zh-CN"/>
              </w:rPr>
            </w:pPr>
            <w:r>
              <w:rPr>
                <w:sz w:val="21"/>
                <w:lang w:eastAsia="zh-CN"/>
              </w:rPr>
              <w:t>绘制效率趋势图、区域对比图、系数图和残差诊断图</w:t>
            </w:r>
          </w:p>
        </w:tc>
        <w:tc>
          <w:tcPr>
            <w:tcW w:w="2882" w:type="dxa"/>
          </w:tcPr>
          <w:p w14:paraId="7AC9D6E3" w14:textId="77777777" w:rsidR="00205702" w:rsidRDefault="00000000">
            <w:pPr>
              <w:rPr>
                <w:lang w:eastAsia="zh-CN"/>
              </w:rPr>
            </w:pPr>
            <w:r>
              <w:rPr>
                <w:sz w:val="21"/>
                <w:lang w:eastAsia="zh-CN"/>
              </w:rPr>
              <w:t>论文正文及附录中的图表文件</w:t>
            </w:r>
          </w:p>
        </w:tc>
      </w:tr>
      <w:tr w:rsidR="00205702" w14:paraId="71434865" w14:textId="77777777">
        <w:tc>
          <w:tcPr>
            <w:tcW w:w="4323" w:type="dxa"/>
            <w:gridSpan w:val="2"/>
          </w:tcPr>
          <w:p w14:paraId="0B276D6C" w14:textId="77777777" w:rsidR="00205702" w:rsidRDefault="00000000">
            <w:r>
              <w:rPr>
                <w:sz w:val="21"/>
              </w:rPr>
              <w:t>项目</w:t>
            </w:r>
          </w:p>
        </w:tc>
        <w:tc>
          <w:tcPr>
            <w:tcW w:w="4323" w:type="dxa"/>
            <w:gridSpan w:val="2"/>
          </w:tcPr>
          <w:p w14:paraId="029D8D53" w14:textId="77777777" w:rsidR="00205702" w:rsidRDefault="00000000">
            <w:r>
              <w:rPr>
                <w:sz w:val="21"/>
              </w:rPr>
              <w:t>说明</w:t>
            </w:r>
          </w:p>
        </w:tc>
      </w:tr>
      <w:tr w:rsidR="00205702" w14:paraId="1A87942B" w14:textId="77777777">
        <w:tc>
          <w:tcPr>
            <w:tcW w:w="4323" w:type="dxa"/>
            <w:gridSpan w:val="2"/>
          </w:tcPr>
          <w:p w14:paraId="3D3D4115" w14:textId="77777777" w:rsidR="00205702" w:rsidRDefault="00000000">
            <w:r>
              <w:rPr>
                <w:sz w:val="21"/>
              </w:rPr>
              <w:t>编程语言</w:t>
            </w:r>
          </w:p>
        </w:tc>
        <w:tc>
          <w:tcPr>
            <w:tcW w:w="4323" w:type="dxa"/>
            <w:gridSpan w:val="2"/>
          </w:tcPr>
          <w:p w14:paraId="71F68CE1" w14:textId="77777777" w:rsidR="00205702" w:rsidRDefault="00000000">
            <w:r>
              <w:rPr>
                <w:sz w:val="21"/>
              </w:rPr>
              <w:t xml:space="preserve">Python 3.10 </w:t>
            </w:r>
            <w:r>
              <w:rPr>
                <w:sz w:val="21"/>
              </w:rPr>
              <w:t>及以上版本</w:t>
            </w:r>
          </w:p>
        </w:tc>
      </w:tr>
      <w:tr w:rsidR="00205702" w14:paraId="687C2BB2" w14:textId="77777777">
        <w:tc>
          <w:tcPr>
            <w:tcW w:w="4323" w:type="dxa"/>
            <w:gridSpan w:val="2"/>
          </w:tcPr>
          <w:p w14:paraId="5E4BF5FC" w14:textId="77777777" w:rsidR="00205702" w:rsidRDefault="00000000">
            <w:r>
              <w:rPr>
                <w:sz w:val="21"/>
              </w:rPr>
              <w:t>核心依赖库</w:t>
            </w:r>
          </w:p>
        </w:tc>
        <w:tc>
          <w:tcPr>
            <w:tcW w:w="4323" w:type="dxa"/>
            <w:gridSpan w:val="2"/>
          </w:tcPr>
          <w:p w14:paraId="23289F83" w14:textId="77777777" w:rsidR="00205702" w:rsidRDefault="00000000">
            <w:r>
              <w:rPr>
                <w:sz w:val="21"/>
              </w:rPr>
              <w:t>pandas</w:t>
            </w:r>
            <w:r>
              <w:rPr>
                <w:sz w:val="21"/>
              </w:rPr>
              <w:t>、</w:t>
            </w:r>
            <w:r>
              <w:rPr>
                <w:sz w:val="21"/>
              </w:rPr>
              <w:t>numpy</w:t>
            </w:r>
            <w:r>
              <w:rPr>
                <w:sz w:val="21"/>
              </w:rPr>
              <w:t>、</w:t>
            </w:r>
            <w:r>
              <w:rPr>
                <w:sz w:val="21"/>
              </w:rPr>
              <w:t>linearmodels</w:t>
            </w:r>
            <w:r>
              <w:rPr>
                <w:sz w:val="21"/>
              </w:rPr>
              <w:t>、</w:t>
            </w:r>
            <w:r>
              <w:rPr>
                <w:sz w:val="21"/>
              </w:rPr>
              <w:t>statsmodels</w:t>
            </w:r>
            <w:r>
              <w:rPr>
                <w:sz w:val="21"/>
              </w:rPr>
              <w:t>、</w:t>
            </w:r>
            <w:r>
              <w:rPr>
                <w:sz w:val="21"/>
              </w:rPr>
              <w:lastRenderedPageBreak/>
              <w:t>libpysal</w:t>
            </w:r>
            <w:r>
              <w:rPr>
                <w:sz w:val="21"/>
              </w:rPr>
              <w:t>、</w:t>
            </w:r>
            <w:r>
              <w:rPr>
                <w:sz w:val="21"/>
              </w:rPr>
              <w:t>esda</w:t>
            </w:r>
            <w:r>
              <w:rPr>
                <w:sz w:val="21"/>
              </w:rPr>
              <w:t>、</w:t>
            </w:r>
            <w:r>
              <w:rPr>
                <w:sz w:val="21"/>
              </w:rPr>
              <w:t>matplotlib</w:t>
            </w:r>
          </w:p>
        </w:tc>
      </w:tr>
      <w:tr w:rsidR="00205702" w14:paraId="55841122" w14:textId="77777777">
        <w:tc>
          <w:tcPr>
            <w:tcW w:w="4323" w:type="dxa"/>
            <w:gridSpan w:val="2"/>
          </w:tcPr>
          <w:p w14:paraId="7EA533F6" w14:textId="77777777" w:rsidR="00205702" w:rsidRDefault="00000000">
            <w:r>
              <w:rPr>
                <w:sz w:val="21"/>
              </w:rPr>
              <w:lastRenderedPageBreak/>
              <w:t>数据结构</w:t>
            </w:r>
          </w:p>
        </w:tc>
        <w:tc>
          <w:tcPr>
            <w:tcW w:w="4323" w:type="dxa"/>
            <w:gridSpan w:val="2"/>
          </w:tcPr>
          <w:p w14:paraId="22C75E94" w14:textId="77777777" w:rsidR="00205702" w:rsidRDefault="00000000">
            <w:pPr>
              <w:rPr>
                <w:lang w:eastAsia="zh-CN"/>
              </w:rPr>
            </w:pPr>
            <w:r>
              <w:rPr>
                <w:sz w:val="21"/>
                <w:lang w:eastAsia="zh-CN"/>
              </w:rPr>
              <w:t>以省份</w:t>
            </w:r>
            <w:r>
              <w:rPr>
                <w:sz w:val="21"/>
                <w:lang w:eastAsia="zh-CN"/>
              </w:rPr>
              <w:t>—</w:t>
            </w:r>
            <w:r>
              <w:rPr>
                <w:sz w:val="21"/>
                <w:lang w:eastAsia="zh-CN"/>
              </w:rPr>
              <w:t>年份为索引的平衡面板数据</w:t>
            </w:r>
          </w:p>
        </w:tc>
      </w:tr>
      <w:tr w:rsidR="00205702" w14:paraId="3ADD2A94" w14:textId="77777777">
        <w:tc>
          <w:tcPr>
            <w:tcW w:w="4323" w:type="dxa"/>
            <w:gridSpan w:val="2"/>
          </w:tcPr>
          <w:p w14:paraId="46921620" w14:textId="77777777" w:rsidR="00205702" w:rsidRDefault="00000000">
            <w:r>
              <w:rPr>
                <w:sz w:val="21"/>
              </w:rPr>
              <w:t>主要输入文件</w:t>
            </w:r>
          </w:p>
        </w:tc>
        <w:tc>
          <w:tcPr>
            <w:tcW w:w="4323" w:type="dxa"/>
            <w:gridSpan w:val="2"/>
          </w:tcPr>
          <w:p w14:paraId="6D679C1E" w14:textId="77777777" w:rsidR="00205702" w:rsidRDefault="00000000">
            <w:r>
              <w:rPr>
                <w:sz w:val="21"/>
              </w:rPr>
              <w:t>ntl.csv</w:t>
            </w:r>
            <w:r>
              <w:rPr>
                <w:sz w:val="21"/>
              </w:rPr>
              <w:t>、</w:t>
            </w:r>
            <w:r>
              <w:rPr>
                <w:sz w:val="21"/>
              </w:rPr>
              <w:t>process2.csv</w:t>
            </w:r>
            <w:r>
              <w:rPr>
                <w:sz w:val="21"/>
              </w:rPr>
              <w:t>、空间边界矢量文件</w:t>
            </w:r>
          </w:p>
        </w:tc>
      </w:tr>
      <w:tr w:rsidR="00205702" w14:paraId="6D8331B0" w14:textId="77777777">
        <w:tc>
          <w:tcPr>
            <w:tcW w:w="4323" w:type="dxa"/>
            <w:gridSpan w:val="2"/>
          </w:tcPr>
          <w:p w14:paraId="51B73706" w14:textId="77777777" w:rsidR="00205702" w:rsidRDefault="00000000">
            <w:r>
              <w:rPr>
                <w:sz w:val="21"/>
              </w:rPr>
              <w:t>主要输出结果</w:t>
            </w:r>
          </w:p>
        </w:tc>
        <w:tc>
          <w:tcPr>
            <w:tcW w:w="4323" w:type="dxa"/>
            <w:gridSpan w:val="2"/>
          </w:tcPr>
          <w:p w14:paraId="7CC6B10D" w14:textId="77777777" w:rsidR="00205702" w:rsidRDefault="00000000">
            <w:pPr>
              <w:rPr>
                <w:lang w:eastAsia="zh-CN"/>
              </w:rPr>
            </w:pPr>
            <w:r>
              <w:rPr>
                <w:sz w:val="21"/>
                <w:lang w:eastAsia="zh-CN"/>
              </w:rPr>
              <w:t>回归结果表、</w:t>
            </w:r>
            <w:r>
              <w:rPr>
                <w:sz w:val="21"/>
                <w:lang w:eastAsia="zh-CN"/>
              </w:rPr>
              <w:t xml:space="preserve">Moran’s I </w:t>
            </w:r>
            <w:r>
              <w:rPr>
                <w:sz w:val="21"/>
                <w:lang w:eastAsia="zh-CN"/>
              </w:rPr>
              <w:t>检验结果、趋势图与对比图</w:t>
            </w:r>
          </w:p>
        </w:tc>
      </w:tr>
    </w:tbl>
    <w:p w14:paraId="5D16116A" w14:textId="77777777" w:rsidR="00B84757" w:rsidRDefault="00000000">
      <w:pPr>
        <w:rPr>
          <w:lang w:eastAsia="zh-CN"/>
        </w:rPr>
      </w:pPr>
      <w:r>
        <w:rPr>
          <w:lang w:eastAsia="zh-CN"/>
        </w:rPr>
        <w:t>代码运行环境说明：</w:t>
      </w:r>
    </w:p>
    <w:p w14:paraId="32A6FFAD" w14:textId="77777777" w:rsidR="00B84757" w:rsidRDefault="00000000">
      <w:pPr>
        <w:rPr>
          <w:lang w:eastAsia="zh-CN"/>
        </w:rPr>
      </w:pPr>
      <w:r>
        <w:rPr>
          <w:lang w:eastAsia="zh-CN"/>
        </w:rPr>
        <w:t>编程语言：</w:t>
      </w:r>
      <w:r>
        <w:rPr>
          <w:lang w:eastAsia="zh-CN"/>
        </w:rPr>
        <w:t xml:space="preserve">Python 3.10 </w:t>
      </w:r>
      <w:r>
        <w:rPr>
          <w:lang w:eastAsia="zh-CN"/>
        </w:rPr>
        <w:t>及以上版本</w:t>
      </w:r>
    </w:p>
    <w:p w14:paraId="4BAB6677" w14:textId="77777777" w:rsidR="00B84757" w:rsidRDefault="00000000">
      <w:r>
        <w:t>核心依赖库及版本号：</w:t>
      </w:r>
      <w:r>
        <w:t>pandas==2.2.2</w:t>
      </w:r>
      <w:r>
        <w:t>，</w:t>
      </w:r>
      <w:r>
        <w:t>numpy==1.26.4</w:t>
      </w:r>
      <w:r>
        <w:t>，</w:t>
      </w:r>
      <w:r>
        <w:t>linearmodels==5.4</w:t>
      </w:r>
      <w:r>
        <w:t>，</w:t>
      </w:r>
      <w:r>
        <w:t>statsmodels==0.14.2</w:t>
      </w:r>
      <w:r>
        <w:t>，</w:t>
      </w:r>
      <w:r>
        <w:t>libpysal==4.10.0</w:t>
      </w:r>
      <w:r>
        <w:t>，</w:t>
      </w:r>
      <w:r>
        <w:t>esda==2.5.1</w:t>
      </w:r>
      <w:r>
        <w:t>，</w:t>
      </w:r>
      <w:r>
        <w:t>matplotlib==3.8.4</w:t>
      </w:r>
    </w:p>
    <w:p w14:paraId="0986BC2D" w14:textId="77777777" w:rsidR="00B84757" w:rsidRDefault="00000000">
      <w:r>
        <w:t>数据说明：代码所用数据为</w:t>
      </w:r>
      <w:r>
        <w:t xml:space="preserve"> 2015—2022 </w:t>
      </w:r>
      <w:r>
        <w:t>年中国</w:t>
      </w:r>
      <w:r>
        <w:t xml:space="preserve"> 30 </w:t>
      </w:r>
      <w:r>
        <w:t>个省级地区平衡面板数据。</w:t>
      </w:r>
    </w:p>
    <w:p w14:paraId="10EDAEC4" w14:textId="77777777" w:rsidR="00B84757" w:rsidRDefault="00000000">
      <w:pPr>
        <w:rPr>
          <w:lang w:eastAsia="zh-CN"/>
        </w:rPr>
      </w:pPr>
      <w:r>
        <w:rPr>
          <w:lang w:eastAsia="zh-CN"/>
        </w:rPr>
        <w:t>部分代码如下：</w:t>
      </w:r>
    </w:p>
    <w:p w14:paraId="09565353" w14:textId="77777777" w:rsidR="00B84757" w:rsidRDefault="00000000">
      <w:pPr>
        <w:rPr>
          <w:lang w:eastAsia="zh-CN"/>
        </w:rPr>
      </w:pPr>
      <w:r>
        <w:rPr>
          <w:rFonts w:ascii="Consolas" w:eastAsia="Consolas" w:hAnsi="Consolas"/>
          <w:sz w:val="19"/>
          <w:lang w:eastAsia="zh-CN"/>
        </w:rPr>
        <w:t># 1. 夜间灯光聚合度构造</w:t>
      </w:r>
    </w:p>
    <w:p w14:paraId="4FC73A85" w14:textId="77777777" w:rsidR="00B84757" w:rsidRDefault="00000000">
      <w:r>
        <w:rPr>
          <w:rFonts w:ascii="Consolas" w:eastAsia="Consolas" w:hAnsi="Consolas"/>
          <w:sz w:val="19"/>
        </w:rPr>
        <w:t>import numpy as np</w:t>
      </w:r>
    </w:p>
    <w:p w14:paraId="291CCFF8" w14:textId="77777777" w:rsidR="00B84757" w:rsidRDefault="00000000">
      <w:r>
        <w:rPr>
          <w:rFonts w:ascii="Consolas" w:eastAsia="Consolas" w:hAnsi="Consolas"/>
          <w:sz w:val="19"/>
        </w:rPr>
        <w:t>import pandas as pd</w:t>
      </w:r>
    </w:p>
    <w:p w14:paraId="516313CA" w14:textId="77777777" w:rsidR="00B84757" w:rsidRDefault="00B84757"/>
    <w:p w14:paraId="60FB1D26" w14:textId="77777777" w:rsidR="00B84757" w:rsidRDefault="00000000">
      <w:r>
        <w:rPr>
          <w:rFonts w:ascii="Consolas" w:eastAsia="Consolas" w:hAnsi="Consolas"/>
          <w:sz w:val="19"/>
        </w:rPr>
        <w:t>df_ntl = pd.read_csv("ntl.csv")</w:t>
      </w:r>
    </w:p>
    <w:p w14:paraId="1C9A22CF" w14:textId="77777777" w:rsidR="00B84757" w:rsidRDefault="00000000">
      <w:r>
        <w:rPr>
          <w:rFonts w:ascii="Consolas" w:eastAsia="Consolas" w:hAnsi="Consolas"/>
          <w:sz w:val="19"/>
        </w:rPr>
        <w:t>df_ntl["share"] = df_ntl.groupby(["province", "year"])["pixel_value"].transform(lambda x: x / x.sum())</w:t>
      </w:r>
    </w:p>
    <w:p w14:paraId="6036172B" w14:textId="77777777" w:rsidR="00B84757" w:rsidRDefault="00000000">
      <w:r>
        <w:rPr>
          <w:rFonts w:ascii="Consolas" w:eastAsia="Consolas" w:hAnsi="Consolas"/>
          <w:sz w:val="19"/>
        </w:rPr>
        <w:t>ntl_agg = (df_ntl.groupby(["province", "year"])["share"]</w:t>
      </w:r>
    </w:p>
    <w:p w14:paraId="1623C0C3" w14:textId="77777777" w:rsidR="00B84757" w:rsidRDefault="00000000">
      <w:r>
        <w:rPr>
          <w:rFonts w:ascii="Consolas" w:eastAsia="Consolas" w:hAnsi="Consolas"/>
          <w:sz w:val="19"/>
        </w:rPr>
        <w:t xml:space="preserve">                 .apply(lambda x: np.sum(np.square(x)))</w:t>
      </w:r>
    </w:p>
    <w:p w14:paraId="74A6C125" w14:textId="77777777" w:rsidR="00B84757" w:rsidRDefault="00000000">
      <w:r>
        <w:rPr>
          <w:rFonts w:ascii="Consolas" w:eastAsia="Consolas" w:hAnsi="Consolas"/>
          <w:sz w:val="19"/>
        </w:rPr>
        <w:t xml:space="preserve">                 .reset_index(name="ntl"))</w:t>
      </w:r>
    </w:p>
    <w:p w14:paraId="3C4C8D25" w14:textId="77777777" w:rsidR="00B84757" w:rsidRDefault="00000000">
      <w:r>
        <w:rPr>
          <w:rFonts w:ascii="Consolas" w:eastAsia="Consolas" w:hAnsi="Consolas"/>
          <w:sz w:val="19"/>
        </w:rPr>
        <w:t>ntl_agg["lntl"] = np.log(ntl_agg["ntl"] + 1)</w:t>
      </w:r>
    </w:p>
    <w:p w14:paraId="5FCFA313" w14:textId="77777777" w:rsidR="00B84757" w:rsidRDefault="00B84757"/>
    <w:p w14:paraId="3BAFF98D" w14:textId="77777777" w:rsidR="00B84757" w:rsidRDefault="00000000">
      <w:r>
        <w:rPr>
          <w:rFonts w:ascii="Consolas" w:eastAsia="Consolas" w:hAnsi="Consolas"/>
          <w:sz w:val="19"/>
        </w:rPr>
        <w:lastRenderedPageBreak/>
        <w:t># 2. 双向固定效应模型</w:t>
      </w:r>
    </w:p>
    <w:p w14:paraId="69057468" w14:textId="77777777" w:rsidR="00B84757" w:rsidRDefault="00000000">
      <w:r>
        <w:rPr>
          <w:rFonts w:ascii="Consolas" w:eastAsia="Consolas" w:hAnsi="Consolas"/>
          <w:sz w:val="19"/>
        </w:rPr>
        <w:t>from linearmodels.panel import PanelOLS</w:t>
      </w:r>
    </w:p>
    <w:p w14:paraId="114F9FFD" w14:textId="77777777" w:rsidR="00B84757" w:rsidRDefault="00000000">
      <w:r>
        <w:rPr>
          <w:rFonts w:ascii="Consolas" w:eastAsia="Consolas" w:hAnsi="Consolas"/>
          <w:sz w:val="19"/>
        </w:rPr>
        <w:t>import statsmodels.api as sm</w:t>
      </w:r>
    </w:p>
    <w:p w14:paraId="36B95718" w14:textId="77777777" w:rsidR="00B84757" w:rsidRDefault="00B84757"/>
    <w:p w14:paraId="7F4F17AB" w14:textId="77777777" w:rsidR="00B84757" w:rsidRDefault="00000000">
      <w:r>
        <w:rPr>
          <w:rFonts w:ascii="Consolas" w:eastAsia="Consolas" w:hAnsi="Consolas"/>
          <w:sz w:val="19"/>
        </w:rPr>
        <w:t>df = pd.read_csv("process2.csv").set_index(["province", "year"])</w:t>
      </w:r>
    </w:p>
    <w:p w14:paraId="184C072A" w14:textId="77777777" w:rsidR="00B84757" w:rsidRDefault="00000000">
      <w:r>
        <w:rPr>
          <w:rFonts w:ascii="Consolas" w:eastAsia="Consolas" w:hAnsi="Consolas"/>
          <w:sz w:val="19"/>
        </w:rPr>
        <w:t>y = df["eff"]</w:t>
      </w:r>
    </w:p>
    <w:p w14:paraId="37BB9C77" w14:textId="77777777" w:rsidR="00B84757" w:rsidRDefault="00000000">
      <w:r>
        <w:rPr>
          <w:rFonts w:ascii="Consolas" w:eastAsia="Consolas" w:hAnsi="Consolas"/>
          <w:sz w:val="19"/>
        </w:rPr>
        <w:t>X = sm.add_constant(df[["lntl", "ind", "urb", "rd", "open", "es"]])</w:t>
      </w:r>
    </w:p>
    <w:p w14:paraId="336E62A3" w14:textId="77777777" w:rsidR="00B84757" w:rsidRDefault="00000000">
      <w:r>
        <w:rPr>
          <w:rFonts w:ascii="Consolas" w:eastAsia="Consolas" w:hAnsi="Consolas"/>
          <w:sz w:val="19"/>
        </w:rPr>
        <w:t>model = PanelOLS(y, X, entity_effects=True, time_effects=True)</w:t>
      </w:r>
    </w:p>
    <w:p w14:paraId="2CCAE627" w14:textId="77777777" w:rsidR="00B84757" w:rsidRDefault="00000000">
      <w:r>
        <w:rPr>
          <w:rFonts w:ascii="Consolas" w:eastAsia="Consolas" w:hAnsi="Consolas"/>
          <w:sz w:val="19"/>
        </w:rPr>
        <w:t>res = model.fit(cov_type="clustered", cluster_entity=True)</w:t>
      </w:r>
    </w:p>
    <w:p w14:paraId="7EEC1EF6" w14:textId="77777777" w:rsidR="00B84757" w:rsidRDefault="00000000">
      <w:r>
        <w:rPr>
          <w:rFonts w:ascii="Consolas" w:eastAsia="Consolas" w:hAnsi="Consolas"/>
          <w:sz w:val="19"/>
        </w:rPr>
        <w:t>print(res.summary)</w:t>
      </w:r>
    </w:p>
    <w:p w14:paraId="436CB76E" w14:textId="77777777" w:rsidR="00B84757" w:rsidRDefault="00B84757"/>
    <w:p w14:paraId="3CC5DEBD" w14:textId="77777777" w:rsidR="00B84757" w:rsidRDefault="00000000">
      <w:r>
        <w:rPr>
          <w:rFonts w:ascii="Consolas" w:eastAsia="Consolas" w:hAnsi="Consolas"/>
          <w:sz w:val="19"/>
        </w:rPr>
        <w:t># 3. 全局 Moran's I 计算</w:t>
      </w:r>
    </w:p>
    <w:p w14:paraId="0DFEC218" w14:textId="77777777" w:rsidR="00B84757" w:rsidRDefault="00000000">
      <w:r>
        <w:rPr>
          <w:rFonts w:ascii="Consolas" w:eastAsia="Consolas" w:hAnsi="Consolas"/>
          <w:sz w:val="19"/>
        </w:rPr>
        <w:t>import geopandas as gpd</w:t>
      </w:r>
    </w:p>
    <w:p w14:paraId="0168C680" w14:textId="77777777" w:rsidR="00B84757" w:rsidRDefault="00000000">
      <w:r>
        <w:rPr>
          <w:rFonts w:ascii="Consolas" w:eastAsia="Consolas" w:hAnsi="Consolas"/>
          <w:sz w:val="19"/>
        </w:rPr>
        <w:t>from libpysal.weights import Queen</w:t>
      </w:r>
    </w:p>
    <w:p w14:paraId="2B93BD52" w14:textId="77777777" w:rsidR="00B84757" w:rsidRDefault="00000000">
      <w:r>
        <w:rPr>
          <w:rFonts w:ascii="Consolas" w:eastAsia="Consolas" w:hAnsi="Consolas"/>
          <w:sz w:val="19"/>
        </w:rPr>
        <w:t>from esda.moran import Moran</w:t>
      </w:r>
    </w:p>
    <w:p w14:paraId="5DD2BBB2" w14:textId="77777777" w:rsidR="00B84757" w:rsidRDefault="00B84757"/>
    <w:p w14:paraId="787776E3" w14:textId="77777777" w:rsidR="00B84757" w:rsidRDefault="00000000">
      <w:r>
        <w:rPr>
          <w:rFonts w:ascii="Consolas" w:eastAsia="Consolas" w:hAnsi="Consolas"/>
          <w:sz w:val="19"/>
        </w:rPr>
        <w:t>gdf = gpd.read_file("china_provinces.shp")</w:t>
      </w:r>
    </w:p>
    <w:p w14:paraId="1A18D51C" w14:textId="77777777" w:rsidR="00B84757" w:rsidRDefault="00000000">
      <w:r>
        <w:rPr>
          <w:rFonts w:ascii="Consolas" w:eastAsia="Consolas" w:hAnsi="Consolas"/>
          <w:sz w:val="19"/>
        </w:rPr>
        <w:t>gdf = gdf.merge(df.reset_index().query("year == 2022"), on="province", how="left")</w:t>
      </w:r>
    </w:p>
    <w:p w14:paraId="45B4435A" w14:textId="77777777" w:rsidR="00B84757" w:rsidRDefault="00000000">
      <w:r>
        <w:rPr>
          <w:rFonts w:ascii="Consolas" w:eastAsia="Consolas" w:hAnsi="Consolas"/>
          <w:sz w:val="19"/>
        </w:rPr>
        <w:t>w = Queen.from_dataframe(gdf)</w:t>
      </w:r>
    </w:p>
    <w:p w14:paraId="2F88A5AB" w14:textId="77777777" w:rsidR="00B84757" w:rsidRDefault="00000000">
      <w:r>
        <w:rPr>
          <w:rFonts w:ascii="Consolas" w:eastAsia="Consolas" w:hAnsi="Consolas"/>
          <w:sz w:val="19"/>
        </w:rPr>
        <w:t>w.transform = "r"</w:t>
      </w:r>
    </w:p>
    <w:p w14:paraId="28486006" w14:textId="77777777" w:rsidR="00B84757" w:rsidRDefault="00000000">
      <w:r>
        <w:rPr>
          <w:rFonts w:ascii="Consolas" w:eastAsia="Consolas" w:hAnsi="Consolas"/>
          <w:sz w:val="19"/>
        </w:rPr>
        <w:t>mi = Moran(gdf["eff"], w, permutations=999)</w:t>
      </w:r>
    </w:p>
    <w:p w14:paraId="7B9883EB" w14:textId="77777777" w:rsidR="00B84757" w:rsidRDefault="00000000">
      <w:r>
        <w:rPr>
          <w:rFonts w:ascii="Consolas" w:eastAsia="Consolas" w:hAnsi="Consolas"/>
          <w:sz w:val="19"/>
        </w:rPr>
        <w:t>print(mi.I, mi.z_norm, mi.p_norm)</w:t>
      </w:r>
    </w:p>
    <w:p w14:paraId="2509C1FD" w14:textId="77777777" w:rsidR="00B84757" w:rsidRDefault="00B84757"/>
    <w:p w14:paraId="0263C4E1" w14:textId="77777777" w:rsidR="00B84757" w:rsidRDefault="00000000">
      <w:pPr>
        <w:rPr>
          <w:lang w:eastAsia="zh-CN"/>
        </w:rPr>
      </w:pPr>
      <w:r>
        <w:rPr>
          <w:b/>
          <w:lang w:eastAsia="zh-CN"/>
        </w:rPr>
        <w:lastRenderedPageBreak/>
        <w:t>附录</w:t>
      </w:r>
      <w:r>
        <w:rPr>
          <w:b/>
          <w:lang w:eastAsia="zh-CN"/>
        </w:rPr>
        <w:t xml:space="preserve">3 </w:t>
      </w:r>
      <w:r>
        <w:rPr>
          <w:b/>
          <w:lang w:eastAsia="zh-CN"/>
        </w:rPr>
        <w:t>数据字段与区域划分说明</w:t>
      </w:r>
    </w:p>
    <w:p w14:paraId="4884A788" w14:textId="77777777" w:rsidR="00B84757" w:rsidRDefault="00000000">
      <w:pPr>
        <w:pStyle w:val="21"/>
        <w:rPr>
          <w:lang w:eastAsia="zh-CN"/>
        </w:rPr>
      </w:pPr>
      <w:r>
        <w:rPr>
          <w:lang w:eastAsia="zh-CN"/>
        </w:rPr>
        <w:t>（一）核心数据表说明</w:t>
      </w:r>
    </w:p>
    <w:p w14:paraId="241BE44D" w14:textId="77777777" w:rsidR="00205702" w:rsidRDefault="00000000">
      <w:pPr>
        <w:rPr>
          <w:lang w:eastAsia="zh-CN"/>
        </w:rPr>
      </w:pPr>
      <w:r>
        <w:rPr>
          <w:lang w:eastAsia="zh-CN"/>
        </w:rPr>
        <w:t>表</w:t>
      </w:r>
      <w:r>
        <w:rPr>
          <w:lang w:eastAsia="zh-CN"/>
        </w:rPr>
        <w:t xml:space="preserve">4 </w:t>
      </w:r>
      <w:r>
        <w:rPr>
          <w:lang w:eastAsia="zh-CN"/>
        </w:rPr>
        <w:t>核心数据表说明</w:t>
      </w:r>
    </w:p>
    <w:tbl>
      <w:tblPr>
        <w:tblStyle w:val="af6"/>
        <w:tblW w:w="0" w:type="auto"/>
        <w:tblLook w:val="04A0" w:firstRow="1" w:lastRow="0" w:firstColumn="1" w:lastColumn="0" w:noHBand="0" w:noVBand="1"/>
      </w:tblPr>
      <w:tblGrid>
        <w:gridCol w:w="2879"/>
        <w:gridCol w:w="2879"/>
        <w:gridCol w:w="2878"/>
      </w:tblGrid>
      <w:tr w:rsidR="00205702" w14:paraId="6C4CEFC9" w14:textId="77777777">
        <w:tc>
          <w:tcPr>
            <w:tcW w:w="2882" w:type="dxa"/>
          </w:tcPr>
          <w:p w14:paraId="5D122AEC" w14:textId="77777777" w:rsidR="00205702" w:rsidRDefault="00000000">
            <w:r>
              <w:rPr>
                <w:sz w:val="21"/>
              </w:rPr>
              <w:t>数据表</w:t>
            </w:r>
          </w:p>
        </w:tc>
        <w:tc>
          <w:tcPr>
            <w:tcW w:w="2882" w:type="dxa"/>
          </w:tcPr>
          <w:p w14:paraId="1D058E7B" w14:textId="77777777" w:rsidR="00205702" w:rsidRDefault="00000000">
            <w:r>
              <w:rPr>
                <w:sz w:val="21"/>
              </w:rPr>
              <w:t>主要字段</w:t>
            </w:r>
          </w:p>
        </w:tc>
        <w:tc>
          <w:tcPr>
            <w:tcW w:w="2882" w:type="dxa"/>
          </w:tcPr>
          <w:p w14:paraId="7937C9FD" w14:textId="77777777" w:rsidR="00205702" w:rsidRDefault="00000000">
            <w:r>
              <w:rPr>
                <w:sz w:val="21"/>
              </w:rPr>
              <w:t>用途</w:t>
            </w:r>
          </w:p>
        </w:tc>
      </w:tr>
      <w:tr w:rsidR="00205702" w14:paraId="53662C96" w14:textId="77777777">
        <w:tc>
          <w:tcPr>
            <w:tcW w:w="2882" w:type="dxa"/>
          </w:tcPr>
          <w:p w14:paraId="5E97DC0B" w14:textId="77777777" w:rsidR="00205702" w:rsidRDefault="00000000">
            <w:r>
              <w:rPr>
                <w:sz w:val="21"/>
              </w:rPr>
              <w:t>ntl.csv</w:t>
            </w:r>
          </w:p>
        </w:tc>
        <w:tc>
          <w:tcPr>
            <w:tcW w:w="2882" w:type="dxa"/>
          </w:tcPr>
          <w:p w14:paraId="02E16CBD" w14:textId="77777777" w:rsidR="00205702" w:rsidRDefault="00000000">
            <w:r>
              <w:rPr>
                <w:sz w:val="21"/>
              </w:rPr>
              <w:t>province</w:t>
            </w:r>
            <w:r>
              <w:rPr>
                <w:sz w:val="21"/>
              </w:rPr>
              <w:t>、</w:t>
            </w:r>
            <w:r>
              <w:rPr>
                <w:sz w:val="21"/>
              </w:rPr>
              <w:t>year</w:t>
            </w:r>
            <w:r>
              <w:rPr>
                <w:sz w:val="21"/>
              </w:rPr>
              <w:t>、</w:t>
            </w:r>
            <w:r>
              <w:rPr>
                <w:sz w:val="21"/>
              </w:rPr>
              <w:t>pixel_value</w:t>
            </w:r>
          </w:p>
        </w:tc>
        <w:tc>
          <w:tcPr>
            <w:tcW w:w="2882" w:type="dxa"/>
          </w:tcPr>
          <w:p w14:paraId="1D1540DD" w14:textId="77777777" w:rsidR="00205702" w:rsidRDefault="00000000">
            <w:pPr>
              <w:rPr>
                <w:lang w:eastAsia="zh-CN"/>
              </w:rPr>
            </w:pPr>
            <w:r>
              <w:rPr>
                <w:sz w:val="21"/>
                <w:lang w:eastAsia="zh-CN"/>
              </w:rPr>
              <w:t>计算夜间灯光聚合度及其对数化指标</w:t>
            </w:r>
          </w:p>
        </w:tc>
      </w:tr>
      <w:tr w:rsidR="00205702" w14:paraId="631FA052" w14:textId="77777777">
        <w:tc>
          <w:tcPr>
            <w:tcW w:w="2882" w:type="dxa"/>
          </w:tcPr>
          <w:p w14:paraId="11C96038" w14:textId="77777777" w:rsidR="00205702" w:rsidRDefault="00000000">
            <w:r>
              <w:rPr>
                <w:sz w:val="21"/>
              </w:rPr>
              <w:t>process2.csv</w:t>
            </w:r>
          </w:p>
        </w:tc>
        <w:tc>
          <w:tcPr>
            <w:tcW w:w="2882" w:type="dxa"/>
          </w:tcPr>
          <w:p w14:paraId="757D0321" w14:textId="77777777" w:rsidR="00205702" w:rsidRDefault="00000000">
            <w:r>
              <w:rPr>
                <w:sz w:val="21"/>
              </w:rPr>
              <w:t>province</w:t>
            </w:r>
            <w:r>
              <w:rPr>
                <w:sz w:val="21"/>
              </w:rPr>
              <w:t>、</w:t>
            </w:r>
            <w:r>
              <w:rPr>
                <w:sz w:val="21"/>
              </w:rPr>
              <w:t>year</w:t>
            </w:r>
            <w:r>
              <w:rPr>
                <w:sz w:val="21"/>
              </w:rPr>
              <w:t>、</w:t>
            </w:r>
            <w:r>
              <w:rPr>
                <w:sz w:val="21"/>
              </w:rPr>
              <w:t>lntl</w:t>
            </w:r>
            <w:r>
              <w:rPr>
                <w:sz w:val="21"/>
              </w:rPr>
              <w:t>、</w:t>
            </w:r>
            <w:r>
              <w:rPr>
                <w:sz w:val="21"/>
              </w:rPr>
              <w:t>ind</w:t>
            </w:r>
            <w:r>
              <w:rPr>
                <w:sz w:val="21"/>
              </w:rPr>
              <w:t>、</w:t>
            </w:r>
            <w:r>
              <w:rPr>
                <w:sz w:val="21"/>
              </w:rPr>
              <w:t>urb</w:t>
            </w:r>
            <w:r>
              <w:rPr>
                <w:sz w:val="21"/>
              </w:rPr>
              <w:t>、</w:t>
            </w:r>
            <w:r>
              <w:rPr>
                <w:sz w:val="21"/>
              </w:rPr>
              <w:t>rd</w:t>
            </w:r>
            <w:r>
              <w:rPr>
                <w:sz w:val="21"/>
              </w:rPr>
              <w:t>、</w:t>
            </w:r>
            <w:r>
              <w:rPr>
                <w:sz w:val="21"/>
              </w:rPr>
              <w:t>open</w:t>
            </w:r>
            <w:r>
              <w:rPr>
                <w:sz w:val="21"/>
              </w:rPr>
              <w:t>、</w:t>
            </w:r>
            <w:r>
              <w:rPr>
                <w:sz w:val="21"/>
              </w:rPr>
              <w:t>es</w:t>
            </w:r>
            <w:r>
              <w:rPr>
                <w:sz w:val="21"/>
              </w:rPr>
              <w:t>、</w:t>
            </w:r>
            <w:r>
              <w:rPr>
                <w:sz w:val="21"/>
              </w:rPr>
              <w:t>eff</w:t>
            </w:r>
          </w:p>
        </w:tc>
        <w:tc>
          <w:tcPr>
            <w:tcW w:w="2882" w:type="dxa"/>
          </w:tcPr>
          <w:p w14:paraId="57EE116E" w14:textId="77777777" w:rsidR="00205702" w:rsidRDefault="00000000">
            <w:pPr>
              <w:rPr>
                <w:lang w:eastAsia="zh-CN"/>
              </w:rPr>
            </w:pPr>
            <w:r>
              <w:rPr>
                <w:sz w:val="21"/>
                <w:lang w:eastAsia="zh-CN"/>
              </w:rPr>
              <w:t>开展第二阶段双向固定效应回归与稳健性检验</w:t>
            </w:r>
          </w:p>
        </w:tc>
      </w:tr>
      <w:tr w:rsidR="00205702" w14:paraId="665A0A72" w14:textId="77777777">
        <w:tc>
          <w:tcPr>
            <w:tcW w:w="2882" w:type="dxa"/>
          </w:tcPr>
          <w:p w14:paraId="4F565131" w14:textId="77777777" w:rsidR="00205702" w:rsidRDefault="00000000">
            <w:r>
              <w:rPr>
                <w:sz w:val="21"/>
              </w:rPr>
              <w:t>省级边界矢量文件</w:t>
            </w:r>
          </w:p>
        </w:tc>
        <w:tc>
          <w:tcPr>
            <w:tcW w:w="2882" w:type="dxa"/>
          </w:tcPr>
          <w:p w14:paraId="3D7591C1" w14:textId="77777777" w:rsidR="00205702" w:rsidRDefault="00000000">
            <w:r>
              <w:rPr>
                <w:sz w:val="21"/>
              </w:rPr>
              <w:t>province</w:t>
            </w:r>
            <w:r>
              <w:rPr>
                <w:sz w:val="21"/>
              </w:rPr>
              <w:t>、</w:t>
            </w:r>
            <w:r>
              <w:rPr>
                <w:sz w:val="21"/>
              </w:rPr>
              <w:t>geometry</w:t>
            </w:r>
          </w:p>
        </w:tc>
        <w:tc>
          <w:tcPr>
            <w:tcW w:w="2882" w:type="dxa"/>
          </w:tcPr>
          <w:p w14:paraId="6265617E" w14:textId="77777777" w:rsidR="00205702" w:rsidRDefault="00000000">
            <w:r>
              <w:rPr>
                <w:sz w:val="21"/>
              </w:rPr>
              <w:t>构建空间权重矩阵并计算</w:t>
            </w:r>
            <w:r>
              <w:rPr>
                <w:sz w:val="21"/>
              </w:rPr>
              <w:t xml:space="preserve"> Moran’s I</w:t>
            </w:r>
          </w:p>
        </w:tc>
      </w:tr>
      <w:tr w:rsidR="00B84757" w14:paraId="2677ABB2" w14:textId="77777777">
        <w:tc>
          <w:tcPr>
            <w:tcW w:w="2882" w:type="dxa"/>
          </w:tcPr>
          <w:p w14:paraId="274F91EE" w14:textId="77777777" w:rsidR="00B84757" w:rsidRDefault="00000000">
            <w:r>
              <w:rPr>
                <w:rFonts w:ascii="宋体" w:hAnsi="宋体"/>
                <w:sz w:val="21"/>
              </w:rPr>
              <w:t>数据表</w:t>
            </w:r>
          </w:p>
        </w:tc>
        <w:tc>
          <w:tcPr>
            <w:tcW w:w="2882" w:type="dxa"/>
          </w:tcPr>
          <w:p w14:paraId="329E1B1F" w14:textId="77777777" w:rsidR="00B84757" w:rsidRDefault="00000000">
            <w:r>
              <w:rPr>
                <w:rFonts w:ascii="宋体" w:hAnsi="宋体"/>
                <w:sz w:val="21"/>
              </w:rPr>
              <w:t>主要字段</w:t>
            </w:r>
          </w:p>
        </w:tc>
        <w:tc>
          <w:tcPr>
            <w:tcW w:w="2882" w:type="dxa"/>
          </w:tcPr>
          <w:p w14:paraId="76834EEC" w14:textId="77777777" w:rsidR="00B84757" w:rsidRDefault="00000000">
            <w:r>
              <w:rPr>
                <w:rFonts w:ascii="宋体" w:hAnsi="宋体"/>
                <w:sz w:val="21"/>
              </w:rPr>
              <w:t>用途</w:t>
            </w:r>
          </w:p>
        </w:tc>
      </w:tr>
      <w:tr w:rsidR="00B84757" w14:paraId="51A38B53" w14:textId="77777777">
        <w:tc>
          <w:tcPr>
            <w:tcW w:w="2882" w:type="dxa"/>
          </w:tcPr>
          <w:p w14:paraId="58029E29" w14:textId="77777777" w:rsidR="00B84757" w:rsidRDefault="00000000">
            <w:r>
              <w:rPr>
                <w:rFonts w:ascii="宋体" w:hAnsi="宋体"/>
                <w:sz w:val="21"/>
              </w:rPr>
              <w:t>process1.csv</w:t>
            </w:r>
          </w:p>
        </w:tc>
        <w:tc>
          <w:tcPr>
            <w:tcW w:w="2882" w:type="dxa"/>
          </w:tcPr>
          <w:p w14:paraId="777A6435" w14:textId="77777777" w:rsidR="00B84757" w:rsidRDefault="00000000">
            <w:r>
              <w:rPr>
                <w:rFonts w:ascii="宋体" w:hAnsi="宋体"/>
                <w:sz w:val="21"/>
              </w:rPr>
              <w:t>year, province, Population, Capital, energy_total, GDP_constant, Carbon</w:t>
            </w:r>
          </w:p>
        </w:tc>
        <w:tc>
          <w:tcPr>
            <w:tcW w:w="2882" w:type="dxa"/>
          </w:tcPr>
          <w:p w14:paraId="2D6332E0" w14:textId="77777777" w:rsidR="00B84757" w:rsidRDefault="00000000">
            <w:pPr>
              <w:rPr>
                <w:lang w:eastAsia="zh-CN"/>
              </w:rPr>
            </w:pPr>
            <w:r>
              <w:rPr>
                <w:rFonts w:ascii="宋体" w:hAnsi="宋体"/>
                <w:sz w:val="21"/>
                <w:lang w:eastAsia="zh-CN"/>
              </w:rPr>
              <w:t>第一阶段超效率SBM测度</w:t>
            </w:r>
          </w:p>
        </w:tc>
      </w:tr>
      <w:tr w:rsidR="00B84757" w14:paraId="175B34E5" w14:textId="77777777">
        <w:tc>
          <w:tcPr>
            <w:tcW w:w="2882" w:type="dxa"/>
          </w:tcPr>
          <w:p w14:paraId="0A24C1BA" w14:textId="77777777" w:rsidR="00B84757" w:rsidRDefault="00000000">
            <w:r>
              <w:rPr>
                <w:rFonts w:ascii="宋体" w:hAnsi="宋体"/>
                <w:sz w:val="21"/>
              </w:rPr>
              <w:t>process2.csv</w:t>
            </w:r>
          </w:p>
        </w:tc>
        <w:tc>
          <w:tcPr>
            <w:tcW w:w="2882" w:type="dxa"/>
          </w:tcPr>
          <w:p w14:paraId="3F28B67E" w14:textId="77777777" w:rsidR="00B84757" w:rsidRDefault="00000000">
            <w:r>
              <w:rPr>
                <w:rFonts w:ascii="宋体" w:hAnsi="宋体"/>
                <w:sz w:val="21"/>
              </w:rPr>
              <w:t>province, year, lntl, ind, urb, rd, open, es, eff</w:t>
            </w:r>
          </w:p>
        </w:tc>
        <w:tc>
          <w:tcPr>
            <w:tcW w:w="2882" w:type="dxa"/>
          </w:tcPr>
          <w:p w14:paraId="17EDC2E9" w14:textId="77777777" w:rsidR="00B84757" w:rsidRDefault="00000000">
            <w:pPr>
              <w:rPr>
                <w:lang w:eastAsia="zh-CN"/>
              </w:rPr>
            </w:pPr>
            <w:r>
              <w:rPr>
                <w:rFonts w:ascii="宋体" w:hAnsi="宋体"/>
                <w:sz w:val="21"/>
                <w:lang w:eastAsia="zh-CN"/>
              </w:rPr>
              <w:t>第二阶段双向固定效应回归与稳健性检验</w:t>
            </w:r>
          </w:p>
        </w:tc>
      </w:tr>
      <w:tr w:rsidR="00B84757" w14:paraId="450A86B3" w14:textId="77777777">
        <w:tc>
          <w:tcPr>
            <w:tcW w:w="2882" w:type="dxa"/>
          </w:tcPr>
          <w:p w14:paraId="2108FD46" w14:textId="77777777" w:rsidR="00B84757" w:rsidRDefault="00000000">
            <w:r>
              <w:rPr>
                <w:rFonts w:ascii="宋体" w:hAnsi="宋体"/>
                <w:sz w:val="21"/>
              </w:rPr>
              <w:t>空间权重与地图底图</w:t>
            </w:r>
          </w:p>
        </w:tc>
        <w:tc>
          <w:tcPr>
            <w:tcW w:w="2882" w:type="dxa"/>
          </w:tcPr>
          <w:p w14:paraId="70E9363A" w14:textId="77777777" w:rsidR="00B84757" w:rsidRDefault="00000000">
            <w:r>
              <w:rPr>
                <w:rFonts w:ascii="宋体" w:hAnsi="宋体"/>
                <w:sz w:val="21"/>
              </w:rPr>
              <w:t>province, geometry</w:t>
            </w:r>
          </w:p>
        </w:tc>
        <w:tc>
          <w:tcPr>
            <w:tcW w:w="2882" w:type="dxa"/>
          </w:tcPr>
          <w:p w14:paraId="3DD23A12" w14:textId="77777777" w:rsidR="00B84757" w:rsidRDefault="00000000">
            <w:r>
              <w:rPr>
                <w:rFonts w:ascii="宋体" w:hAnsi="宋体"/>
                <w:sz w:val="21"/>
              </w:rPr>
              <w:t>Global Moran’s I、Moran散点图与LISA聚类分析</w:t>
            </w:r>
          </w:p>
        </w:tc>
      </w:tr>
    </w:tbl>
    <w:p w14:paraId="3FDE69C7" w14:textId="77777777" w:rsidR="00B84757" w:rsidRDefault="00000000">
      <w:pPr>
        <w:pStyle w:val="21"/>
      </w:pPr>
      <w:r>
        <w:t>（二）四大区域划分</w:t>
      </w:r>
    </w:p>
    <w:p w14:paraId="528CCE95" w14:textId="77777777" w:rsidR="00205702" w:rsidRDefault="00000000">
      <w:pPr>
        <w:rPr>
          <w:lang w:eastAsia="zh-CN"/>
        </w:rPr>
      </w:pPr>
      <w:r>
        <w:rPr>
          <w:lang w:eastAsia="zh-CN"/>
        </w:rPr>
        <w:t>表</w:t>
      </w:r>
      <w:r>
        <w:rPr>
          <w:lang w:eastAsia="zh-CN"/>
        </w:rPr>
        <w:t xml:space="preserve">5 </w:t>
      </w:r>
      <w:r>
        <w:rPr>
          <w:lang w:eastAsia="zh-CN"/>
        </w:rPr>
        <w:t>四大区域划分对应省级行政区</w:t>
      </w:r>
    </w:p>
    <w:tbl>
      <w:tblPr>
        <w:tblStyle w:val="af6"/>
        <w:tblW w:w="0" w:type="auto"/>
        <w:tblLook w:val="04A0" w:firstRow="1" w:lastRow="0" w:firstColumn="1" w:lastColumn="0" w:noHBand="0" w:noVBand="1"/>
      </w:tblPr>
      <w:tblGrid>
        <w:gridCol w:w="4318"/>
        <w:gridCol w:w="4318"/>
      </w:tblGrid>
      <w:tr w:rsidR="00205702" w14:paraId="7D333A71" w14:textId="77777777">
        <w:tc>
          <w:tcPr>
            <w:tcW w:w="4323" w:type="dxa"/>
          </w:tcPr>
          <w:p w14:paraId="7EDE1B6B" w14:textId="77777777" w:rsidR="00205702" w:rsidRDefault="00000000">
            <w:r>
              <w:rPr>
                <w:sz w:val="21"/>
              </w:rPr>
              <w:t>区域划分</w:t>
            </w:r>
          </w:p>
        </w:tc>
        <w:tc>
          <w:tcPr>
            <w:tcW w:w="4323" w:type="dxa"/>
          </w:tcPr>
          <w:p w14:paraId="29CECA4A" w14:textId="77777777" w:rsidR="00205702" w:rsidRDefault="00000000">
            <w:r>
              <w:rPr>
                <w:sz w:val="21"/>
              </w:rPr>
              <w:t>对应省级行政区</w:t>
            </w:r>
          </w:p>
        </w:tc>
      </w:tr>
      <w:tr w:rsidR="00205702" w14:paraId="0EB99F43" w14:textId="77777777">
        <w:tc>
          <w:tcPr>
            <w:tcW w:w="4323" w:type="dxa"/>
          </w:tcPr>
          <w:p w14:paraId="3155FEC8" w14:textId="77777777" w:rsidR="00205702" w:rsidRDefault="00000000">
            <w:r>
              <w:rPr>
                <w:sz w:val="21"/>
              </w:rPr>
              <w:lastRenderedPageBreak/>
              <w:t>东部</w:t>
            </w:r>
          </w:p>
        </w:tc>
        <w:tc>
          <w:tcPr>
            <w:tcW w:w="4323" w:type="dxa"/>
          </w:tcPr>
          <w:p w14:paraId="4B1C10B4" w14:textId="77777777" w:rsidR="00205702" w:rsidRDefault="00000000">
            <w:pPr>
              <w:rPr>
                <w:lang w:eastAsia="zh-CN"/>
              </w:rPr>
            </w:pPr>
            <w:r>
              <w:rPr>
                <w:sz w:val="21"/>
                <w:lang w:eastAsia="zh-CN"/>
              </w:rPr>
              <w:t>北京、天津、河北、上海、江苏、浙江、福建、山东、广东、海南</w:t>
            </w:r>
          </w:p>
        </w:tc>
      </w:tr>
      <w:tr w:rsidR="00205702" w14:paraId="4627E902" w14:textId="77777777">
        <w:tc>
          <w:tcPr>
            <w:tcW w:w="4323" w:type="dxa"/>
          </w:tcPr>
          <w:p w14:paraId="021F86F7" w14:textId="77777777" w:rsidR="00205702" w:rsidRDefault="00000000">
            <w:r>
              <w:rPr>
                <w:sz w:val="21"/>
              </w:rPr>
              <w:t>中部</w:t>
            </w:r>
          </w:p>
        </w:tc>
        <w:tc>
          <w:tcPr>
            <w:tcW w:w="4323" w:type="dxa"/>
          </w:tcPr>
          <w:p w14:paraId="0E8958FF" w14:textId="77777777" w:rsidR="00205702" w:rsidRDefault="00000000">
            <w:r>
              <w:rPr>
                <w:sz w:val="21"/>
              </w:rPr>
              <w:t>山西、安徽、江西、河南、湖北、湖南</w:t>
            </w:r>
          </w:p>
        </w:tc>
      </w:tr>
      <w:tr w:rsidR="00205702" w14:paraId="05601D42" w14:textId="77777777">
        <w:tc>
          <w:tcPr>
            <w:tcW w:w="4323" w:type="dxa"/>
          </w:tcPr>
          <w:p w14:paraId="0422CF51" w14:textId="77777777" w:rsidR="00205702" w:rsidRDefault="00000000">
            <w:r>
              <w:rPr>
                <w:sz w:val="21"/>
              </w:rPr>
              <w:t>西部</w:t>
            </w:r>
          </w:p>
        </w:tc>
        <w:tc>
          <w:tcPr>
            <w:tcW w:w="4323" w:type="dxa"/>
          </w:tcPr>
          <w:p w14:paraId="467804E2" w14:textId="2BCA6B04" w:rsidR="00205702" w:rsidRDefault="00000000">
            <w:pPr>
              <w:rPr>
                <w:lang w:eastAsia="zh-CN"/>
              </w:rPr>
            </w:pPr>
            <w:r>
              <w:rPr>
                <w:sz w:val="21"/>
                <w:lang w:eastAsia="zh-CN"/>
              </w:rPr>
              <w:t>内蒙古、广西、重庆、四川、贵州、云南、陕西、甘肃、青海、宁夏、新疆</w:t>
            </w:r>
          </w:p>
        </w:tc>
      </w:tr>
      <w:tr w:rsidR="00205702" w14:paraId="1097F791" w14:textId="77777777">
        <w:tc>
          <w:tcPr>
            <w:tcW w:w="4323" w:type="dxa"/>
          </w:tcPr>
          <w:p w14:paraId="534F2792" w14:textId="77777777" w:rsidR="00205702" w:rsidRDefault="00000000">
            <w:r>
              <w:rPr>
                <w:sz w:val="21"/>
              </w:rPr>
              <w:t>东北</w:t>
            </w:r>
          </w:p>
        </w:tc>
        <w:tc>
          <w:tcPr>
            <w:tcW w:w="4323" w:type="dxa"/>
          </w:tcPr>
          <w:p w14:paraId="1EADE787" w14:textId="77777777" w:rsidR="00205702" w:rsidRDefault="00000000">
            <w:r>
              <w:rPr>
                <w:sz w:val="21"/>
              </w:rPr>
              <w:t>辽宁、吉林、黑龙江</w:t>
            </w:r>
          </w:p>
        </w:tc>
      </w:tr>
      <w:tr w:rsidR="00B84757" w14:paraId="7A3D0481" w14:textId="77777777">
        <w:tc>
          <w:tcPr>
            <w:tcW w:w="4323" w:type="dxa"/>
          </w:tcPr>
          <w:p w14:paraId="31014121" w14:textId="77777777" w:rsidR="00B84757" w:rsidRDefault="00000000">
            <w:r>
              <w:rPr>
                <w:rFonts w:ascii="宋体" w:hAnsi="宋体"/>
                <w:sz w:val="21"/>
              </w:rPr>
              <w:t>区域划分</w:t>
            </w:r>
          </w:p>
        </w:tc>
        <w:tc>
          <w:tcPr>
            <w:tcW w:w="4323" w:type="dxa"/>
          </w:tcPr>
          <w:p w14:paraId="182C6575" w14:textId="77777777" w:rsidR="00B84757" w:rsidRDefault="00000000">
            <w:r>
              <w:rPr>
                <w:rFonts w:ascii="宋体" w:hAnsi="宋体"/>
                <w:sz w:val="21"/>
              </w:rPr>
              <w:t>对应省级行政区</w:t>
            </w:r>
          </w:p>
        </w:tc>
      </w:tr>
      <w:tr w:rsidR="00B84757" w14:paraId="74FD542B" w14:textId="77777777">
        <w:tc>
          <w:tcPr>
            <w:tcW w:w="4323" w:type="dxa"/>
          </w:tcPr>
          <w:p w14:paraId="11E2C240" w14:textId="77777777" w:rsidR="00B84757" w:rsidRDefault="00000000">
            <w:r>
              <w:rPr>
                <w:rFonts w:ascii="宋体" w:hAnsi="宋体"/>
                <w:sz w:val="21"/>
              </w:rPr>
              <w:t>东部地区</w:t>
            </w:r>
          </w:p>
        </w:tc>
        <w:tc>
          <w:tcPr>
            <w:tcW w:w="4323" w:type="dxa"/>
          </w:tcPr>
          <w:p w14:paraId="4342CE9E" w14:textId="77777777" w:rsidR="00B84757" w:rsidRDefault="00000000">
            <w:pPr>
              <w:rPr>
                <w:lang w:eastAsia="zh-CN"/>
              </w:rPr>
            </w:pPr>
            <w:r>
              <w:rPr>
                <w:rFonts w:ascii="宋体" w:hAnsi="宋体"/>
                <w:sz w:val="21"/>
                <w:lang w:eastAsia="zh-CN"/>
              </w:rPr>
              <w:t>北京、天津、河北、上海、江苏、浙江、福建、山东、广东、海南</w:t>
            </w:r>
          </w:p>
        </w:tc>
      </w:tr>
      <w:tr w:rsidR="00B84757" w14:paraId="362FAD21" w14:textId="77777777">
        <w:tc>
          <w:tcPr>
            <w:tcW w:w="4323" w:type="dxa"/>
          </w:tcPr>
          <w:p w14:paraId="3592EE7B" w14:textId="77777777" w:rsidR="00B84757" w:rsidRDefault="00000000">
            <w:r>
              <w:rPr>
                <w:rFonts w:ascii="宋体" w:hAnsi="宋体"/>
                <w:sz w:val="21"/>
              </w:rPr>
              <w:t>中部地区</w:t>
            </w:r>
          </w:p>
        </w:tc>
        <w:tc>
          <w:tcPr>
            <w:tcW w:w="4323" w:type="dxa"/>
          </w:tcPr>
          <w:p w14:paraId="60D3BE12" w14:textId="77777777" w:rsidR="00B84757" w:rsidRDefault="00000000">
            <w:r>
              <w:rPr>
                <w:rFonts w:ascii="宋体" w:hAnsi="宋体"/>
                <w:sz w:val="21"/>
              </w:rPr>
              <w:t>山西、安徽、江西、河南、湖北、湖南</w:t>
            </w:r>
          </w:p>
        </w:tc>
      </w:tr>
      <w:tr w:rsidR="00B84757" w14:paraId="5AD5B7E2" w14:textId="77777777">
        <w:tc>
          <w:tcPr>
            <w:tcW w:w="4323" w:type="dxa"/>
          </w:tcPr>
          <w:p w14:paraId="5E1196BD" w14:textId="77777777" w:rsidR="00B84757" w:rsidRDefault="00000000">
            <w:r>
              <w:rPr>
                <w:rFonts w:ascii="宋体" w:hAnsi="宋体"/>
                <w:sz w:val="21"/>
              </w:rPr>
              <w:t>西部地区</w:t>
            </w:r>
          </w:p>
        </w:tc>
        <w:tc>
          <w:tcPr>
            <w:tcW w:w="4323" w:type="dxa"/>
          </w:tcPr>
          <w:p w14:paraId="63D0C300" w14:textId="77777777" w:rsidR="00B84757" w:rsidRDefault="00000000">
            <w:pPr>
              <w:rPr>
                <w:lang w:eastAsia="zh-CN"/>
              </w:rPr>
            </w:pPr>
            <w:r>
              <w:rPr>
                <w:rFonts w:ascii="宋体" w:hAnsi="宋体"/>
                <w:sz w:val="21"/>
                <w:lang w:eastAsia="zh-CN"/>
              </w:rPr>
              <w:t>内蒙古、广西、重庆、四川、贵州、云南、陕西、甘肃、青海、宁夏、新疆</w:t>
            </w:r>
          </w:p>
        </w:tc>
      </w:tr>
      <w:tr w:rsidR="00B84757" w14:paraId="19BC1ADD" w14:textId="77777777">
        <w:tc>
          <w:tcPr>
            <w:tcW w:w="4323" w:type="dxa"/>
          </w:tcPr>
          <w:p w14:paraId="53FC2D9F" w14:textId="77777777" w:rsidR="00B84757" w:rsidRDefault="00000000">
            <w:r>
              <w:rPr>
                <w:rFonts w:ascii="宋体" w:hAnsi="宋体"/>
                <w:sz w:val="21"/>
              </w:rPr>
              <w:t>东北地区</w:t>
            </w:r>
          </w:p>
        </w:tc>
        <w:tc>
          <w:tcPr>
            <w:tcW w:w="4323" w:type="dxa"/>
          </w:tcPr>
          <w:p w14:paraId="0C6F0269" w14:textId="77777777" w:rsidR="00B84757" w:rsidRDefault="00000000">
            <w:r>
              <w:rPr>
                <w:rFonts w:ascii="宋体" w:hAnsi="宋体"/>
                <w:sz w:val="21"/>
              </w:rPr>
              <w:t>辽宁、吉林、黑龙江</w:t>
            </w:r>
          </w:p>
        </w:tc>
      </w:tr>
    </w:tbl>
    <w:p w14:paraId="605F43E9" w14:textId="77777777" w:rsidR="00B84757" w:rsidRDefault="00000000">
      <w:pPr>
        <w:pStyle w:val="21"/>
      </w:pPr>
      <w:r>
        <w:t>（三）变量说明补充</w:t>
      </w:r>
    </w:p>
    <w:p w14:paraId="41BD2141" w14:textId="77777777" w:rsidR="00205702" w:rsidRDefault="00000000">
      <w:pPr>
        <w:rPr>
          <w:lang w:eastAsia="zh-CN"/>
        </w:rPr>
      </w:pPr>
      <w:r>
        <w:rPr>
          <w:lang w:eastAsia="zh-CN"/>
        </w:rPr>
        <w:t>表</w:t>
      </w:r>
      <w:r>
        <w:rPr>
          <w:lang w:eastAsia="zh-CN"/>
        </w:rPr>
        <w:t xml:space="preserve">6 </w:t>
      </w:r>
      <w:r>
        <w:rPr>
          <w:lang w:eastAsia="zh-CN"/>
        </w:rPr>
        <w:t>变量符号、含义与单位说明表</w:t>
      </w:r>
    </w:p>
    <w:tbl>
      <w:tblPr>
        <w:tblStyle w:val="af6"/>
        <w:tblW w:w="0" w:type="auto"/>
        <w:tblLook w:val="04A0" w:firstRow="1" w:lastRow="0" w:firstColumn="1" w:lastColumn="0" w:noHBand="0" w:noVBand="1"/>
      </w:tblPr>
      <w:tblGrid>
        <w:gridCol w:w="2878"/>
        <w:gridCol w:w="2879"/>
        <w:gridCol w:w="2879"/>
      </w:tblGrid>
      <w:tr w:rsidR="00205702" w14:paraId="2DA76A59" w14:textId="77777777">
        <w:tc>
          <w:tcPr>
            <w:tcW w:w="2882" w:type="dxa"/>
          </w:tcPr>
          <w:p w14:paraId="0FB18BC4" w14:textId="77777777" w:rsidR="00205702" w:rsidRDefault="00000000">
            <w:r>
              <w:rPr>
                <w:sz w:val="21"/>
              </w:rPr>
              <w:t>变量名称</w:t>
            </w:r>
          </w:p>
        </w:tc>
        <w:tc>
          <w:tcPr>
            <w:tcW w:w="2882" w:type="dxa"/>
          </w:tcPr>
          <w:p w14:paraId="294B86D1" w14:textId="77777777" w:rsidR="00205702" w:rsidRDefault="00000000">
            <w:r>
              <w:rPr>
                <w:sz w:val="21"/>
              </w:rPr>
              <w:t>指标含义</w:t>
            </w:r>
          </w:p>
        </w:tc>
        <w:tc>
          <w:tcPr>
            <w:tcW w:w="2882" w:type="dxa"/>
          </w:tcPr>
          <w:p w14:paraId="517FC4A2" w14:textId="77777777" w:rsidR="00205702" w:rsidRDefault="00000000">
            <w:r>
              <w:rPr>
                <w:sz w:val="21"/>
              </w:rPr>
              <w:t>单位或口径</w:t>
            </w:r>
          </w:p>
        </w:tc>
      </w:tr>
      <w:tr w:rsidR="00205702" w14:paraId="3B36CBD8" w14:textId="77777777">
        <w:tc>
          <w:tcPr>
            <w:tcW w:w="2882" w:type="dxa"/>
          </w:tcPr>
          <w:p w14:paraId="0AA7969A" w14:textId="77777777" w:rsidR="00205702" w:rsidRDefault="00000000">
            <w:r>
              <w:rPr>
                <w:sz w:val="21"/>
              </w:rPr>
              <w:t>eff</w:t>
            </w:r>
          </w:p>
        </w:tc>
        <w:tc>
          <w:tcPr>
            <w:tcW w:w="2882" w:type="dxa"/>
          </w:tcPr>
          <w:p w14:paraId="5A49433F" w14:textId="77777777" w:rsidR="00205702" w:rsidRDefault="00000000">
            <w:pPr>
              <w:rPr>
                <w:lang w:eastAsia="zh-CN"/>
              </w:rPr>
            </w:pPr>
            <w:r>
              <w:rPr>
                <w:sz w:val="21"/>
                <w:lang w:eastAsia="zh-CN"/>
              </w:rPr>
              <w:t>第一阶段超效率</w:t>
            </w:r>
            <w:r>
              <w:rPr>
                <w:sz w:val="21"/>
                <w:lang w:eastAsia="zh-CN"/>
              </w:rPr>
              <w:t>SBM</w:t>
            </w:r>
            <w:r>
              <w:rPr>
                <w:sz w:val="21"/>
                <w:lang w:eastAsia="zh-CN"/>
              </w:rPr>
              <w:t>测得的碳排放效率值</w:t>
            </w:r>
          </w:p>
        </w:tc>
        <w:tc>
          <w:tcPr>
            <w:tcW w:w="2882" w:type="dxa"/>
          </w:tcPr>
          <w:p w14:paraId="47A5B5A8" w14:textId="77777777" w:rsidR="00205702" w:rsidRDefault="00000000">
            <w:r>
              <w:rPr>
                <w:sz w:val="21"/>
              </w:rPr>
              <w:t>无量纲效率指数</w:t>
            </w:r>
          </w:p>
        </w:tc>
      </w:tr>
      <w:tr w:rsidR="00205702" w14:paraId="3524CB50" w14:textId="77777777">
        <w:tc>
          <w:tcPr>
            <w:tcW w:w="2882" w:type="dxa"/>
          </w:tcPr>
          <w:p w14:paraId="4036E0D4" w14:textId="77777777" w:rsidR="00205702" w:rsidRDefault="00000000">
            <w:r>
              <w:rPr>
                <w:sz w:val="21"/>
              </w:rPr>
              <w:t>lntl</w:t>
            </w:r>
          </w:p>
        </w:tc>
        <w:tc>
          <w:tcPr>
            <w:tcW w:w="2882" w:type="dxa"/>
          </w:tcPr>
          <w:p w14:paraId="145C0A2C" w14:textId="77777777" w:rsidR="00205702" w:rsidRDefault="00000000">
            <w:pPr>
              <w:rPr>
                <w:lang w:eastAsia="zh-CN"/>
              </w:rPr>
            </w:pPr>
            <w:r>
              <w:rPr>
                <w:sz w:val="21"/>
                <w:lang w:eastAsia="zh-CN"/>
              </w:rPr>
              <w:t>夜间灯光聚合度对数项</w:t>
            </w:r>
          </w:p>
        </w:tc>
        <w:tc>
          <w:tcPr>
            <w:tcW w:w="2882" w:type="dxa"/>
          </w:tcPr>
          <w:p w14:paraId="29FEF5B4" w14:textId="77777777" w:rsidR="00205702" w:rsidRDefault="00000000">
            <w:r>
              <w:rPr>
                <w:sz w:val="21"/>
              </w:rPr>
              <w:t>ln(ntl+1)</w:t>
            </w:r>
          </w:p>
        </w:tc>
      </w:tr>
      <w:tr w:rsidR="00205702" w14:paraId="6CE53307" w14:textId="77777777">
        <w:tc>
          <w:tcPr>
            <w:tcW w:w="2882" w:type="dxa"/>
          </w:tcPr>
          <w:p w14:paraId="5F989C7E" w14:textId="77777777" w:rsidR="00205702" w:rsidRDefault="00000000">
            <w:r>
              <w:rPr>
                <w:sz w:val="21"/>
              </w:rPr>
              <w:t>ind</w:t>
            </w:r>
          </w:p>
        </w:tc>
        <w:tc>
          <w:tcPr>
            <w:tcW w:w="2882" w:type="dxa"/>
          </w:tcPr>
          <w:p w14:paraId="7CB88535" w14:textId="77777777" w:rsidR="00205702" w:rsidRDefault="00000000">
            <w:r>
              <w:rPr>
                <w:sz w:val="21"/>
              </w:rPr>
              <w:t>产业结构</w:t>
            </w:r>
          </w:p>
        </w:tc>
        <w:tc>
          <w:tcPr>
            <w:tcW w:w="2882" w:type="dxa"/>
          </w:tcPr>
          <w:p w14:paraId="4DDB309F" w14:textId="77777777" w:rsidR="00205702" w:rsidRDefault="00000000">
            <w:pPr>
              <w:rPr>
                <w:lang w:eastAsia="zh-CN"/>
              </w:rPr>
            </w:pPr>
            <w:r>
              <w:rPr>
                <w:sz w:val="21"/>
                <w:lang w:eastAsia="zh-CN"/>
              </w:rPr>
              <w:t>第二产业增加值占</w:t>
            </w:r>
            <w:r>
              <w:rPr>
                <w:sz w:val="21"/>
                <w:lang w:eastAsia="zh-CN"/>
              </w:rPr>
              <w:t>GDP</w:t>
            </w:r>
            <w:r>
              <w:rPr>
                <w:sz w:val="21"/>
                <w:lang w:eastAsia="zh-CN"/>
              </w:rPr>
              <w:t>比重</w:t>
            </w:r>
          </w:p>
        </w:tc>
      </w:tr>
      <w:tr w:rsidR="00205702" w14:paraId="0E3B0AF6" w14:textId="77777777">
        <w:tc>
          <w:tcPr>
            <w:tcW w:w="2882" w:type="dxa"/>
          </w:tcPr>
          <w:p w14:paraId="2FE389A2" w14:textId="77777777" w:rsidR="00205702" w:rsidRDefault="00000000">
            <w:r>
              <w:rPr>
                <w:sz w:val="21"/>
              </w:rPr>
              <w:t>urb</w:t>
            </w:r>
          </w:p>
        </w:tc>
        <w:tc>
          <w:tcPr>
            <w:tcW w:w="2882" w:type="dxa"/>
          </w:tcPr>
          <w:p w14:paraId="4723C984" w14:textId="77777777" w:rsidR="00205702" w:rsidRDefault="00000000">
            <w:r>
              <w:rPr>
                <w:sz w:val="21"/>
              </w:rPr>
              <w:t>城镇化率</w:t>
            </w:r>
          </w:p>
        </w:tc>
        <w:tc>
          <w:tcPr>
            <w:tcW w:w="2882" w:type="dxa"/>
          </w:tcPr>
          <w:p w14:paraId="42F6B999" w14:textId="77777777" w:rsidR="00205702" w:rsidRDefault="00000000">
            <w:pPr>
              <w:rPr>
                <w:lang w:eastAsia="zh-CN"/>
              </w:rPr>
            </w:pPr>
            <w:r>
              <w:rPr>
                <w:sz w:val="21"/>
                <w:lang w:eastAsia="zh-CN"/>
              </w:rPr>
              <w:t>城镇常住人口占总人口比重</w:t>
            </w:r>
          </w:p>
        </w:tc>
      </w:tr>
      <w:tr w:rsidR="00205702" w14:paraId="636F0C74" w14:textId="77777777">
        <w:tc>
          <w:tcPr>
            <w:tcW w:w="2882" w:type="dxa"/>
          </w:tcPr>
          <w:p w14:paraId="0A2033D2" w14:textId="77777777" w:rsidR="00205702" w:rsidRDefault="00000000">
            <w:r>
              <w:rPr>
                <w:sz w:val="21"/>
              </w:rPr>
              <w:t>rd</w:t>
            </w:r>
          </w:p>
        </w:tc>
        <w:tc>
          <w:tcPr>
            <w:tcW w:w="2882" w:type="dxa"/>
          </w:tcPr>
          <w:p w14:paraId="1070B876" w14:textId="77777777" w:rsidR="00205702" w:rsidRDefault="00000000">
            <w:r>
              <w:rPr>
                <w:sz w:val="21"/>
              </w:rPr>
              <w:t>研发投入强度</w:t>
            </w:r>
          </w:p>
        </w:tc>
        <w:tc>
          <w:tcPr>
            <w:tcW w:w="2882" w:type="dxa"/>
          </w:tcPr>
          <w:p w14:paraId="4F61510C" w14:textId="77777777" w:rsidR="00205702" w:rsidRDefault="00000000">
            <w:pPr>
              <w:rPr>
                <w:lang w:eastAsia="zh-CN"/>
              </w:rPr>
            </w:pPr>
            <w:r>
              <w:rPr>
                <w:sz w:val="21"/>
                <w:lang w:eastAsia="zh-CN"/>
              </w:rPr>
              <w:t>R&amp;D</w:t>
            </w:r>
            <w:r>
              <w:rPr>
                <w:sz w:val="21"/>
                <w:lang w:eastAsia="zh-CN"/>
              </w:rPr>
              <w:t>经费投入占</w:t>
            </w:r>
            <w:r>
              <w:rPr>
                <w:sz w:val="21"/>
                <w:lang w:eastAsia="zh-CN"/>
              </w:rPr>
              <w:t>GDP</w:t>
            </w:r>
            <w:r>
              <w:rPr>
                <w:sz w:val="21"/>
                <w:lang w:eastAsia="zh-CN"/>
              </w:rPr>
              <w:t>比重</w:t>
            </w:r>
          </w:p>
        </w:tc>
      </w:tr>
      <w:tr w:rsidR="00205702" w14:paraId="7210C946" w14:textId="77777777">
        <w:tc>
          <w:tcPr>
            <w:tcW w:w="2882" w:type="dxa"/>
          </w:tcPr>
          <w:p w14:paraId="363DA8D7" w14:textId="77777777" w:rsidR="00205702" w:rsidRDefault="00000000">
            <w:r>
              <w:rPr>
                <w:sz w:val="21"/>
              </w:rPr>
              <w:lastRenderedPageBreak/>
              <w:t>open</w:t>
            </w:r>
          </w:p>
        </w:tc>
        <w:tc>
          <w:tcPr>
            <w:tcW w:w="2882" w:type="dxa"/>
          </w:tcPr>
          <w:p w14:paraId="76830CC1" w14:textId="77777777" w:rsidR="00205702" w:rsidRDefault="00000000">
            <w:r>
              <w:rPr>
                <w:sz w:val="21"/>
              </w:rPr>
              <w:t>对外开放水平</w:t>
            </w:r>
          </w:p>
        </w:tc>
        <w:tc>
          <w:tcPr>
            <w:tcW w:w="2882" w:type="dxa"/>
          </w:tcPr>
          <w:p w14:paraId="1C8D415A" w14:textId="77777777" w:rsidR="00205702" w:rsidRDefault="00000000">
            <w:pPr>
              <w:rPr>
                <w:lang w:eastAsia="zh-CN"/>
              </w:rPr>
            </w:pPr>
            <w:r>
              <w:rPr>
                <w:sz w:val="21"/>
                <w:lang w:eastAsia="zh-CN"/>
              </w:rPr>
              <w:t>货物进出口总额占</w:t>
            </w:r>
            <w:r>
              <w:rPr>
                <w:sz w:val="21"/>
                <w:lang w:eastAsia="zh-CN"/>
              </w:rPr>
              <w:t>GDP</w:t>
            </w:r>
            <w:r>
              <w:rPr>
                <w:sz w:val="21"/>
                <w:lang w:eastAsia="zh-CN"/>
              </w:rPr>
              <w:t>比重</w:t>
            </w:r>
          </w:p>
        </w:tc>
      </w:tr>
      <w:tr w:rsidR="00205702" w14:paraId="61F99836" w14:textId="77777777">
        <w:tc>
          <w:tcPr>
            <w:tcW w:w="2882" w:type="dxa"/>
          </w:tcPr>
          <w:p w14:paraId="09066963" w14:textId="77777777" w:rsidR="00205702" w:rsidRDefault="00000000">
            <w:r>
              <w:rPr>
                <w:sz w:val="21"/>
              </w:rPr>
              <w:t>es</w:t>
            </w:r>
          </w:p>
        </w:tc>
        <w:tc>
          <w:tcPr>
            <w:tcW w:w="2882" w:type="dxa"/>
          </w:tcPr>
          <w:p w14:paraId="56059E41" w14:textId="77777777" w:rsidR="00205702" w:rsidRDefault="00000000">
            <w:r>
              <w:rPr>
                <w:sz w:val="21"/>
              </w:rPr>
              <w:t>能源结构</w:t>
            </w:r>
          </w:p>
        </w:tc>
        <w:tc>
          <w:tcPr>
            <w:tcW w:w="2882" w:type="dxa"/>
          </w:tcPr>
          <w:p w14:paraId="309512A9" w14:textId="77777777" w:rsidR="00205702" w:rsidRDefault="00000000">
            <w:pPr>
              <w:rPr>
                <w:lang w:eastAsia="zh-CN"/>
              </w:rPr>
            </w:pPr>
            <w:r>
              <w:rPr>
                <w:sz w:val="21"/>
                <w:lang w:eastAsia="zh-CN"/>
              </w:rPr>
              <w:t>煤炭消费总量占能源消费总量比重</w:t>
            </w:r>
          </w:p>
        </w:tc>
      </w:tr>
    </w:tbl>
    <w:p w14:paraId="3F514003" w14:textId="77777777" w:rsidR="00B84757" w:rsidRDefault="00B84757">
      <w:pPr>
        <w:rPr>
          <w:lang w:eastAsia="zh-CN"/>
        </w:rPr>
      </w:pPr>
    </w:p>
    <w:p w14:paraId="2B117840" w14:textId="77777777" w:rsidR="00B84757" w:rsidRDefault="00000000">
      <w:pPr>
        <w:pStyle w:val="1"/>
        <w:pageBreakBefore/>
        <w:spacing w:before="0" w:afterLines="50" w:after="120" w:line="480" w:lineRule="exact"/>
        <w:jc w:val="center"/>
        <w:rPr>
          <w:color w:val="auto"/>
          <w:sz w:val="28"/>
          <w:lang w:eastAsia="zh-CN"/>
        </w:rPr>
      </w:pPr>
      <w:bookmarkStart w:id="75" w:name="_Toc24125"/>
      <w:r>
        <w:rPr>
          <w:color w:val="auto"/>
          <w:sz w:val="28"/>
          <w:lang w:eastAsia="zh-CN"/>
        </w:rPr>
        <w:lastRenderedPageBreak/>
        <w:t>致谢</w:t>
      </w:r>
      <w:bookmarkEnd w:id="75"/>
    </w:p>
    <w:p w14:paraId="583EFBD3" w14:textId="77777777" w:rsidR="00B84757" w:rsidRDefault="00000000">
      <w:pPr>
        <w:ind w:firstLine="839"/>
        <w:jc w:val="both"/>
        <w:rPr>
          <w:lang w:eastAsia="zh-CN"/>
        </w:rPr>
      </w:pPr>
      <w:r>
        <w:rPr>
          <w:lang w:eastAsia="zh-CN"/>
        </w:rPr>
        <w:t>在本论文的选题设计、研究开展和写作完成过程中，指导老师给予了我们耐心细致的指导与帮助。从研究思路的梳理、模型方法的选择，到论文结构的完善和文字内容的修改，老师都提出了许多宝贵意见，使我们受益良多。在此，谨向指导老师致以衷心的感谢。</w:t>
      </w:r>
    </w:p>
    <w:p w14:paraId="034FBFEC" w14:textId="77777777" w:rsidR="00B84757" w:rsidRDefault="00000000">
      <w:pPr>
        <w:ind w:firstLine="839"/>
        <w:jc w:val="both"/>
        <w:rPr>
          <w:lang w:eastAsia="zh-CN"/>
        </w:rPr>
      </w:pPr>
      <w:r>
        <w:rPr>
          <w:lang w:eastAsia="zh-CN"/>
        </w:rPr>
        <w:t>同时，感谢小组成员在本次研究中的共同努力。论文撰写过程中，大家围绕数据整理、文献查阅、模型构建、结果分析和图表优化等工作分工协作、密切配合，保证了研究任务的顺利完成。</w:t>
      </w:r>
    </w:p>
    <w:p w14:paraId="25827449" w14:textId="77777777" w:rsidR="00B84757" w:rsidRDefault="00000000">
      <w:pPr>
        <w:ind w:firstLine="839"/>
        <w:jc w:val="both"/>
        <w:rPr>
          <w:lang w:eastAsia="zh-CN"/>
        </w:rPr>
      </w:pPr>
      <w:r>
        <w:rPr>
          <w:lang w:eastAsia="zh-CN"/>
        </w:rPr>
        <w:t>此外，谨向在比赛准备和论文写作过程中给予我们支持与帮助的老师、同学表示诚挚谢意。</w:t>
      </w:r>
    </w:p>
    <w:sectPr w:rsidR="00B84757">
      <w:footerReference w:type="default" r:id="rId30"/>
      <w:footerReference w:type="first" r:id="rId31"/>
      <w:pgSz w:w="12240" w:h="15840"/>
      <w:pgMar w:top="1440" w:right="1797" w:bottom="1440" w:left="1797" w:header="720" w:footer="720" w:gutter="0"/>
      <w:pgNumType w:start="1"/>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6128B" w14:textId="77777777" w:rsidR="0070476D" w:rsidRDefault="0070476D">
      <w:pPr>
        <w:spacing w:line="240" w:lineRule="auto"/>
      </w:pPr>
      <w:r>
        <w:separator/>
      </w:r>
    </w:p>
  </w:endnote>
  <w:endnote w:type="continuationSeparator" w:id="0">
    <w:p w14:paraId="20E9D2EC" w14:textId="77777777" w:rsidR="0070476D" w:rsidRDefault="007047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隶书">
    <w:panose1 w:val="02010509060101010101"/>
    <w:charset w:val="86"/>
    <w:family w:val="modern"/>
    <w:pitch w:val="fixed"/>
    <w:sig w:usb0="00000001" w:usb1="080E0000" w:usb2="00000010" w:usb3="00000000" w:csb0="00040000" w:csb1="00000000"/>
  </w:font>
  <w:font w:name="方正小标宋简体">
    <w:altName w:val="微软雅黑"/>
    <w:charset w:val="86"/>
    <w:family w:val="script"/>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方正小标宋_GBK">
    <w:altName w:val="微软雅黑"/>
    <w:charset w:val="86"/>
    <w:family w:val="script"/>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2086D" w14:textId="77777777" w:rsidR="00B84757" w:rsidRDefault="00000000">
    <w:pPr>
      <w:pStyle w:val="ab"/>
    </w:pPr>
    <w:r>
      <w:rPr>
        <w:noProof/>
      </w:rPr>
      <mc:AlternateContent>
        <mc:Choice Requires="wps">
          <w:drawing>
            <wp:anchor distT="0" distB="0" distL="114300" distR="114300" simplePos="0" relativeHeight="251659264" behindDoc="0" locked="0" layoutInCell="1" allowOverlap="1" wp14:anchorId="24EFF6A7" wp14:editId="24D61F57">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703F1D1" w14:textId="77777777" w:rsidR="00B84757" w:rsidRDefault="00000000">
                          <w:pPr>
                            <w:pStyle w:val="ab"/>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EFF6A7"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4703F1D1" w14:textId="77777777" w:rsidR="00B84757" w:rsidRDefault="00000000">
                    <w:pPr>
                      <w:pStyle w:val="ab"/>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D1993" w14:textId="77777777" w:rsidR="00B84757" w:rsidRDefault="00000000">
    <w:pPr>
      <w:pStyle w:val="ab"/>
    </w:pPr>
    <w:r>
      <w:rPr>
        <w:noProof/>
      </w:rPr>
      <mc:AlternateContent>
        <mc:Choice Requires="wps">
          <w:drawing>
            <wp:anchor distT="0" distB="0" distL="114300" distR="114300" simplePos="0" relativeHeight="251660288" behindDoc="0" locked="0" layoutInCell="1" allowOverlap="1" wp14:anchorId="457D08B3" wp14:editId="68C3886D">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2C826F0" w14:textId="77777777" w:rsidR="00B84757" w:rsidRDefault="00000000">
                          <w:pPr>
                            <w:pStyle w:val="ab"/>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57D08B3" id="_x0000_t202" coordsize="21600,21600" o:spt="202" path="m,l,21600r21600,l21600,xe">
              <v:stroke joinstyle="miter"/>
              <v:path gradientshapeok="t" o:connecttype="rect"/>
            </v:shapetype>
            <v:shape id="文本框 3"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02C826F0" w14:textId="77777777" w:rsidR="00B84757" w:rsidRDefault="00000000">
                    <w:pPr>
                      <w:pStyle w:val="ab"/>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9548D" w14:textId="77777777" w:rsidR="0070476D" w:rsidRDefault="0070476D">
      <w:pPr>
        <w:spacing w:after="0"/>
      </w:pPr>
      <w:r>
        <w:separator/>
      </w:r>
    </w:p>
  </w:footnote>
  <w:footnote w:type="continuationSeparator" w:id="0">
    <w:p w14:paraId="22E08A3F" w14:textId="77777777" w:rsidR="0070476D" w:rsidRDefault="0070476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26B222F3"/>
    <w:multiLevelType w:val="multilevel"/>
    <w:tmpl w:val="26B222F3"/>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694843097">
    <w:abstractNumId w:val="1"/>
  </w:num>
  <w:num w:numId="2" w16cid:durableId="1422019893">
    <w:abstractNumId w:val="4"/>
  </w:num>
  <w:num w:numId="3" w16cid:durableId="1668093588">
    <w:abstractNumId w:val="5"/>
  </w:num>
  <w:num w:numId="4" w16cid:durableId="1594626302">
    <w:abstractNumId w:val="2"/>
  </w:num>
  <w:num w:numId="5" w16cid:durableId="2095127201">
    <w:abstractNumId w:val="0"/>
  </w:num>
  <w:num w:numId="6" w16cid:durableId="1370378966">
    <w:abstractNumId w:val="3"/>
  </w:num>
  <w:num w:numId="7" w16cid:durableId="14555646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99D"/>
    <w:rsid w:val="0000396D"/>
    <w:rsid w:val="00005CD2"/>
    <w:rsid w:val="00034616"/>
    <w:rsid w:val="0006063C"/>
    <w:rsid w:val="000B48C8"/>
    <w:rsid w:val="000D27B9"/>
    <w:rsid w:val="000E2A76"/>
    <w:rsid w:val="00107F16"/>
    <w:rsid w:val="00147393"/>
    <w:rsid w:val="0015074B"/>
    <w:rsid w:val="00173169"/>
    <w:rsid w:val="001C5D60"/>
    <w:rsid w:val="00204B62"/>
    <w:rsid w:val="00205702"/>
    <w:rsid w:val="0029639D"/>
    <w:rsid w:val="002A0EC1"/>
    <w:rsid w:val="002B5854"/>
    <w:rsid w:val="002F0884"/>
    <w:rsid w:val="00326F90"/>
    <w:rsid w:val="00350533"/>
    <w:rsid w:val="00366A04"/>
    <w:rsid w:val="00385B3E"/>
    <w:rsid w:val="004511DB"/>
    <w:rsid w:val="00474696"/>
    <w:rsid w:val="004C5DEF"/>
    <w:rsid w:val="004D19D0"/>
    <w:rsid w:val="004F054D"/>
    <w:rsid w:val="00503DCA"/>
    <w:rsid w:val="00555C29"/>
    <w:rsid w:val="00563086"/>
    <w:rsid w:val="0057597C"/>
    <w:rsid w:val="00594AFF"/>
    <w:rsid w:val="00596F79"/>
    <w:rsid w:val="006A4122"/>
    <w:rsid w:val="006B1A39"/>
    <w:rsid w:val="006D5F54"/>
    <w:rsid w:val="0070476D"/>
    <w:rsid w:val="007268CF"/>
    <w:rsid w:val="007613C4"/>
    <w:rsid w:val="007A5AAE"/>
    <w:rsid w:val="007C0680"/>
    <w:rsid w:val="007C2389"/>
    <w:rsid w:val="008144C5"/>
    <w:rsid w:val="00830A8F"/>
    <w:rsid w:val="00863295"/>
    <w:rsid w:val="00942438"/>
    <w:rsid w:val="00961903"/>
    <w:rsid w:val="00966650"/>
    <w:rsid w:val="00974EA1"/>
    <w:rsid w:val="0097705E"/>
    <w:rsid w:val="009A35F1"/>
    <w:rsid w:val="00A00B69"/>
    <w:rsid w:val="00A03003"/>
    <w:rsid w:val="00A4302B"/>
    <w:rsid w:val="00A57AEF"/>
    <w:rsid w:val="00A76982"/>
    <w:rsid w:val="00A866D4"/>
    <w:rsid w:val="00AA1D8D"/>
    <w:rsid w:val="00AF09ED"/>
    <w:rsid w:val="00B47730"/>
    <w:rsid w:val="00B84757"/>
    <w:rsid w:val="00BA25F1"/>
    <w:rsid w:val="00C775D2"/>
    <w:rsid w:val="00CB0664"/>
    <w:rsid w:val="00CB380C"/>
    <w:rsid w:val="00D20D93"/>
    <w:rsid w:val="00D52139"/>
    <w:rsid w:val="00E11FF5"/>
    <w:rsid w:val="00E14788"/>
    <w:rsid w:val="00E81D15"/>
    <w:rsid w:val="00EB5E7C"/>
    <w:rsid w:val="00EE5FCC"/>
    <w:rsid w:val="00FC693F"/>
    <w:rsid w:val="0B44010B"/>
    <w:rsid w:val="0D7A2C98"/>
    <w:rsid w:val="0E4F7C80"/>
    <w:rsid w:val="12FE3A23"/>
    <w:rsid w:val="25D30D3F"/>
    <w:rsid w:val="27475541"/>
    <w:rsid w:val="27DD7C53"/>
    <w:rsid w:val="2C062248"/>
    <w:rsid w:val="355157DD"/>
    <w:rsid w:val="396E4C10"/>
    <w:rsid w:val="40102492"/>
    <w:rsid w:val="413218AC"/>
    <w:rsid w:val="4624093F"/>
    <w:rsid w:val="506D5769"/>
    <w:rsid w:val="53B303F3"/>
    <w:rsid w:val="5B0D2022"/>
    <w:rsid w:val="625B18C5"/>
    <w:rsid w:val="69AA4EE0"/>
    <w:rsid w:val="6D6D6950"/>
    <w:rsid w:val="70F03A21"/>
    <w:rsid w:val="75A86F24"/>
    <w:rsid w:val="79295CAB"/>
    <w:rsid w:val="7E5F3B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B9647C"/>
  <w14:defaultImageDpi w14:val="330"/>
  <w15:docId w15:val="{FAFBBF99-24D0-4B1D-8852-AF1C6FCCF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360" w:lineRule="auto"/>
    </w:pPr>
    <w:rPr>
      <w:rFonts w:cstheme="minorBidi"/>
      <w:sz w:val="24"/>
      <w:szCs w:val="22"/>
      <w:lang w:eastAsia="en-US"/>
    </w:rPr>
  </w:style>
  <w:style w:type="paragraph" w:styleId="1">
    <w:name w:val="heading 1"/>
    <w:basedOn w:val="a1"/>
    <w:next w:val="a1"/>
    <w:link w:val="10"/>
    <w:uiPriority w:val="9"/>
    <w:qFormat/>
    <w:pPr>
      <w:keepNext/>
      <w:keepLines/>
      <w:spacing w:before="480" w:after="0"/>
      <w:outlineLvl w:val="0"/>
    </w:pPr>
    <w:rPr>
      <w:rFonts w:eastAsia="黑体" w:cstheme="majorBidi"/>
      <w:b/>
      <w:bCs/>
      <w:color w:val="000000" w:themeColor="text1"/>
      <w:sz w:val="30"/>
      <w:szCs w:val="28"/>
    </w:rPr>
  </w:style>
  <w:style w:type="paragraph" w:styleId="21">
    <w:name w:val="heading 2"/>
    <w:basedOn w:val="a1"/>
    <w:next w:val="a1"/>
    <w:link w:val="22"/>
    <w:uiPriority w:val="9"/>
    <w:unhideWhenUsed/>
    <w:qFormat/>
    <w:pPr>
      <w:keepNext/>
      <w:keepLines/>
      <w:spacing w:before="200" w:after="0"/>
      <w:outlineLvl w:val="1"/>
    </w:pPr>
    <w:rPr>
      <w:rFonts w:eastAsia="楷体" w:cstheme="majorBidi"/>
      <w:b/>
      <w:bCs/>
      <w:color w:val="000000" w:themeColor="text1"/>
      <w:sz w:val="28"/>
      <w:szCs w:val="26"/>
    </w:rPr>
  </w:style>
  <w:style w:type="paragraph" w:styleId="31">
    <w:name w:val="heading 3"/>
    <w:basedOn w:val="a1"/>
    <w:next w:val="a1"/>
    <w:link w:val="32"/>
    <w:uiPriority w:val="9"/>
    <w:unhideWhenUsed/>
    <w:qFormat/>
    <w:pPr>
      <w:keepNext/>
      <w:keepLines/>
      <w:spacing w:before="200" w:after="0"/>
      <w:outlineLvl w:val="2"/>
    </w:pPr>
    <w:rPr>
      <w:rFonts w:cstheme="majorBidi"/>
      <w:b/>
      <w:bCs/>
      <w:color w:val="000000" w:themeColor="tex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unhideWhenUsed/>
    <w:qFormat/>
    <w:pPr>
      <w:spacing w:line="480" w:lineRule="exact"/>
      <w:jc w:val="center"/>
    </w:pPr>
    <w:rPr>
      <w:bCs/>
      <w:color w:val="000000" w:themeColor="text1"/>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TOC1">
    <w:name w:val="toc 1"/>
    <w:basedOn w:val="a1"/>
    <w:next w:val="a1"/>
    <w:autoRedefine/>
    <w:uiPriority w:val="39"/>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af2">
    <w:name w:val="table of figures"/>
    <w:basedOn w:val="a1"/>
    <w:next w:val="a1"/>
    <w:uiPriority w:val="99"/>
    <w:unhideWhenUsed/>
    <w:pPr>
      <w:ind w:leftChars="200" w:left="200" w:hangingChars="200" w:hanging="200"/>
    </w:pPr>
  </w:style>
  <w:style w:type="paragraph" w:styleId="TOC2">
    <w:name w:val="toc 2"/>
    <w:basedOn w:val="a1"/>
    <w:next w:val="a1"/>
    <w:autoRedefine/>
    <w:uiPriority w:val="39"/>
    <w:unhideWhenUsed/>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af3">
    <w:name w:val="Normal (Web)"/>
    <w:basedOn w:val="a1"/>
    <w:uiPriority w:val="99"/>
    <w:semiHidden/>
    <w:unhideWhenUsed/>
    <w:pPr>
      <w:spacing w:beforeAutospacing="1" w:after="0" w:afterAutospacing="1"/>
    </w:pPr>
    <w:rPr>
      <w:rFonts w:cs="Times New Roman"/>
      <w:lang w:eastAsia="zh-CN"/>
    </w:rPr>
  </w:style>
  <w:style w:type="paragraph" w:styleId="36">
    <w:name w:val="List Continue 3"/>
    <w:basedOn w:val="a1"/>
    <w:uiPriority w:val="99"/>
    <w:unhideWhenUsed/>
    <w:pPr>
      <w:spacing w:after="120"/>
      <w:ind w:left="1080"/>
      <w:contextualSpacing/>
    </w:pPr>
  </w:style>
  <w:style w:type="paragraph" w:styleId="af4">
    <w:name w:val="Title"/>
    <w:basedOn w:val="a1"/>
    <w:next w:val="a1"/>
    <w:link w:val="af5"/>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6">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7">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8">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9">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a">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b">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c">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d">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e">
    <w:name w:val="Strong"/>
    <w:basedOn w:val="a2"/>
    <w:uiPriority w:val="22"/>
    <w:qFormat/>
    <w:rPr>
      <w:b/>
      <w:bCs/>
    </w:rPr>
  </w:style>
  <w:style w:type="character" w:styleId="aff">
    <w:name w:val="Emphasis"/>
    <w:basedOn w:val="a2"/>
    <w:uiPriority w:val="20"/>
    <w:qFormat/>
    <w:rPr>
      <w:i/>
      <w:iCs/>
    </w:rPr>
  </w:style>
  <w:style w:type="character" w:styleId="aff0">
    <w:name w:val="Hyperlink"/>
    <w:basedOn w:val="a2"/>
    <w:uiPriority w:val="99"/>
    <w:unhideWhenUsed/>
    <w:qFormat/>
    <w:rPr>
      <w:color w:val="0000FF" w:themeColor="hyperlink"/>
      <w:u w:val="single"/>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1">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imes New Roman" w:eastAsia="黑体" w:hAnsi="Times New Roman" w:cstheme="majorBidi"/>
      <w:b/>
      <w:bCs/>
      <w:color w:val="000000" w:themeColor="text1"/>
      <w:sz w:val="30"/>
      <w:szCs w:val="28"/>
    </w:rPr>
  </w:style>
  <w:style w:type="character" w:customStyle="1" w:styleId="22">
    <w:name w:val="标题 2 字符"/>
    <w:basedOn w:val="a2"/>
    <w:link w:val="21"/>
    <w:uiPriority w:val="9"/>
    <w:qFormat/>
    <w:rPr>
      <w:rFonts w:ascii="Times New Roman" w:eastAsia="楷体" w:hAnsi="Times New Roman" w:cstheme="majorBidi"/>
      <w:b/>
      <w:bCs/>
      <w:color w:val="000000" w:themeColor="text1"/>
      <w:sz w:val="26"/>
      <w:szCs w:val="26"/>
    </w:rPr>
  </w:style>
  <w:style w:type="character" w:customStyle="1" w:styleId="32">
    <w:name w:val="标题 3 字符"/>
    <w:basedOn w:val="a2"/>
    <w:link w:val="31"/>
    <w:uiPriority w:val="9"/>
    <w:qFormat/>
    <w:rPr>
      <w:rFonts w:ascii="Times New Roman" w:eastAsia="宋体" w:hAnsi="Times New Roman" w:cstheme="majorBidi"/>
      <w:b/>
      <w:bCs/>
      <w:color w:val="000000" w:themeColor="text1"/>
    </w:rPr>
  </w:style>
  <w:style w:type="character" w:customStyle="1" w:styleId="af5">
    <w:name w:val="标题 字符"/>
    <w:basedOn w:val="a2"/>
    <w:link w:val="af4"/>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2">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3">
    <w:name w:val="Quote"/>
    <w:basedOn w:val="a1"/>
    <w:next w:val="a1"/>
    <w:link w:val="aff4"/>
    <w:uiPriority w:val="29"/>
    <w:qFormat/>
    <w:rPr>
      <w:i/>
      <w:iCs/>
      <w:color w:val="000000" w:themeColor="text1"/>
    </w:rPr>
  </w:style>
  <w:style w:type="character" w:customStyle="1" w:styleId="aff4">
    <w:name w:val="引用 字符"/>
    <w:basedOn w:val="a2"/>
    <w:link w:val="aff3"/>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5">
    <w:name w:val="Intense Quote"/>
    <w:basedOn w:val="a1"/>
    <w:next w:val="a1"/>
    <w:link w:val="aff6"/>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6">
    <w:name w:val="明显引用 字符"/>
    <w:basedOn w:val="a2"/>
    <w:link w:val="aff5"/>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customStyle="1" w:styleId="111">
    <w:name w:val="图目录111"/>
    <w:basedOn w:val="a1"/>
    <w:qFormat/>
    <w:pPr>
      <w:jc w:val="center"/>
    </w:pPr>
    <w:rPr>
      <w:lang w:eastAsia="zh-CN"/>
    </w:rPr>
  </w:style>
  <w:style w:type="paragraph" w:customStyle="1" w:styleId="1110">
    <w:name w:val="表目录111"/>
    <w:basedOn w:val="a1"/>
    <w:qFormat/>
    <w:pPr>
      <w:jc w:val="center"/>
    </w:pPr>
    <w:rPr>
      <w:lang w:eastAsia="zh-CN"/>
    </w:rPr>
  </w:style>
  <w:style w:type="character" w:customStyle="1" w:styleId="font61">
    <w:name w:val="font61"/>
    <w:basedOn w:val="a2"/>
    <w:rPr>
      <w:rFonts w:ascii="宋体" w:eastAsia="宋体" w:hAnsi="宋体" w:cs="宋体" w:hint="eastAsia"/>
      <w:b/>
      <w:bCs/>
      <w:color w:val="000000"/>
      <w:sz w:val="24"/>
      <w:szCs w:val="24"/>
      <w:u w:val="none"/>
    </w:rPr>
  </w:style>
  <w:style w:type="character" w:customStyle="1" w:styleId="font11">
    <w:name w:val="font11"/>
    <w:basedOn w:val="a2"/>
    <w:rPr>
      <w:rFonts w:ascii="Times New Roman" w:hAnsi="Times New Roman" w:cs="Times New Roman" w:hint="default"/>
      <w:b/>
      <w:bCs/>
      <w:color w:val="000000"/>
      <w:sz w:val="24"/>
      <w:szCs w:val="24"/>
      <w:u w:val="none"/>
    </w:rPr>
  </w:style>
  <w:style w:type="paragraph" w:customStyle="1" w:styleId="aff7">
    <w:name w:val="公式"/>
    <w:basedOn w:val="a1"/>
    <w:pPr>
      <w:spacing w:after="120"/>
      <w:jc w:val="center"/>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53</Pages>
  <Words>4949</Words>
  <Characters>28215</Characters>
  <Application>Microsoft Office Word</Application>
  <DocSecurity>0</DocSecurity>
  <Lines>235</Lines>
  <Paragraphs>66</Paragraphs>
  <ScaleCrop>false</ScaleCrop>
  <Company/>
  <LinksUpToDate>false</LinksUpToDate>
  <CharactersWithSpaces>33098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Wil Ziew</cp:lastModifiedBy>
  <cp:revision>2</cp:revision>
  <dcterms:created xsi:type="dcterms:W3CDTF">2026-05-07T17:21:00Z</dcterms:created>
  <dcterms:modified xsi:type="dcterms:W3CDTF">2026-05-07T17:21:00Z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eyJoZGlkIjoiZTFhMjk5NTk0YWZjNTYzYTY1YWMwMmViM2M1YTkzMWQiLCJ1c2VySWQiOiIxMTI5MTEzODUyIn0=</vt:lpwstr>
  </property>
  <property fmtid="{D5CDD505-2E9C-101B-9397-08002B2CF9AE}" pid="3" name="KSOProductBuildVer">
    <vt:lpwstr>2052-12.1.0.25865</vt:lpwstr>
  </property>
  <property fmtid="{D5CDD505-2E9C-101B-9397-08002B2CF9AE}" pid="4" name="ICV">
    <vt:lpwstr>F4E3668311EC4833A9FB829CAE209654_13</vt:lpwstr>
  </property>
</Properties>
</file>