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FC65">
      <w:pPr>
        <w:spacing w:line="600" w:lineRule="exact"/>
        <w:ind w:right="-94"/>
        <w:rPr>
          <w:rFonts w:hint="eastAsia" w:ascii="黑体" w:hAnsi="黑体" w:eastAsia="黑体"/>
          <w:sz w:val="32"/>
          <w:szCs w:val="32"/>
        </w:rPr>
      </w:pPr>
      <w:r>
        <w:rPr>
          <w:rFonts w:hint="eastAsia" w:ascii="Times New Roman" w:hAnsi="Times New Roman" w:eastAsia="SimSun"/>
          <w:b w:val="0"/>
          <w:sz w:val="21"/>
          <w:szCs w:val="32"/>
        </w:rPr>
        <w:t>作品编号：TJJM20260419281026</w:t>
      </w:r>
    </w:p>
    <w:p w14:paraId="465ECB8E">
      <w:pPr>
        <w:spacing w:line="600" w:lineRule="exact"/>
        <w:ind w:right="-94"/>
        <w:rPr>
          <w:rFonts w:hint="eastAsia" w:ascii="黑体" w:hAnsi="黑体" w:eastAsia="黑体"/>
          <w:sz w:val="32"/>
          <w:szCs w:val="32"/>
        </w:rPr>
      </w:pPr>
    </w:p>
    <w:p w14:paraId="0BE14920">
      <w:pPr>
        <w:spacing w:line="600" w:lineRule="exact"/>
        <w:ind w:right="-94"/>
        <w:rPr>
          <w:rFonts w:hint="eastAsia" w:ascii="黑体" w:hAnsi="黑体" w:eastAsia="黑体"/>
          <w:sz w:val="32"/>
          <w:szCs w:val="32"/>
          <w:lang w:val="en"/>
        </w:rPr>
      </w:pPr>
    </w:p>
    <w:p w14:paraId="2CE63EA4">
      <w:pPr>
        <w:spacing w:line="600" w:lineRule="exact"/>
        <w:ind w:right="-94"/>
        <w:rPr>
          <w:rFonts w:hint="eastAsia" w:ascii="黑体" w:hAnsi="黑体" w:eastAsia="黑体"/>
          <w:sz w:val="32"/>
          <w:szCs w:val="32"/>
          <w:lang w:val="en"/>
        </w:rPr>
      </w:pPr>
    </w:p>
    <w:p w14:paraId="532E08DD">
      <w:pPr>
        <w:spacing w:line="20" w:lineRule="atLeast"/>
        <w:rPr>
          <w:rFonts w:hint="eastAsia" w:ascii="方正小标宋简体" w:hAnsi="等线" w:eastAsia="方正小标宋简体" w:cs="方正小标宋_GBK"/>
          <w:w w:val="95"/>
          <w:sz w:val="44"/>
          <w:szCs w:val="44"/>
          <w:lang w:bidi="ar"/>
        </w:rPr>
      </w:pPr>
      <w:r>
        <w:rPr>
          <w:rFonts w:hint="eastAsia" w:ascii="Times New Roman" w:hAnsi="Times New Roman" w:eastAsia="SimSun" w:cs="方正小标宋_GBK"/>
          <w:b w:val="0"/>
          <w:w w:val="95"/>
          <w:sz w:val="21"/>
          <w:szCs w:val="44"/>
          <w:lang w:bidi="ar"/>
        </w:rPr>
        <w:t>202</w:t>
      </w:r>
      <w:r>
        <w:rPr>
          <w:rFonts w:hint="eastAsia" w:ascii="Times New Roman" w:hAnsi="Times New Roman" w:eastAsia="SimSun" w:cs="方正小标宋_GBK"/>
          <w:b w:val="0"/>
          <w:w w:val="95"/>
          <w:sz w:val="21"/>
          <w:szCs w:val="44"/>
          <w:lang w:val="en-US" w:eastAsia="zh-CN" w:bidi="ar"/>
        </w:rPr>
        <w:t>6</w:t>
      </w:r>
      <w:r>
        <w:rPr>
          <w:rFonts w:hint="eastAsia" w:ascii="Times New Roman" w:hAnsi="Times New Roman" w:eastAsia="SimSun" w:cs="方正小标宋_GBK"/>
          <w:b w:val="0"/>
          <w:w w:val="95"/>
          <w:sz w:val="21"/>
          <w:szCs w:val="44"/>
          <w:lang w:bidi="ar"/>
        </w:rPr>
        <w:t>年（第十</w:t>
      </w:r>
      <w:r>
        <w:rPr>
          <w:rFonts w:hint="eastAsia" w:ascii="Times New Roman" w:hAnsi="Times New Roman" w:eastAsia="SimSun" w:cs="方正小标宋_GBK"/>
          <w:b w:val="0"/>
          <w:w w:val="95"/>
          <w:sz w:val="21"/>
          <w:szCs w:val="44"/>
          <w:lang w:eastAsia="zh-CN" w:bidi="ar"/>
        </w:rPr>
        <w:t>二</w:t>
      </w:r>
      <w:r>
        <w:rPr>
          <w:rFonts w:hint="eastAsia" w:ascii="Times New Roman" w:hAnsi="Times New Roman" w:eastAsia="SimSun" w:cs="方正小标宋_GBK"/>
          <w:b w:val="0"/>
          <w:w w:val="95"/>
          <w:sz w:val="21"/>
          <w:szCs w:val="44"/>
          <w:lang w:bidi="ar"/>
        </w:rPr>
        <w:t>届</w:t>
      </w:r>
      <w:r>
        <w:rPr>
          <w:rFonts w:hint="eastAsia" w:ascii="Times New Roman" w:hAnsi="Times New Roman" w:eastAsia="SimSun" w:cs="方正小标宋_GBK"/>
          <w:b w:val="0"/>
          <w:w w:val="95"/>
          <w:sz w:val="21"/>
          <w:szCs w:val="44"/>
          <w:lang w:eastAsia="zh-CN" w:bidi="ar"/>
        </w:rPr>
        <w:t>）</w:t>
      </w:r>
      <w:r>
        <w:rPr>
          <w:rFonts w:hint="eastAsia" w:ascii="Times New Roman" w:hAnsi="Times New Roman" w:eastAsia="SimSun" w:cs="方正小标宋_GBK"/>
          <w:b w:val="0"/>
          <w:w w:val="95"/>
          <w:sz w:val="21"/>
          <w:szCs w:val="44"/>
          <w:lang w:bidi="ar"/>
        </w:rPr>
        <w:t>全国大学生统计建模大赛</w:t>
      </w:r>
    </w:p>
    <w:p w14:paraId="2A0D90A3">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bidi="ar"/>
        </w:rPr>
      </w:pPr>
      <w:r>
        <w:rPr>
          <w:rFonts w:hint="eastAsia" w:ascii="Times New Roman" w:hAnsi="Times New Roman" w:eastAsia="SimSun" w:cs="方正小标宋_GBK"/>
          <w:b w:val="0"/>
          <w:sz w:val="21"/>
          <w:szCs w:val="52"/>
          <w:lang w:bidi="ar"/>
        </w:rPr>
        <w:t>参 赛 作 品</w:t>
      </w:r>
    </w:p>
    <w:p w14:paraId="21B69271">
      <w:pPr>
        <w:keepNext w:val="0"/>
        <w:keepLines w:val="0"/>
        <w:pageBreakBefore w:val="0"/>
        <w:widowControl/>
        <w:kinsoku/>
        <w:wordWrap/>
        <w:overflowPunct/>
        <w:topLinePunct w:val="0"/>
        <w:autoSpaceDE/>
        <w:autoSpaceDN/>
        <w:bidi w:val="0"/>
        <w:adjustRightInd/>
        <w:snapToGrid/>
        <w:spacing w:line="900" w:lineRule="atLeast"/>
        <w:jc w:val="both"/>
        <w:textAlignment w:val="auto"/>
        <w:rPr>
          <w:rFonts w:hint="eastAsia" w:ascii="方正小标宋简体" w:hAnsi="等线" w:eastAsia="方正小标宋简体" w:cs="方正小标宋_GBK"/>
          <w:sz w:val="52"/>
          <w:szCs w:val="52"/>
          <w:lang w:bidi="ar"/>
        </w:rPr>
      </w:pPr>
    </w:p>
    <w:p w14:paraId="468A0E38">
      <w:pPr>
        <w:keepNext w:val="0"/>
        <w:keepLines w:val="0"/>
        <w:pageBreakBefore w:val="0"/>
        <w:widowControl/>
        <w:kinsoku/>
        <w:wordWrap/>
        <w:overflowPunct/>
        <w:topLinePunct w:val="0"/>
        <w:autoSpaceDE/>
        <w:autoSpaceDN/>
        <w:bidi w:val="0"/>
        <w:adjustRightInd/>
        <w:snapToGrid/>
        <w:spacing w:line="900" w:lineRule="atLeast"/>
        <w:jc w:val="center"/>
        <w:textAlignment w:val="auto"/>
        <w:rPr>
          <w:rFonts w:hint="eastAsia" w:ascii="方正小标宋简体" w:hAnsi="等线" w:eastAsia="方正小标宋简体" w:cs="方正小标宋_GBK"/>
          <w:sz w:val="52"/>
          <w:szCs w:val="52"/>
          <w:lang w:eastAsia="zh-CN" w:bidi="ar"/>
        </w:rPr>
      </w:pPr>
    </w:p>
    <w:tbl>
      <w:tblPr>
        <w:tblStyle w:val="39"/>
        <w:tblW w:w="4999" w:type="pct"/>
        <w:jc w:val="center"/>
        <w:tblLayout w:type="autofit"/>
        <w:tblCellMar>
          <w:top w:w="0" w:type="dxa"/>
          <w:left w:w="108" w:type="dxa"/>
          <w:bottom w:w="0" w:type="dxa"/>
          <w:right w:w="108" w:type="dxa"/>
        </w:tblCellMar>
      </w:tblPr>
      <w:tblGrid>
        <w:gridCol w:w="2213"/>
        <w:gridCol w:w="6647"/>
      </w:tblGrid>
      <w:tr w14:paraId="0B696DB6">
        <w:tblPrEx>
          <w:tblCellMar>
            <w:top w:w="0" w:type="dxa"/>
            <w:left w:w="108" w:type="dxa"/>
            <w:bottom w:w="0" w:type="dxa"/>
            <w:right w:w="108" w:type="dxa"/>
          </w:tblCellMar>
        </w:tblPrEx>
        <w:trPr>
          <w:trHeight w:val="1285" w:hRule="atLeast"/>
          <w:jc w:val="center"/>
        </w:trPr>
        <w:tc>
          <w:tcPr>
            <w:tcW w:w="1249" w:type="pct"/>
            <w:vAlign w:val="center"/>
          </w:tcPr>
          <w:p w14:paraId="551C78B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参赛学校：</w:t>
            </w:r>
          </w:p>
        </w:tc>
        <w:tc>
          <w:tcPr>
            <w:tcW w:w="3750" w:type="pct"/>
            <w:tcBorders>
              <w:top w:val="nil"/>
              <w:left w:val="nil"/>
              <w:bottom w:val="single" w:color="auto" w:sz="12" w:space="0"/>
              <w:right w:val="nil"/>
            </w:tcBorders>
            <w:vAlign w:val="center"/>
          </w:tcPr>
          <w:p w14:paraId="40A8A4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eastAsia="zh-CN"/>
              </w:rPr>
              <w:t>中南林业科技大学</w:t>
            </w:r>
          </w:p>
        </w:tc>
      </w:tr>
      <w:tr w14:paraId="0A3266EE">
        <w:tblPrEx>
          <w:tblCellMar>
            <w:top w:w="0" w:type="dxa"/>
            <w:left w:w="108" w:type="dxa"/>
            <w:bottom w:w="0" w:type="dxa"/>
            <w:right w:w="108" w:type="dxa"/>
          </w:tblCellMar>
        </w:tblPrEx>
        <w:trPr>
          <w:trHeight w:val="1207" w:hRule="atLeast"/>
          <w:jc w:val="center"/>
        </w:trPr>
        <w:tc>
          <w:tcPr>
            <w:tcW w:w="1249" w:type="pct"/>
            <w:vAlign w:val="center"/>
          </w:tcPr>
          <w:p w14:paraId="52778C19">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论文题目：</w:t>
            </w:r>
          </w:p>
        </w:tc>
        <w:tc>
          <w:tcPr>
            <w:tcW w:w="3750" w:type="pct"/>
            <w:tcBorders>
              <w:top w:val="single" w:color="auto" w:sz="12" w:space="0"/>
              <w:left w:val="nil"/>
              <w:bottom w:val="single" w:color="auto" w:sz="12" w:space="0"/>
              <w:right w:val="nil"/>
            </w:tcBorders>
            <w:vAlign w:val="center"/>
          </w:tcPr>
          <w:p w14:paraId="598029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方正小标宋_GBK" w:hAnsi="方正小标宋_GBK" w:eastAsia="方正小标宋_GBK" w:cs="方正小标宋_GBK"/>
                <w:bCs/>
                <w:sz w:val="36"/>
                <w:szCs w:val="36"/>
                <w:lang w:eastAsia="zh-CN"/>
              </w:rPr>
            </w:pPr>
            <w:r>
              <w:rPr>
                <w:rFonts w:ascii="仿宋_GB2312" w:hAnsi="仿宋_GB2312" w:eastAsia="仿宋_GB2312" w:cs="仿宋_GB2312"/>
                <w:bCs/>
                <w:sz w:val="36"/>
                <w:szCs w:val="36"/>
                <w:lang w:eastAsia="zh-CN"/>
              </w:rPr>
              <w:t>基于夜间灯光遥感数据的中国省际碳排放效率测度及影响因素研究</w:t>
            </w:r>
          </w:p>
        </w:tc>
      </w:tr>
      <w:tr w14:paraId="23A0182A">
        <w:tblPrEx>
          <w:tblCellMar>
            <w:top w:w="0" w:type="dxa"/>
            <w:left w:w="108" w:type="dxa"/>
            <w:bottom w:w="0" w:type="dxa"/>
            <w:right w:w="108" w:type="dxa"/>
          </w:tblCellMar>
        </w:tblPrEx>
        <w:trPr>
          <w:trHeight w:val="1030" w:hRule="atLeast"/>
          <w:jc w:val="center"/>
        </w:trPr>
        <w:tc>
          <w:tcPr>
            <w:tcW w:w="1249" w:type="pct"/>
            <w:vAlign w:val="center"/>
          </w:tcPr>
          <w:p w14:paraId="3F0778F8">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参赛队员：</w:t>
            </w:r>
          </w:p>
        </w:tc>
        <w:tc>
          <w:tcPr>
            <w:tcW w:w="3750" w:type="pct"/>
            <w:tcBorders>
              <w:top w:val="single" w:color="auto" w:sz="12" w:space="0"/>
              <w:left w:val="nil"/>
              <w:bottom w:val="single" w:color="auto" w:sz="12" w:space="0"/>
              <w:right w:val="nil"/>
            </w:tcBorders>
            <w:vAlign w:val="center"/>
          </w:tcPr>
          <w:p w14:paraId="2E138DA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赵静怡 杨诗萤 周子未</w:t>
            </w:r>
          </w:p>
        </w:tc>
      </w:tr>
      <w:tr w14:paraId="7D0136C1">
        <w:tblPrEx>
          <w:tblCellMar>
            <w:top w:w="0" w:type="dxa"/>
            <w:left w:w="108" w:type="dxa"/>
            <w:bottom w:w="0" w:type="dxa"/>
            <w:right w:w="108" w:type="dxa"/>
          </w:tblCellMar>
        </w:tblPrEx>
        <w:trPr>
          <w:trHeight w:val="1190" w:hRule="atLeast"/>
          <w:jc w:val="center"/>
        </w:trPr>
        <w:tc>
          <w:tcPr>
            <w:tcW w:w="1249" w:type="pct"/>
            <w:vAlign w:val="center"/>
          </w:tcPr>
          <w:p w14:paraId="35CB49DD">
            <w:pPr>
              <w:spacing w:line="240" w:lineRule="auto"/>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eastAsia="zh-CN"/>
              </w:rPr>
              <w:t>指导老师：</w:t>
            </w:r>
          </w:p>
        </w:tc>
        <w:tc>
          <w:tcPr>
            <w:tcW w:w="3750" w:type="pct"/>
            <w:tcBorders>
              <w:top w:val="single" w:color="auto" w:sz="12" w:space="0"/>
              <w:left w:val="nil"/>
              <w:bottom w:val="single" w:color="auto" w:sz="12" w:space="0"/>
              <w:right w:val="nil"/>
            </w:tcBorders>
            <w:vAlign w:val="center"/>
          </w:tcPr>
          <w:p w14:paraId="4FB1C26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cs="宋体"/>
                <w:bCs/>
                <w:sz w:val="36"/>
                <w:szCs w:val="36"/>
              </w:rPr>
            </w:pPr>
            <w:r>
              <w:rPr>
                <w:rFonts w:hint="eastAsia" w:ascii="仿宋_GB2312" w:hAnsi="仿宋_GB2312" w:eastAsia="仿宋_GB2312" w:cs="仿宋_GB2312"/>
                <w:bCs/>
                <w:sz w:val="36"/>
                <w:szCs w:val="36"/>
                <w:lang w:eastAsia="zh-CN"/>
              </w:rPr>
              <w:t>朱颖芳</w:t>
            </w:r>
          </w:p>
        </w:tc>
      </w:tr>
    </w:tbl>
    <w:p w14:paraId="19177CF7">
      <w:pPr>
        <w:spacing w:line="480" w:lineRule="exact"/>
        <w:jc w:val="center"/>
        <w:rPr>
          <w:rFonts w:eastAsia="黑体"/>
          <w:b/>
          <w:sz w:val="28"/>
          <w:szCs w:val="28"/>
        </w:rPr>
        <w:sectPr>
          <w:pgSz w:w="12240" w:h="15840"/>
          <w:pgMar w:top="1440" w:right="1797" w:bottom="1440" w:left="1797" w:header="720" w:footer="720" w:gutter="0"/>
          <w:pgNumType w:start="0"/>
          <w:cols w:space="0" w:num="1"/>
          <w:titlePg/>
          <w:docGrid w:linePitch="360" w:charSpace="0"/>
        </w:sectPr>
      </w:pPr>
    </w:p>
    <w:p w14:paraId="798BB004">
      <w:pPr>
        <w:spacing w:line="480" w:lineRule="exact"/>
        <w:jc w:val="center"/>
        <w:rPr>
          <w:sz w:val="28"/>
          <w:szCs w:val="28"/>
        </w:rPr>
      </w:pPr>
      <w:r>
        <w:rPr>
          <w:rFonts w:eastAsia="SimSun" w:ascii="Times New Roman" w:hAnsi="Times New Roman"/>
          <w:b w:val="0"/>
          <w:sz w:val="21"/>
          <w:szCs w:val="28"/>
        </w:rPr>
        <w:t>目 录</w:t>
      </w:r>
    </w:p>
    <w:p w14:paraId="6584FDD3">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TOC \o "1-3" \h \z \u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_Toc17149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一、引言</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_Toc17149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2185AD">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（一）研究背景与问题提出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_Toc12936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27907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（二）研究问题与研究价值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_Toc3209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AFF46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（三）研究思路与核心内容</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_Toc20622 \h </w:instrText>
      </w:r>
      <w:r>
        <w:rPr>
          <w:rFonts w:ascii="Times New Roman" w:hAnsi="Times New Roman" w:eastAsia="SimSun"/>
          <w:b w:val="0"/>
          <w:sz w:val="21"/>
        </w:rPr>
        <w:fldChar w:fldCharType="separate"/>
      </w:r>
      <w:r>
        <w:rPr>
          <w:rFonts w:ascii="Times New Roman" w:hAnsi="Times New Roman" w:eastAsia="SimSun"/>
          <w:b w:val="0"/>
          <w:sz w:val="21"/>
        </w:rPr>
        <w:t>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52545E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_Toc27283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（四）可能的边际贡献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_Toc27283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0B374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_Toc5559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二、文献综述与理论分析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_Toc5559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826632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（一）碳排放效率测度研究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_Toc26210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F082C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_Toc1297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（二）夜间灯光遥感数据应用研究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_Toc1297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6CD373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_Toc8738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（三）影响因素与空间效应研究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_Toc8738 \h </w:instrText>
      </w:r>
      <w:r>
        <w:rPr>
          <w:rFonts w:ascii="Times New Roman" w:hAnsi="Times New Roman" w:eastAsia="SimSun"/>
          <w:b w:val="0"/>
          <w:sz w:val="21"/>
        </w:rPr>
        <w:fldChar w:fldCharType="separate"/>
      </w:r>
      <w:r>
        <w:rPr>
          <w:rFonts w:ascii="Times New Roman" w:hAnsi="Times New Roman" w:eastAsia="SimSun"/>
          <w:b w:val="0"/>
          <w:sz w:val="21"/>
        </w:rPr>
        <w:t>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039935A">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_Toc7687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（四）理论机制与研究假设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_Toc7687 \h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F537B69">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_Toc13754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三、研究设计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_Toc13754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D65D25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_Toc32359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（一）研究对象与样本范围</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_Toc32359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6962F5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_Toc8002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（二）三阶段研究框架</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_Toc8002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42A423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_Toc3451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_Toc3451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24CBD8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_Toc19488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（四）第二阶段回归变量与模型设定</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_Toc19488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C0587CC">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_Toc16695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（五）第三阶段空间相关性与空间分析思路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_Toc16695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5E160D1">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_Toc10260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四、数据来源、预处理与变量构造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_Toc10260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11057F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_Toc21893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（一）数据来源与单位说明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_Toc21893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BB582E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_Toc18886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（二）样本构建与清洗处理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_Toc18886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7E4B39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_Toc20275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（三）缺失值、异常值与变量分布检验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_Toc20275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A329504">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_Toc20621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（四）关键变量构造与口径说明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_Toc20621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003DC7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_Toc12049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（五）描述性统计与先验相关关系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_Toc12049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8C697DF">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_Toc25981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五、</w:t>
      </w:r>
      <w:r>
        <w:rPr>
          <w:rFonts w:hint="eastAsia" w:ascii="Times New Roman" w:hAnsi="Times New Roman" w:eastAsia="SimSun"/>
          <w:b w:val="0"/>
          <w:sz w:val="21"/>
          <w:szCs w:val="30"/>
          <w:lang w:eastAsia="zh-CN"/>
        </w:rPr>
        <w:t>省域</w:t>
      </w:r>
      <w:r>
        <w:rPr>
          <w:rFonts w:ascii="Times New Roman" w:hAnsi="Times New Roman" w:eastAsia="SimSun"/>
          <w:b w:val="0"/>
          <w:sz w:val="21"/>
          <w:szCs w:val="30"/>
          <w:lang w:eastAsia="zh-CN"/>
        </w:rPr>
        <w:t>碳排放效率测度结果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_Toc25981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1DCE70">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_Toc7999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（一）静态碳排放效率的总体特征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_Toc7999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703B31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_Toc8721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二</w:t>
      </w:r>
      <w:r>
        <w:rPr>
          <w:rFonts w:ascii="Times New Roman" w:hAnsi="Times New Roman" w:eastAsia="SimSun"/>
          <w:b w:val="0"/>
          <w:sz w:val="21"/>
          <w:lang w:eastAsia="zh-CN"/>
        </w:rPr>
        <w:t>）动态演进特征分析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_Toc8721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C950D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_Toc29636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w:t>
      </w:r>
      <w:r>
        <w:rPr>
          <w:rFonts w:hint="eastAsia" w:ascii="Times New Roman" w:hAnsi="Times New Roman" w:eastAsia="SimSun"/>
          <w:b w:val="0"/>
          <w:sz w:val="21"/>
          <w:lang w:val="en-US" w:eastAsia="zh-CN"/>
        </w:rPr>
        <w:t>三</w:t>
      </w:r>
      <w:r>
        <w:rPr>
          <w:rFonts w:ascii="Times New Roman" w:hAnsi="Times New Roman" w:eastAsia="SimSun"/>
          <w:b w:val="0"/>
          <w:sz w:val="21"/>
          <w:lang w:eastAsia="zh-CN"/>
        </w:rPr>
        <w:t>）效率分解与成因讨论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_Toc29636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57043F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_Toc28897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六、</w:t>
      </w:r>
      <w:r>
        <w:rPr>
          <w:rFonts w:hint="eastAsia" w:ascii="Times New Roman" w:hAnsi="Times New Roman" w:eastAsia="SimSun"/>
          <w:b w:val="0"/>
          <w:sz w:val="21"/>
          <w:szCs w:val="30"/>
          <w:lang w:eastAsia="zh-CN"/>
        </w:rPr>
        <w:t>夜间灯光强度</w:t>
      </w:r>
      <w:r>
        <w:rPr>
          <w:rFonts w:ascii="Times New Roman" w:hAnsi="Times New Roman" w:eastAsia="SimSun"/>
          <w:b w:val="0"/>
          <w:sz w:val="21"/>
          <w:szCs w:val="30"/>
          <w:lang w:eastAsia="zh-CN"/>
        </w:rPr>
        <w:t>对碳排放效率的影响</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_Toc28897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1D16F8F">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_Toc24790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（一）基准模型设定与估计思路</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_Toc24790 \h </w:instrText>
      </w:r>
      <w:r>
        <w:rPr>
          <w:rFonts w:ascii="Times New Roman" w:hAnsi="Times New Roman" w:eastAsia="SimSun"/>
          <w:b w:val="0"/>
          <w:sz w:val="21"/>
        </w:rPr>
        <w:fldChar w:fldCharType="separate"/>
      </w:r>
      <w:r>
        <w:rPr>
          <w:rFonts w:ascii="Times New Roman" w:hAnsi="Times New Roman" w:eastAsia="SimSun"/>
          <w:b w:val="0"/>
          <w:sz w:val="21"/>
        </w:rPr>
        <w:t>21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9E715">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_Toc24900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（二）影响因素分析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_Toc24900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C98C109">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_Toc7302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（三）基准回归结果与可视化表达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_Toc7302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6AB3775">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_Toc27857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七、空间相关性与空间溢出分析</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_Toc27857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20EEE0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_Toc3754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（一）Global Moran’s I 检验结果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_Toc3754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53A8A8">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_Toc26141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（二）局部空间聚集与可能的溢出路径</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_Toc26141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73A5B2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_Toc2366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（三） </w:t>
      </w:r>
      <w:r>
        <w:rPr>
          <w:rFonts w:hint="default" w:ascii="Times New Roman" w:hAnsi="Times New Roman" w:eastAsia="SimSun"/>
          <w:b w:val="0"/>
          <w:sz w:val="21"/>
          <w:lang w:val="en-US" w:eastAsia="zh-CN"/>
        </w:rPr>
        <w:t>空间杜宾模型结果与效应分解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_Toc2366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B837D70">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_Toc16931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八、面板回归模型诊断与稳健性检验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_Toc16931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87CF61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_Toc5259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（一）模型诊断</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_Toc5259 \h </w:instrText>
      </w:r>
      <w:r>
        <w:rPr>
          <w:rFonts w:ascii="Times New Roman" w:hAnsi="Times New Roman" w:eastAsia="SimSun"/>
          <w:b w:val="0"/>
          <w:sz w:val="21"/>
        </w:rPr>
        <w:fldChar w:fldCharType="separate"/>
      </w:r>
      <w:r>
        <w:rPr>
          <w:rFonts w:ascii="Times New Roman" w:hAnsi="Times New Roman" w:eastAsia="SimSun"/>
          <w:b w:val="0"/>
          <w:sz w:val="21"/>
        </w:rPr>
        <w:t>29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9AE5B3B">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_Toc14908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w:t>
      </w:r>
      <w:r>
        <w:rPr>
          <w:rFonts w:hint="eastAsia" w:ascii="Times New Roman" w:hAnsi="Times New Roman" w:eastAsia="SimSun"/>
          <w:b w:val="0"/>
          <w:sz w:val="21"/>
          <w:lang w:eastAsia="zh-CN"/>
        </w:rPr>
        <w:t>稳健性检验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_Toc14908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F55592">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_Toc30172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（三）区域异质性的补充说明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_Toc30172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7C50207">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_Toc29333 </w:instrText>
      </w:r>
      <w:r>
        <w:rPr>
          <w:rFonts w:ascii="Times New Roman" w:hAnsi="Times New Roman" w:eastAsia="SimSun"/>
          <w:b w:val="0"/>
          <w:sz w:val="21"/>
          <w:lang w:eastAsia="zh-CN"/>
        </w:rPr>
        <w:fldChar w:fldCharType="separate"/>
      </w:r>
      <w:r>
        <w:rPr>
          <w:rFonts w:ascii="Times New Roman" w:hAnsi="Times New Roman" w:eastAsia="SimSun"/>
          <w:b w:val="0"/>
          <w:sz w:val="21"/>
          <w:szCs w:val="30"/>
          <w:lang w:eastAsia="zh-CN"/>
        </w:rPr>
        <w:t>九、研究结论与政策建议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_Toc29333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0C987F43">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_Toc3210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（一）研究结论</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_Toc3210 \h </w:instrText>
      </w:r>
      <w:r>
        <w:rPr>
          <w:rFonts w:ascii="Times New Roman" w:hAnsi="Times New Roman" w:eastAsia="SimSun"/>
          <w:b w:val="0"/>
          <w:sz w:val="21"/>
        </w:rPr>
        <w:fldChar w:fldCharType="separate"/>
      </w:r>
      <w:r>
        <w:rPr>
          <w:rFonts w:ascii="Times New Roman" w:hAnsi="Times New Roman" w:eastAsia="SimSun"/>
          <w:b w:val="0"/>
          <w:sz w:val="21"/>
        </w:rPr>
        <w:t>32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E3504B6">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_Toc29053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（二）政策建议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_Toc29053 \h </w:instrText>
      </w:r>
      <w:r>
        <w:rPr>
          <w:rFonts w:ascii="Times New Roman" w:hAnsi="Times New Roman" w:eastAsia="SimSun"/>
          <w:b w:val="0"/>
          <w:sz w:val="21"/>
        </w:rPr>
        <w:fldChar w:fldCharType="separate"/>
      </w:r>
      <w:r>
        <w:rPr>
          <w:rFonts w:ascii="Times New Roman" w:hAnsi="Times New Roman" w:eastAsia="SimSun"/>
          <w:b w:val="0"/>
          <w:sz w:val="21"/>
        </w:rPr>
        <w:t>33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E7BCF7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_Toc16541 </w:instrText>
      </w:r>
      <w:r>
        <w:rPr>
          <w:rFonts w:ascii="Times New Roman" w:hAnsi="Times New Roman" w:eastAsia="SimSun"/>
          <w:b w:val="0"/>
          <w:sz w:val="21"/>
          <w:lang w:eastAsia="zh-CN"/>
        </w:rPr>
        <w:fldChar w:fldCharType="separate"/>
      </w:r>
      <w:r>
        <w:rPr>
          <w:rFonts w:ascii="Times New Roman" w:hAnsi="Times New Roman" w:eastAsia="SimSun"/>
          <w:b w:val="0"/>
          <w:sz w:val="21"/>
        </w:rPr>
        <w:t>参考文献</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_Toc16541 \h </w:instrText>
      </w:r>
      <w:r>
        <w:rPr>
          <w:rFonts w:ascii="Times New Roman" w:hAnsi="Times New Roman" w:eastAsia="SimSun"/>
          <w:b w:val="0"/>
          <w:sz w:val="21"/>
        </w:rPr>
        <w:fldChar w:fldCharType="separate"/>
      </w:r>
      <w:r>
        <w:rPr>
          <w:rFonts w:ascii="Times New Roman" w:hAnsi="Times New Roman" w:eastAsia="SimSun"/>
          <w:b w:val="0"/>
          <w:sz w:val="21"/>
        </w:rPr>
        <w:t>34</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6ACFF22">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_Toc22022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_Toc22022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56219C7">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_Toc22366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_Toc22366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CADC586">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_Toc28877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_Toc28877 \h </w:instrText>
      </w:r>
      <w:r>
        <w:rPr>
          <w:rFonts w:ascii="Times New Roman" w:hAnsi="Times New Roman" w:eastAsia="SimSun"/>
          <w:b w:val="0"/>
          <w:sz w:val="21"/>
        </w:rPr>
        <w:fldChar w:fldCharType="separate"/>
      </w:r>
      <w:r>
        <w:rPr>
          <w:rFonts w:ascii="Times New Roman" w:hAnsi="Times New Roman" w:eastAsia="SimSun"/>
          <w:b w:val="0"/>
          <w:sz w:val="21"/>
        </w:rPr>
        <w:t>37</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4BF2757">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_Toc25994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_Toc25994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26793C48">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_Toc14310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_Toc14310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A76D8DC">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_Toc5127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_Toc5127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4CF98B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_Toc5948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_Toc5948 \h </w:instrText>
      </w:r>
      <w:r>
        <w:rPr>
          <w:rFonts w:ascii="Times New Roman" w:hAnsi="Times New Roman" w:eastAsia="SimSun"/>
          <w:b w:val="0"/>
          <w:sz w:val="21"/>
        </w:rPr>
        <w:fldChar w:fldCharType="separate"/>
      </w:r>
      <w:r>
        <w:rPr>
          <w:rFonts w:ascii="Times New Roman" w:hAnsi="Times New Roman" w:eastAsia="SimSun"/>
          <w:b w:val="0"/>
          <w:sz w:val="21"/>
        </w:rPr>
        <w:t>38</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15D430D">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_Toc21315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_Toc21315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3B129A4E">
      <w:pPr>
        <w:pStyle w:val="32"/>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_Toc26859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_Toc26859 \h </w:instrText>
      </w:r>
      <w:r>
        <w:rPr>
          <w:rFonts w:ascii="Times New Roman" w:hAnsi="Times New Roman" w:eastAsia="SimSun"/>
          <w:b w:val="0"/>
          <w:sz w:val="21"/>
        </w:rPr>
        <w:fldChar w:fldCharType="separate"/>
      </w:r>
      <w:r>
        <w:rPr>
          <w:rFonts w:ascii="Times New Roman" w:hAnsi="Times New Roman" w:eastAsia="SimSun"/>
          <w:b w:val="0"/>
          <w:sz w:val="21"/>
        </w:rPr>
        <w:t>39</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77DC4C70">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_Toc15025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_Toc15025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686EBFEA">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_Toc32084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_Toc32084 \h </w:instrText>
      </w:r>
      <w:r>
        <w:rPr>
          <w:rFonts w:ascii="Times New Roman" w:hAnsi="Times New Roman" w:eastAsia="SimSun"/>
          <w:b w:val="0"/>
          <w:sz w:val="21"/>
        </w:rPr>
        <w:fldChar w:fldCharType="separate"/>
      </w:r>
      <w:r>
        <w:rPr>
          <w:rFonts w:ascii="Times New Roman" w:hAnsi="Times New Roman" w:eastAsia="SimSun"/>
          <w:b w:val="0"/>
          <w:sz w:val="21"/>
        </w:rPr>
        <w:t>42</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5FBC7389">
      <w:pPr>
        <w:pStyle w:val="25"/>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_Toc31994 </w:instrText>
      </w:r>
      <w:r>
        <w:rPr>
          <w:rFonts w:ascii="Times New Roman" w:hAnsi="Times New Roman" w:eastAsia="SimSun"/>
          <w:b w:val="0"/>
          <w:sz w:val="21"/>
          <w:lang w:eastAsia="zh-CN"/>
        </w:rPr>
        <w:fldChar w:fldCharType="separate"/>
      </w:r>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_Toc31994 \h </w:instrText>
      </w:r>
      <w:r>
        <w:rPr>
          <w:rFonts w:ascii="Times New Roman" w:hAnsi="Times New Roman" w:eastAsia="SimSun"/>
          <w:b w:val="0"/>
          <w:sz w:val="21"/>
        </w:rPr>
        <w:fldChar w:fldCharType="separate"/>
      </w:r>
      <w:r>
        <w:rPr>
          <w:rFonts w:ascii="Times New Roman" w:hAnsi="Times New Roman" w:eastAsia="SimSun"/>
          <w:b w:val="0"/>
          <w:sz w:val="21"/>
        </w:rPr>
        <w:t>43</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1EDBD76A">
      <w:pPr>
        <w:pStyle w:val="28"/>
        <w:tabs>
          <w:tab w:val="right" w:leader="dot" w:pos="8646"/>
        </w:tabs>
      </w:pPr>
      <w:r>
        <w:rPr>
          <w:rFonts w:ascii="Times New Roman" w:hAnsi="Times New Roman" w:eastAsia="SimSun"/>
          <w:b w:val="0"/>
          <w:sz w:val="21"/>
          <w:lang w:eastAsia="zh-CN"/>
        </w:rPr>
        <w:fldChar w:fldCharType="begin"/>
      </w:r>
      <w:r>
        <w:rPr>
          <w:rFonts w:ascii="Times New Roman" w:hAnsi="Times New Roman" w:eastAsia="SimSun"/>
          <w:b w:val="0"/>
          <w:sz w:val="21"/>
          <w:lang w:eastAsia="zh-CN"/>
        </w:rPr>
        <w:instrText xml:space="preserve"> HYPERLINK \l _Toc6405 </w:instrText>
      </w:r>
      <w:r>
        <w:rPr>
          <w:rFonts w:ascii="Times New Roman" w:hAnsi="Times New Roman" w:eastAsia="SimSun"/>
          <w:b w:val="0"/>
          <w:sz w:val="21"/>
          <w:lang w:eastAsia="zh-CN"/>
        </w:rPr>
        <w:fldChar w:fldCharType="separate"/>
      </w:r>
      <w:r>
        <w:rPr>
          <w:rFonts w:ascii="Times New Roman" w:hAnsi="Times New Roman" w:eastAsia="SimSun"/>
          <w:b w:val="0"/>
          <w:sz w:val="21"/>
          <w:lang w:eastAsia="zh-CN"/>
        </w:rPr>
        <w:t>致谢</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_Toc6405 \h </w:instrText>
      </w:r>
      <w:r>
        <w:rPr>
          <w:rFonts w:ascii="Times New Roman" w:hAnsi="Times New Roman" w:eastAsia="SimSun"/>
          <w:b w:val="0"/>
          <w:sz w:val="21"/>
        </w:rPr>
        <w:fldChar w:fldCharType="separate"/>
      </w:r>
      <w:r>
        <w:rPr>
          <w:rFonts w:ascii="Times New Roman" w:hAnsi="Times New Roman" w:eastAsia="SimSun"/>
          <w:b w:val="0"/>
          <w:sz w:val="21"/>
        </w:rPr>
        <w:t>45</w:t>
      </w:r>
      <w:r>
        <w:rPr>
          <w:rFonts w:ascii="Times New Roman" w:hAnsi="Times New Roman" w:eastAsia="SimSun"/>
          <w:b w:val="0"/>
          <w:sz w:val="21"/>
        </w:rPr>
        <w:fldChar w:fldCharType="end"/>
      </w:r>
      <w:r>
        <w:rPr>
          <w:rFonts w:ascii="Times New Roman" w:hAnsi="Times New Roman" w:eastAsia="SimSun"/>
          <w:b w:val="0"/>
          <w:sz w:val="21"/>
          <w:lang w:eastAsia="zh-CN"/>
        </w:rPr>
        <w:fldChar w:fldCharType="end"/>
      </w:r>
    </w:p>
    <w:p w14:paraId="4FC7BCE0">
      <w:pPr>
        <w:jc w:val="both"/>
        <w:rPr>
          <w:lang w:eastAsia="zh-CN"/>
        </w:rPr>
      </w:pPr>
      <w:r>
        <w:rPr>
          <w:rFonts w:ascii="Times New Roman" w:hAnsi="Times New Roman" w:eastAsia="SimSun"/>
          <w:b w:val="0"/>
          <w:sz w:val="21"/>
          <w:lang w:eastAsia="zh-CN"/>
        </w:rPr>
        <w:fldChar w:fldCharType="end"/>
      </w:r>
    </w:p>
    <w:p w14:paraId="3CA5CD18">
      <w:pPr>
        <w:jc w:val="both"/>
        <w:rPr>
          <w:lang w:eastAsia="zh-CN"/>
        </w:rPr>
      </w:pPr>
      <w:r>
        <w:rPr>
          <w:rFonts w:ascii="Times New Roman" w:hAnsi="Times New Roman" w:eastAsia="SimSun"/>
          <w:b w:val="0"/>
          <w:sz w:val="21"/>
          <w:lang w:eastAsia="zh-CN"/>
        </w:rPr>
        <w:br w:type="page"/>
      </w:r>
    </w:p>
    <w:p w14:paraId="3FB9E4E4">
      <w:pPr>
        <w:spacing w:line="480" w:lineRule="exact"/>
        <w:jc w:val="center"/>
        <w:rPr>
          <w:sz w:val="28"/>
          <w:szCs w:val="28"/>
          <w:lang w:eastAsia="zh-CN"/>
        </w:rPr>
      </w:pPr>
      <w:r>
        <w:rPr>
          <w:rFonts w:eastAsia="SimSun" w:ascii="Times New Roman" w:hAnsi="Times New Roman"/>
          <w:b w:val="0"/>
          <w:sz w:val="21"/>
          <w:szCs w:val="28"/>
          <w:lang w:eastAsia="zh-CN"/>
        </w:rPr>
        <w:t>图目录</w:t>
      </w:r>
    </w:p>
    <w:p w14:paraId="0D8B780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"图"</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_Toc10589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_Toc10589 \h </w:instrText>
      </w:r>
      <w:r>
        <w:rPr>
          <w:rFonts w:ascii="Times New Roman" w:hAnsi="Times New Roman" w:eastAsia="SimSun"/>
          <w:b w:val="0"/>
          <w:sz w:val="21"/>
        </w:rPr>
        <w:fldChar w:fldCharType="separate"/>
      </w:r>
      <w:r>
        <w:rPr>
          <w:rFonts w:ascii="Times New Roman" w:hAnsi="Times New Roman" w:eastAsia="SimSun"/>
          <w:b w:val="0"/>
          <w:sz w:val="21"/>
        </w:rPr>
        <w:t>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C92155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_Toc4085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_Toc4085 \h </w:instrText>
      </w:r>
      <w:r>
        <w:rPr>
          <w:rFonts w:ascii="Times New Roman" w:hAnsi="Times New Roman" w:eastAsia="SimSun"/>
          <w:b w:val="0"/>
          <w:sz w:val="21"/>
        </w:rPr>
        <w:fldChar w:fldCharType="separate"/>
      </w:r>
      <w:r>
        <w:rPr>
          <w:rFonts w:ascii="Times New Roman" w:hAnsi="Times New Roman" w:eastAsia="SimSun"/>
          <w:b w:val="0"/>
          <w:sz w:val="21"/>
        </w:rPr>
        <w:t>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A0F08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_Toc27389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_Toc27389 \h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DE2400C">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_Toc14829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4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_Toc14829 \h </w:instrText>
      </w:r>
      <w:r>
        <w:rPr>
          <w:rFonts w:ascii="Times New Roman" w:hAnsi="Times New Roman" w:eastAsia="SimSun"/>
          <w:b w:val="0"/>
          <w:sz w:val="21"/>
        </w:rPr>
        <w:fldChar w:fldCharType="separate"/>
      </w:r>
      <w:r>
        <w:rPr>
          <w:rFonts w:ascii="Times New Roman" w:hAnsi="Times New Roman" w:eastAsia="SimSun"/>
          <w:b w:val="0"/>
          <w:sz w:val="21"/>
        </w:rPr>
        <w:t>10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27961A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_Toc19393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5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_Toc19393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EC68B0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_Toc31030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6 </w:t>
      </w:r>
      <w:r>
        <w:rPr>
          <w:rFonts w:hint="eastAsia" w:ascii="Times New Roman" w:hAnsi="Times New Roman" w:eastAsia="SimSun"/>
          <w:b w:val="0"/>
          <w:sz w:val="21"/>
          <w:lang w:eastAsia="zh-CN"/>
        </w:rPr>
        <w:t xml:space="preserve"> 夜间灯光强度及其对数化指标分布图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_Toc31030 \h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FC7C6D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_Toc8706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核心变量相关关系椭圆矩阵图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_Toc8706 \h </w:instrText>
      </w:r>
      <w:r>
        <w:rPr>
          <w:rFonts w:ascii="Times New Roman" w:hAnsi="Times New Roman" w:eastAsia="SimSun"/>
          <w:b w:val="0"/>
          <w:sz w:val="21"/>
        </w:rPr>
        <w:fldChar w:fldCharType="separate"/>
      </w:r>
      <w:r>
        <w:rPr>
          <w:rFonts w:ascii="Times New Roman" w:hAnsi="Times New Roman" w:eastAsia="SimSun"/>
          <w:b w:val="0"/>
          <w:sz w:val="21"/>
        </w:rPr>
        <w:t>13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98F042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_Toc3231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核心解释变量VIF检验图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_Toc3231 \h </w:instrText>
      </w:r>
      <w:r>
        <w:rPr>
          <w:rFonts w:ascii="Times New Roman" w:hAnsi="Times New Roman" w:eastAsia="SimSun"/>
          <w:b w:val="0"/>
          <w:sz w:val="21"/>
        </w:rPr>
        <w:fldChar w:fldCharType="separate"/>
      </w:r>
      <w:r>
        <w:rPr>
          <w:rFonts w:ascii="Times New Roman" w:hAnsi="Times New Roman" w:eastAsia="SimSun"/>
          <w:b w:val="0"/>
          <w:sz w:val="21"/>
        </w:rPr>
        <w:t>14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8490A48">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_Toc1446 </w:instrText>
      </w:r>
      <w:r>
        <w:rPr>
          <w:rFonts w:ascii="Times New Roman" w:hAnsi="Times New Roman" w:eastAsia="SimSun"/>
          <w:b w:val="0"/>
          <w:sz w:val="21"/>
        </w:rPr>
        <w:fldChar w:fldCharType="separate"/>
      </w:r>
      <w:r>
        <w:rPr>
          <w:rFonts w:ascii="Times New Roman" w:hAnsi="Times New Roman" w:eastAsia="SimSun"/>
          <w:b w:val="0"/>
          <w:sz w:val="21"/>
        </w:rPr>
        <w:t xml:space="preserve">图 9 </w:t>
      </w:r>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_Toc1446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F14251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_Toc17099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10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_Toc17099 \h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43905B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_Toc28412 </w:instrText>
      </w:r>
      <w:r>
        <w:rPr>
          <w:rFonts w:ascii="Times New Roman" w:hAnsi="Times New Roman" w:eastAsia="SimSun"/>
          <w:b w:val="0"/>
          <w:sz w:val="21"/>
        </w:rPr>
        <w:fldChar w:fldCharType="separate"/>
      </w:r>
      <w:r>
        <w:rPr>
          <w:rFonts w:ascii="Times New Roman" w:hAnsi="Times New Roman" w:eastAsia="SimSun"/>
          <w:b w:val="0"/>
          <w:sz w:val="21"/>
        </w:rPr>
        <w:t xml:space="preserve">图 11 </w:t>
      </w:r>
      <w:r>
        <w:rPr>
          <w:rFonts w:hint="eastAsia" w:ascii="Times New Roman" w:hAnsi="Times New Roman" w:eastAsia="SimSun"/>
          <w:b w:val="0"/>
          <w:sz w:val="21"/>
          <w:lang w:val="en-US" w:eastAsia="zh-CN"/>
        </w:rPr>
        <w:t xml:space="preserve"> 2015-2022分区域碳排放效率箱线图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_Toc28412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E6CFD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_Toc12337 </w:instrText>
      </w:r>
      <w:r>
        <w:rPr>
          <w:rFonts w:ascii="Times New Roman" w:hAnsi="Times New Roman" w:eastAsia="SimSun"/>
          <w:b w:val="0"/>
          <w:sz w:val="21"/>
        </w:rPr>
        <w:fldChar w:fldCharType="separate"/>
      </w:r>
      <w:r>
        <w:rPr>
          <w:rFonts w:ascii="Times New Roman" w:hAnsi="Times New Roman" w:eastAsia="SimSun"/>
          <w:b w:val="0"/>
          <w:sz w:val="21"/>
        </w:rPr>
        <w:t xml:space="preserve">图 12 </w:t>
      </w:r>
      <w:r>
        <w:rPr>
          <w:rFonts w:hint="eastAsia" w:ascii="Times New Roman" w:hAnsi="Times New Roman" w:eastAsia="SimSun"/>
          <w:b w:val="0"/>
          <w:sz w:val="21"/>
          <w:lang w:val="en-US" w:eastAsia="zh-CN"/>
        </w:rPr>
        <w:t xml:space="preserve"> 西部各省碳排放效率年际变化图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_Toc12337 \h </w:instrText>
      </w:r>
      <w:r>
        <w:rPr>
          <w:rFonts w:ascii="Times New Roman" w:hAnsi="Times New Roman" w:eastAsia="SimSun"/>
          <w:b w:val="0"/>
          <w:sz w:val="21"/>
        </w:rPr>
        <w:fldChar w:fldCharType="separate"/>
      </w:r>
      <w:r>
        <w:rPr>
          <w:rFonts w:ascii="Times New Roman" w:hAnsi="Times New Roman" w:eastAsia="SimSun"/>
          <w:b w:val="0"/>
          <w:sz w:val="21"/>
        </w:rPr>
        <w:t>17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29F84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_Toc15591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13 </w:t>
      </w:r>
      <w:r>
        <w:rPr>
          <w:rFonts w:hint="eastAsia" w:ascii="Times New Roman" w:hAnsi="Times New Roman" w:eastAsia="SimSun"/>
          <w:b w:val="0"/>
          <w:sz w:val="21"/>
          <w:lang w:eastAsia="zh-CN"/>
        </w:rPr>
        <w:t xml:space="preserve"> 青海与西部均值投入产出指标对比图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_Toc15591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3BE7F80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_Toc1638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14 </w:t>
      </w:r>
      <w:r>
        <w:rPr>
          <w:rFonts w:hint="eastAsia" w:ascii="Times New Roman" w:hAnsi="Times New Roman" w:eastAsia="SimSun"/>
          <w:b w:val="0"/>
          <w:sz w:val="21"/>
          <w:lang w:eastAsia="zh-CN"/>
        </w:rPr>
        <w:t xml:space="preserve"> 不同区域碳排放效率分布箱线图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_Toc1638 \h </w:instrText>
      </w:r>
      <w:r>
        <w:rPr>
          <w:rFonts w:ascii="Times New Roman" w:hAnsi="Times New Roman" w:eastAsia="SimSun"/>
          <w:b w:val="0"/>
          <w:sz w:val="21"/>
        </w:rPr>
        <w:fldChar w:fldCharType="separate"/>
      </w:r>
      <w:r>
        <w:rPr>
          <w:rFonts w:ascii="Times New Roman" w:hAnsi="Times New Roman" w:eastAsia="SimSun"/>
          <w:b w:val="0"/>
          <w:sz w:val="21"/>
        </w:rPr>
        <w:t>18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8EA45E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_Toc26175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15 </w:t>
      </w:r>
      <w:r>
        <w:rPr>
          <w:rFonts w:hint="eastAsia" w:ascii="Times New Roman" w:hAnsi="Times New Roman" w:eastAsia="SimSun"/>
          <w:b w:val="0"/>
          <w:sz w:val="21"/>
          <w:lang w:eastAsia="zh-CN"/>
        </w:rPr>
        <w:t xml:space="preserve"> Malmquist指数及其分解项年度趋势图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_Toc26175 \h </w:instrText>
      </w:r>
      <w:r>
        <w:rPr>
          <w:rFonts w:ascii="Times New Roman" w:hAnsi="Times New Roman" w:eastAsia="SimSun"/>
          <w:b w:val="0"/>
          <w:sz w:val="21"/>
        </w:rPr>
        <w:fldChar w:fldCharType="separate"/>
      </w:r>
      <w:r>
        <w:rPr>
          <w:rFonts w:ascii="Times New Roman" w:hAnsi="Times New Roman" w:eastAsia="SimSun"/>
          <w:b w:val="0"/>
          <w:sz w:val="21"/>
        </w:rPr>
        <w:t>20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6538350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_Toc28831 </w:instrText>
      </w:r>
      <w:r>
        <w:rPr>
          <w:rFonts w:ascii="Times New Roman" w:hAnsi="Times New Roman" w:eastAsia="SimSun"/>
          <w:b w:val="0"/>
          <w:sz w:val="21"/>
        </w:rPr>
        <w:fldChar w:fldCharType="separate"/>
      </w:r>
      <w:r>
        <w:rPr>
          <w:rFonts w:ascii="Times New Roman" w:hAnsi="Times New Roman" w:eastAsia="SimSun"/>
          <w:b w:val="0"/>
          <w:sz w:val="21"/>
        </w:rPr>
        <w:t xml:space="preserve">图 16 </w:t>
      </w:r>
      <w:r>
        <w:rPr>
          <w:rFonts w:hint="eastAsia" w:ascii="Times New Roman" w:hAnsi="Times New Roman" w:eastAsia="SimSun"/>
          <w:b w:val="0"/>
          <w:sz w:val="21"/>
          <w:lang w:val="en-US" w:eastAsia="zh-CN"/>
        </w:rPr>
        <w:t xml:space="preserve"> 预测值-真实值散点图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_Toc28831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886A772">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_Toc23156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_Toc23156 \h </w:instrText>
      </w:r>
      <w:r>
        <w:rPr>
          <w:rFonts w:ascii="Times New Roman" w:hAnsi="Times New Roman" w:eastAsia="SimSun"/>
          <w:b w:val="0"/>
          <w:sz w:val="21"/>
        </w:rPr>
        <w:fldChar w:fldCharType="separate"/>
      </w:r>
      <w:r>
        <w:rPr>
          <w:rFonts w:ascii="Times New Roman" w:hAnsi="Times New Roman" w:eastAsia="SimSun"/>
          <w:b w:val="0"/>
          <w:sz w:val="21"/>
        </w:rPr>
        <w:t>23</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EAC0CAF">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_Toc6514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_Toc6514 \h </w:instrText>
      </w:r>
      <w:r>
        <w:rPr>
          <w:rFonts w:ascii="Times New Roman" w:hAnsi="Times New Roman" w:eastAsia="SimSun"/>
          <w:b w:val="0"/>
          <w:sz w:val="21"/>
        </w:rPr>
        <w:fldChar w:fldCharType="separate"/>
      </w:r>
      <w:r>
        <w:rPr>
          <w:rFonts w:ascii="Times New Roman" w:hAnsi="Times New Roman" w:eastAsia="SimSun"/>
          <w:b w:val="0"/>
          <w:sz w:val="21"/>
        </w:rPr>
        <w:t>24</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53D8291">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_Toc21876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19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_Toc21876 \h </w:instrText>
      </w:r>
      <w:r>
        <w:rPr>
          <w:rFonts w:ascii="Times New Roman" w:hAnsi="Times New Roman" w:eastAsia="SimSun"/>
          <w:b w:val="0"/>
          <w:sz w:val="21"/>
        </w:rPr>
        <w:fldChar w:fldCharType="separate"/>
      </w:r>
      <w:r>
        <w:rPr>
          <w:rFonts w:ascii="Times New Roman" w:hAnsi="Times New Roman" w:eastAsia="SimSun"/>
          <w:b w:val="0"/>
          <w:sz w:val="21"/>
        </w:rPr>
        <w:t>25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77CE86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_Toc15836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20 </w:t>
      </w:r>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_Toc15836 \h </w:instrText>
      </w:r>
      <w:r>
        <w:rPr>
          <w:rFonts w:ascii="Times New Roman" w:hAnsi="Times New Roman" w:eastAsia="SimSun"/>
          <w:b w:val="0"/>
          <w:sz w:val="21"/>
        </w:rPr>
        <w:fldChar w:fldCharType="separate"/>
      </w:r>
      <w:r>
        <w:rPr>
          <w:rFonts w:ascii="Times New Roman" w:hAnsi="Times New Roman" w:eastAsia="SimSun"/>
          <w:b w:val="0"/>
          <w:sz w:val="21"/>
        </w:rPr>
        <w:t>26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169B7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_Toc10959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21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_Toc10959 \h </w:instrText>
      </w:r>
      <w:r>
        <w:rPr>
          <w:rFonts w:ascii="Times New Roman" w:hAnsi="Times New Roman" w:eastAsia="SimSun"/>
          <w:b w:val="0"/>
          <w:sz w:val="21"/>
        </w:rPr>
        <w:fldChar w:fldCharType="separate"/>
      </w:r>
      <w:r>
        <w:rPr>
          <w:rFonts w:ascii="Times New Roman" w:hAnsi="Times New Roman" w:eastAsia="SimSun"/>
          <w:b w:val="0"/>
          <w:sz w:val="21"/>
        </w:rPr>
        <w:t>27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FA2981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_Toc29064 </w:instrText>
      </w:r>
      <w:r>
        <w:rPr>
          <w:rFonts w:ascii="Times New Roman" w:hAnsi="Times New Roman" w:eastAsia="SimSun"/>
          <w:b w:val="0"/>
          <w:sz w:val="21"/>
        </w:rPr>
        <w:fldChar w:fldCharType="separate"/>
      </w:r>
      <w:r>
        <w:rPr>
          <w:rFonts w:ascii="Times New Roman" w:hAnsi="Times New Roman" w:eastAsia="SimSun"/>
          <w:b w:val="0"/>
          <w:sz w:val="21"/>
        </w:rPr>
        <w:t xml:space="preserve">图 22 </w:t>
      </w:r>
      <w:r>
        <w:rPr>
          <w:rFonts w:hint="eastAsia" w:ascii="Times New Roman" w:hAnsi="Times New Roman" w:eastAsia="SimSun"/>
          <w:b w:val="0"/>
          <w:sz w:val="21"/>
          <w:lang w:val="en-US" w:eastAsia="zh-CN"/>
        </w:rPr>
        <w:t xml:space="preserve"> SDM空间效应森林图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_Toc29064 \h </w:instrText>
      </w:r>
      <w:r>
        <w:rPr>
          <w:rFonts w:ascii="Times New Roman" w:hAnsi="Times New Roman" w:eastAsia="SimSun"/>
          <w:b w:val="0"/>
          <w:sz w:val="21"/>
        </w:rPr>
        <w:fldChar w:fldCharType="separate"/>
      </w:r>
      <w:r>
        <w:rPr>
          <w:rFonts w:ascii="Times New Roman" w:hAnsi="Times New Roman" w:eastAsia="SimSun"/>
          <w:b w:val="0"/>
          <w:sz w:val="21"/>
        </w:rPr>
        <w:t>28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9DFC7DD">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_Toc19481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23 </w:t>
      </w:r>
      <w:r>
        <w:rPr>
          <w:rFonts w:hint="eastAsia" w:ascii="Times New Roman" w:hAnsi="Times New Roman" w:eastAsia="SimSun"/>
          <w:b w:val="0"/>
          <w:sz w:val="21"/>
          <w:lang w:eastAsia="zh-CN"/>
        </w:rPr>
        <w:t xml:space="preserve"> 基准模型拟合与残差诊断图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_Toc19481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605C5C9">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_Toc30798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图 </w:t>
      </w:r>
      <w:r>
        <w:rPr>
          <w:rFonts w:ascii="Times New Roman" w:hAnsi="Times New Roman" w:eastAsia="SimSun"/>
          <w:b w:val="0"/>
          <w:sz w:val="21"/>
        </w:rPr>
        <w:t xml:space="preserve">24 </w:t>
      </w:r>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_Toc30798 \h </w:instrText>
      </w:r>
      <w:r>
        <w:rPr>
          <w:rFonts w:ascii="Times New Roman" w:hAnsi="Times New Roman" w:eastAsia="SimSun"/>
          <w:b w:val="0"/>
          <w:sz w:val="21"/>
        </w:rPr>
        <w:fldChar w:fldCharType="separate"/>
      </w:r>
      <w:r>
        <w:rPr>
          <w:rFonts w:ascii="Times New Roman" w:hAnsi="Times New Roman" w:eastAsia="SimSun"/>
          <w:b w:val="0"/>
          <w:sz w:val="21"/>
        </w:rPr>
        <w:t>31</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F8F33B8">
      <w:pPr>
        <w:spacing w:line="480" w:lineRule="exact"/>
      </w:pPr>
      <w:r>
        <w:rPr>
          <w:rFonts w:ascii="Times New Roman" w:hAnsi="Times New Roman" w:eastAsia="SimSun"/>
          <w:b w:val="0"/>
          <w:sz w:val="21"/>
        </w:rPr>
        <w:fldChar w:fldCharType="end"/>
      </w:r>
    </w:p>
    <w:p w14:paraId="03BFCBC0">
      <w:pPr>
        <w:jc w:val="both"/>
        <w:rPr>
          <w:lang w:eastAsia="zh-CN"/>
        </w:rPr>
      </w:pPr>
      <w:r>
        <w:rPr>
          <w:rFonts w:ascii="Times New Roman" w:hAnsi="Times New Roman" w:eastAsia="SimSun"/>
          <w:b w:val="0"/>
          <w:sz w:val="21"/>
          <w:lang w:eastAsia="zh-CN"/>
        </w:rPr>
        <w:br w:type="page"/>
      </w:r>
    </w:p>
    <w:p w14:paraId="6FF8372D">
      <w:pPr>
        <w:spacing w:line="480" w:lineRule="exact"/>
        <w:jc w:val="center"/>
        <w:rPr>
          <w:sz w:val="28"/>
          <w:szCs w:val="28"/>
          <w:lang w:eastAsia="zh-CN"/>
        </w:rPr>
      </w:pPr>
      <w:r>
        <w:rPr>
          <w:rFonts w:eastAsia="SimSun" w:ascii="Times New Roman" w:hAnsi="Times New Roman"/>
          <w:b w:val="0"/>
          <w:sz w:val="21"/>
          <w:szCs w:val="28"/>
          <w:lang w:eastAsia="zh-CN"/>
        </w:rPr>
        <w:t>表目录</w:t>
      </w:r>
    </w:p>
    <w:p w14:paraId="7613893B">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TOC \h \c "表"</w:instrText>
      </w:r>
      <w:r>
        <w:rPr>
          <w:rFonts w:ascii="Times New Roman" w:hAnsi="Times New Roman" w:eastAsia="SimSun"/>
          <w:b w:val="0"/>
          <w:sz w:val="21"/>
        </w:rPr>
        <w:fldChar w:fldCharType="separate"/>
      </w:r>
      <w:r>
        <w:rPr>
          <w:rFonts w:ascii="Times New Roman" w:hAnsi="Times New Roman" w:eastAsia="SimSun"/>
          <w:b w:val="0"/>
          <w:sz w:val="21"/>
        </w:rPr>
        <w:fldChar w:fldCharType="begin"/>
      </w:r>
      <w:r>
        <w:rPr>
          <w:rFonts w:ascii="Times New Roman" w:hAnsi="Times New Roman" w:eastAsia="SimSun"/>
          <w:b w:val="0"/>
          <w:sz w:val="21"/>
        </w:rPr>
        <w:instrText xml:space="preserve"> HYPERLINK \l _Toc4112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1 </w:t>
      </w:r>
      <w:r>
        <w:rPr>
          <w:rFonts w:ascii="Times New Roman" w:hAnsi="Times New Roman" w:eastAsia="SimSun"/>
          <w:b w:val="0"/>
          <w:sz w:val="21"/>
          <w:lang w:eastAsia="zh-CN"/>
        </w:rPr>
        <w:t>第一阶段碳排放效率测度指标体系</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_Toc4112 \h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r>
        <w:rPr>
          <w:rFonts w:ascii="Times New Roman" w:hAnsi="Times New Roman" w:eastAsia="SimSun"/>
          <w:b w:val="0"/>
          <w:sz w:val="21"/>
        </w:rPr>
        <w:fldChar w:fldCharType="end"/>
      </w:r>
    </w:p>
    <w:p w14:paraId="738CBA5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_Toc30495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2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_Toc30495 \h </w:instrText>
      </w:r>
      <w:r>
        <w:rPr>
          <w:rFonts w:ascii="Times New Roman" w:hAnsi="Times New Roman" w:eastAsia="SimSun"/>
          <w:b w:val="0"/>
          <w:sz w:val="21"/>
        </w:rPr>
        <w:fldChar w:fldCharType="separate"/>
      </w:r>
      <w:r>
        <w:rPr>
          <w:rFonts w:ascii="Times New Roman" w:hAnsi="Times New Roman" w:eastAsia="SimSun"/>
          <w:b w:val="0"/>
          <w:sz w:val="21"/>
        </w:rPr>
        <w:t>7</w:t>
      </w:r>
      <w:r>
        <w:rPr>
          <w:rFonts w:ascii="Times New Roman" w:hAnsi="Times New Roman" w:eastAsia="SimSun"/>
          <w:b w:val="0"/>
          <w:sz w:val="21"/>
        </w:rPr>
        <w:fldChar w:fldCharType="end"/>
      </w:r>
      <w:r>
        <w:rPr>
          <w:rFonts w:ascii="Times New Roman" w:hAnsi="Times New Roman" w:eastAsia="SimSun"/>
          <w:b w:val="0"/>
          <w:sz w:val="21"/>
        </w:rPr>
        <w:fldChar w:fldCharType="end"/>
      </w:r>
    </w:p>
    <w:p w14:paraId="0AB88CFE">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_Toc2335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3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_Toc2335 \h </w:instrText>
      </w:r>
      <w:r>
        <w:rPr>
          <w:rFonts w:ascii="Times New Roman" w:hAnsi="Times New Roman" w:eastAsia="SimSun"/>
          <w:b w:val="0"/>
          <w:sz w:val="21"/>
        </w:rPr>
        <w:fldChar w:fldCharType="separate"/>
      </w:r>
      <w:r>
        <w:rPr>
          <w:rFonts w:ascii="Times New Roman" w:hAnsi="Times New Roman" w:eastAsia="SimSun"/>
          <w:b w:val="0"/>
          <w:sz w:val="21"/>
        </w:rPr>
        <w:t>8</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3FC2A75">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_Toc28655 </w:instrText>
      </w:r>
      <w:r>
        <w:rPr>
          <w:rFonts w:ascii="Times New Roman" w:hAnsi="Times New Roman" w:eastAsia="SimSun"/>
          <w:b w:val="0"/>
          <w:sz w:val="21"/>
        </w:rPr>
        <w:fldChar w:fldCharType="separate"/>
      </w:r>
      <w:r>
        <w:rPr>
          <w:rFonts w:ascii="Times New Roman" w:hAnsi="Times New Roman" w:eastAsia="SimSun"/>
          <w:b w:val="0"/>
          <w:sz w:val="21"/>
        </w:rPr>
        <w:t xml:space="preserve">表 4 </w:t>
      </w:r>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_Toc28655 \h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60161B6">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_Toc11059 </w:instrText>
      </w:r>
      <w:r>
        <w:rPr>
          <w:rFonts w:ascii="Times New Roman" w:hAnsi="Times New Roman" w:eastAsia="SimSun"/>
          <w:b w:val="0"/>
          <w:sz w:val="21"/>
        </w:rPr>
        <w:fldChar w:fldCharType="separate"/>
      </w:r>
      <w:r>
        <w:rPr>
          <w:rFonts w:hint="eastAsia" w:ascii="Times New Roman" w:hAnsi="Times New Roman" w:eastAsia="SimSun"/>
          <w:b w:val="0"/>
          <w:sz w:val="21"/>
          <w:lang w:val="en-US" w:eastAsia="zh-CN"/>
        </w:rPr>
        <w:t xml:space="preserve">表 </w:t>
      </w:r>
      <w:r>
        <w:rPr>
          <w:rFonts w:ascii="Times New Roman" w:hAnsi="Times New Roman" w:eastAsia="SimSun"/>
          <w:b w:val="0"/>
          <w:sz w:val="21"/>
        </w:rPr>
        <w:t xml:space="preserve">5 </w:t>
      </w:r>
      <w:r>
        <w:rPr>
          <w:rFonts w:hint="eastAsia" w:ascii="Times New Roman" w:hAnsi="Times New Roman" w:eastAsia="SimSun"/>
          <w:b w:val="0"/>
          <w:sz w:val="21"/>
          <w:lang w:val="en-US" w:eastAsia="zh-CN"/>
        </w:rPr>
        <w:t xml:space="preserve"> 2015—2022年全国平均碳排放效率年度统计</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_Toc11059 \h </w:instrText>
      </w:r>
      <w:r>
        <w:rPr>
          <w:rFonts w:ascii="Times New Roman" w:hAnsi="Times New Roman" w:eastAsia="SimSun"/>
          <w:b w:val="0"/>
          <w:sz w:val="21"/>
        </w:rPr>
        <w:fldChar w:fldCharType="separate"/>
      </w:r>
      <w:r>
        <w:rPr>
          <w:rFonts w:ascii="Times New Roman" w:hAnsi="Times New Roman" w:eastAsia="SimSun"/>
          <w:b w:val="0"/>
          <w:sz w:val="21"/>
        </w:rPr>
        <w:t>15</w:t>
      </w:r>
      <w:r>
        <w:rPr>
          <w:rFonts w:ascii="Times New Roman" w:hAnsi="Times New Roman" w:eastAsia="SimSun"/>
          <w:b w:val="0"/>
          <w:sz w:val="21"/>
        </w:rPr>
        <w:fldChar w:fldCharType="end"/>
      </w:r>
      <w:r>
        <w:rPr>
          <w:rFonts w:ascii="Times New Roman" w:hAnsi="Times New Roman" w:eastAsia="SimSun"/>
          <w:b w:val="0"/>
          <w:sz w:val="21"/>
        </w:rPr>
        <w:fldChar w:fldCharType="end"/>
      </w:r>
    </w:p>
    <w:p w14:paraId="57DF24AA">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_Toc5255 </w:instrText>
      </w:r>
      <w:r>
        <w:rPr>
          <w:rFonts w:ascii="Times New Roman" w:hAnsi="Times New Roman" w:eastAsia="SimSun"/>
          <w:b w:val="0"/>
          <w:sz w:val="21"/>
        </w:rPr>
        <w:fldChar w:fldCharType="separate"/>
      </w:r>
      <w:r>
        <w:rPr>
          <w:rFonts w:ascii="Times New Roman" w:hAnsi="Times New Roman" w:eastAsia="SimSun"/>
          <w:b w:val="0"/>
          <w:sz w:val="21"/>
        </w:rPr>
        <w:t xml:space="preserve">表 6 </w:t>
      </w:r>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_Toc5255 \h </w:instrText>
      </w:r>
      <w:r>
        <w:rPr>
          <w:rFonts w:ascii="Times New Roman" w:hAnsi="Times New Roman" w:eastAsia="SimSun"/>
          <w:b w:val="0"/>
          <w:sz w:val="21"/>
        </w:rPr>
        <w:fldChar w:fldCharType="separate"/>
      </w:r>
      <w:r>
        <w:rPr>
          <w:rFonts w:ascii="Times New Roman" w:hAnsi="Times New Roman" w:eastAsia="SimSun"/>
          <w:b w:val="0"/>
          <w:sz w:val="21"/>
        </w:rPr>
        <w:t>19</w:t>
      </w:r>
      <w:r>
        <w:rPr>
          <w:rFonts w:ascii="Times New Roman" w:hAnsi="Times New Roman" w:eastAsia="SimSun"/>
          <w:b w:val="0"/>
          <w:sz w:val="21"/>
        </w:rPr>
        <w:fldChar w:fldCharType="end"/>
      </w:r>
      <w:r>
        <w:rPr>
          <w:rFonts w:ascii="Times New Roman" w:hAnsi="Times New Roman" w:eastAsia="SimSun"/>
          <w:b w:val="0"/>
          <w:sz w:val="21"/>
        </w:rPr>
        <w:fldChar w:fldCharType="end"/>
      </w:r>
    </w:p>
    <w:p w14:paraId="2EF7232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_Toc13931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7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_Toc13931 \h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r>
        <w:rPr>
          <w:rFonts w:ascii="Times New Roman" w:hAnsi="Times New Roman" w:eastAsia="SimSun"/>
          <w:b w:val="0"/>
          <w:sz w:val="21"/>
        </w:rPr>
        <w:fldChar w:fldCharType="end"/>
      </w:r>
    </w:p>
    <w:p w14:paraId="458BA4C7">
      <w:pPr>
        <w:pStyle w:val="31"/>
        <w:tabs>
          <w:tab w:val="right" w:leader="dot" w:pos="8646"/>
        </w:tabs>
      </w:pPr>
      <w:r>
        <w:rPr>
          <w:rFonts w:ascii="Times New Roman" w:hAnsi="Times New Roman" w:eastAsia="SimSun"/>
          <w:b w:val="0"/>
          <w:sz w:val="21"/>
        </w:rPr>
        <w:fldChar w:fldCharType="begin"/>
      </w:r>
      <w:r>
        <w:rPr>
          <w:rFonts w:ascii="Times New Roman" w:hAnsi="Times New Roman" w:eastAsia="SimSun"/>
          <w:b w:val="0"/>
          <w:sz w:val="21"/>
        </w:rPr>
        <w:instrText xml:space="preserve"> HYPERLINK \l _Toc5007 </w:instrText>
      </w:r>
      <w:r>
        <w:rPr>
          <w:rFonts w:ascii="Times New Roman" w:hAnsi="Times New Roman" w:eastAsia="SimSun"/>
          <w:b w:val="0"/>
          <w:sz w:val="21"/>
        </w:rPr>
        <w:fldChar w:fldCharType="separate"/>
      </w:r>
      <w:r>
        <w:rPr>
          <w:rFonts w:ascii="Times New Roman" w:hAnsi="Times New Roman" w:eastAsia="SimSun"/>
          <w:b w:val="0"/>
          <w:sz w:val="21"/>
          <w:lang w:eastAsia="zh-CN"/>
        </w:rPr>
        <w:t xml:space="preserve">表 </w:t>
      </w:r>
      <w:r>
        <w:rPr>
          <w:rFonts w:ascii="Times New Roman" w:hAnsi="Times New Roman" w:eastAsia="SimSun"/>
          <w:b w:val="0"/>
          <w:sz w:val="21"/>
        </w:rPr>
        <w:t xml:space="preserve">8 </w:t>
      </w:r>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r>
        <w:rPr>
          <w:rFonts w:ascii="Times New Roman" w:hAnsi="Times New Roman" w:eastAsia="SimSun"/>
          <w:b w:val="0"/>
          <w:sz w:val="21"/>
        </w:rPr>
        <w:tab/>
      </w:r>
      <w:r>
        <w:rPr>
          <w:rFonts w:ascii="Times New Roman" w:hAnsi="Times New Roman" w:eastAsia="SimSun"/>
          <w:b w:val="0"/>
          <w:sz w:val="21"/>
        </w:rPr>
        <w:fldChar w:fldCharType="begin"/>
      </w:r>
      <w:r>
        <w:rPr>
          <w:rFonts w:ascii="Times New Roman" w:hAnsi="Times New Roman" w:eastAsia="SimSun"/>
          <w:b w:val="0"/>
          <w:sz w:val="21"/>
        </w:rPr>
        <w:instrText xml:space="preserve"> PAGEREF _Toc5007 \h </w:instrText>
      </w:r>
      <w:r>
        <w:rPr>
          <w:rFonts w:ascii="Times New Roman" w:hAnsi="Times New Roman" w:eastAsia="SimSun"/>
          <w:b w:val="0"/>
          <w:sz w:val="21"/>
        </w:rPr>
        <w:fldChar w:fldCharType="separate"/>
      </w:r>
      <w:r>
        <w:rPr>
          <w:rFonts w:ascii="Times New Roman" w:hAnsi="Times New Roman" w:eastAsia="SimSun"/>
          <w:b w:val="0"/>
          <w:sz w:val="21"/>
        </w:rPr>
        <w:t>30</w:t>
      </w:r>
      <w:r>
        <w:rPr>
          <w:rFonts w:ascii="Times New Roman" w:hAnsi="Times New Roman" w:eastAsia="SimSun"/>
          <w:b w:val="0"/>
          <w:sz w:val="21"/>
        </w:rPr>
        <w:fldChar w:fldCharType="end"/>
      </w:r>
      <w:r>
        <w:rPr>
          <w:rFonts w:ascii="Times New Roman" w:hAnsi="Times New Roman" w:eastAsia="SimSun"/>
          <w:b w:val="0"/>
          <w:sz w:val="21"/>
        </w:rPr>
        <w:fldChar w:fldCharType="end"/>
      </w:r>
    </w:p>
    <w:p w14:paraId="1F5671AB">
      <w:r>
        <w:rPr>
          <w:rFonts w:ascii="Times New Roman" w:hAnsi="Times New Roman" w:eastAsia="SimSun"/>
          <w:b w:val="0"/>
          <w:sz w:val="21"/>
        </w:rPr>
        <w:fldChar w:fldCharType="end"/>
      </w:r>
    </w:p>
    <w:p w14:paraId="525380F7">
      <w:pPr>
        <w:jc w:val="both"/>
        <w:rPr>
          <w:lang w:eastAsia="zh-CN"/>
        </w:rPr>
      </w:pPr>
      <w:r>
        <w:rPr>
          <w:rFonts w:ascii="Times New Roman" w:hAnsi="Times New Roman" w:eastAsia="SimSun"/>
          <w:b w:val="0"/>
          <w:sz w:val="21"/>
          <w:lang w:eastAsia="zh-CN"/>
        </w:rPr>
        <w:br w:type="page"/>
      </w:r>
    </w:p>
    <w:p w14:paraId="68876762">
      <w:pPr>
        <w:spacing w:line="480" w:lineRule="exact"/>
        <w:jc w:val="center"/>
        <w:rPr>
          <w:rFonts w:ascii="方正小标宋简体" w:eastAsia="方正小标宋简体"/>
          <w:sz w:val="32"/>
          <w:szCs w:val="32"/>
          <w:lang w:eastAsia="zh-CN"/>
        </w:rPr>
      </w:pPr>
      <w:r>
        <w:rPr>
          <w:rFonts w:hint="eastAsia" w:ascii="Times New Roman" w:eastAsia="SimSun" w:hAnsi="Times New Roman"/>
          <w:b w:val="0"/>
          <w:sz w:val="21"/>
          <w:szCs w:val="32"/>
          <w:lang w:eastAsia="zh-CN"/>
        </w:rPr>
        <w:t>基于夜间灯光遥感数据的中国省域碳排放效率测度及影响因素的研究</w:t>
      </w:r>
    </w:p>
    <w:p w14:paraId="2D960AC5">
      <w:pPr>
        <w:spacing w:line="480" w:lineRule="exact"/>
        <w:jc w:val="center"/>
        <w:rPr>
          <w:lang w:eastAsia="zh-CN"/>
        </w:rPr>
      </w:pPr>
      <w:r>
        <w:rPr>
          <w:rFonts w:eastAsia="SimSun" w:ascii="Times New Roman" w:hAnsi="Times New Roman"/>
          <w:b w:val="0"/>
          <w:sz w:val="21"/>
          <w:lang w:eastAsia="zh-CN"/>
        </w:rPr>
        <w:t>摘  要</w:t>
      </w:r>
    </w:p>
    <w:p w14:paraId="7027FE2E">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域碳排放效率，并结合全局参比Malmquist指数分析其动态变化特征；其次，构建双向固定效应模型，识别夜间灯光强度及产业结构、城镇化率、研发投入、对外开放和能源结构等因素对碳排放效率的影响；最后，利用Global Moran’s I检验省域碳排放效率的空间相关性。</w:t>
      </w:r>
    </w:p>
    <w:p w14:paraId="494F2A04">
      <w:pPr>
        <w:spacing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研究结果表明：样本期内全国省域碳排放效率均值为0.5272，由2015年的0.4183提升至2022年的0.6350，总体呈波动上升趋势，但省域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域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pPr>
        <w:jc w:val="both"/>
        <w:rPr>
          <w:rFonts w:ascii="黑体" w:hAnsi="黑体" w:eastAsia="黑体"/>
          <w:lang w:eastAsia="zh-CN"/>
        </w:rPr>
      </w:pPr>
      <w:r>
        <w:rPr>
          <w:rFonts w:ascii="Times New Roman" w:hAnsi="Times New Roman" w:eastAsia="SimSun"/>
          <w:b w:val="0"/>
          <w:bCs/>
          <w:sz w:val="21"/>
          <w:lang w:eastAsia="zh-CN"/>
        </w:rPr>
        <w:t>关键词：</w:t>
      </w:r>
      <w:r>
        <w:rPr>
          <w:rFonts w:ascii="Times New Roman" w:hAnsi="Times New Roman" w:eastAsia="SimSun"/>
          <w:b w:val="0"/>
          <w:sz w:val="21"/>
          <w:lang w:eastAsia="zh-CN"/>
        </w:rPr>
        <w:t>夜间灯光遥感数据；碳排放效率；超效率SBM；Malmquist指数；空间相关性</w:t>
      </w:r>
    </w:p>
    <w:p w14:paraId="42F7E9C9">
      <w:pPr>
        <w:pageBreakBefore/>
        <w:jc w:val="center"/>
      </w:pPr>
      <w:r>
        <w:rPr>
          <w:rFonts w:eastAsia="SimSun" w:ascii="Times New Roman" w:hAnsi="Times New Roman"/>
          <w:b w:val="0"/>
          <w:sz w:val="21"/>
        </w:rPr>
        <w:t>Abstract</w:t>
      </w:r>
    </w:p>
    <w:p w14:paraId="3BD089C7">
      <w:pPr>
        <w:ind w:firstLine="480" w:firstLineChars="200"/>
        <w:jc w:val="both"/>
      </w:pPr>
      <w:r>
        <w:rPr>
          <w:rFonts w:ascii="Times New Roman" w:hAnsi="Times New Roman" w:eastAsia="SimSun"/>
          <w:b w:val="0"/>
          <w:sz w:val="21"/>
        </w:rP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pPr>
        <w:jc w:val="both"/>
      </w:pPr>
      <w:r>
        <w:rPr>
          <w:rFonts w:ascii="Times New Roman" w:hAnsi="Times New Roman" w:eastAsia="SimSun"/>
          <w:b w:val="0"/>
          <w:bCs/>
          <w:sz w:val="21"/>
        </w:rPr>
        <w:t>Key words:</w:t>
      </w:r>
      <w:r>
        <w:rPr>
          <w:rFonts w:ascii="Times New Roman" w:hAnsi="Times New Roman" w:eastAsia="SimSun"/>
          <w:b w:val="0"/>
          <w:sz w:val="21"/>
        </w:rPr>
        <w:t xml:space="preserve"> nighttime light remote sensing; carbon emission efficiency; super-efficiency SBM; Malmquist index; spatial dependence</w:t>
      </w:r>
    </w:p>
    <w:p w14:paraId="72990FE8">
      <w:pPr>
        <w:pStyle w:val="3"/>
        <w:pageBreakBefore/>
        <w:jc w:val="both"/>
        <w:rPr>
          <w:color w:val="auto"/>
          <w:szCs w:val="30"/>
          <w:lang w:eastAsia="zh-CN"/>
        </w:rPr>
        <w:sectPr>
          <w:pgSz w:w="12240" w:h="15840"/>
          <w:pgMar w:top="1440" w:right="1797" w:bottom="1440" w:left="1797" w:header="720" w:footer="720" w:gutter="0"/>
          <w:pgNumType w:start="0"/>
          <w:cols w:space="0" w:num="1"/>
          <w:titlePg/>
          <w:docGrid w:linePitch="360" w:charSpace="0"/>
        </w:sectPr>
      </w:pPr>
    </w:p>
    <w:p w14:paraId="7DBF24B6">
      <w:pPr>
        <w:keepNext w:val="0"/>
        <w:keepLines w:val="0"/>
        <w:pageBreakBefore w:val="0"/>
        <w:widowControl/>
        <w:kinsoku/>
        <w:wordWrap/>
        <w:overflowPunct/>
        <w:topLinePunct w:val="0"/>
        <w:autoSpaceDE/>
        <w:autoSpaceDN/>
        <w:bidi w:val="0"/>
        <w:adjustRightInd/>
        <w:snapToGrid/>
        <w:spacing w:line="480" w:lineRule="exact"/>
        <w:jc w:val="center"/>
        <w:textAlignment w:val="auto"/>
        <w:rPr>
          <w:rFonts w:hint="eastAsia" w:ascii="方正小标宋简体" w:eastAsia="方正小标宋简体"/>
          <w:b w:val="0"/>
          <w:bCs/>
          <w:sz w:val="32"/>
          <w:szCs w:val="32"/>
          <w:lang w:eastAsia="zh-CN"/>
        </w:rPr>
      </w:pPr>
      <w:bookmarkStart w:id="0" w:name="_Toc17149"/>
      <w:r>
        <w:rPr>
          <w:rFonts w:hint="eastAsia" w:ascii="Times New Roman" w:eastAsia="SimSun" w:hAnsi="Times New Roman"/>
          <w:b w:val="0"/>
          <w:bCs/>
          <w:sz w:val="21"/>
          <w:szCs w:val="32"/>
          <w:lang w:eastAsia="zh-CN"/>
        </w:rPr>
        <w:t>基于夜间灯光遥感数据的中国省域</w:t>
      </w:r>
      <w:bookmarkStart w:id="87" w:name="_GoBack"/>
      <w:bookmarkEnd w:id="87"/>
      <w:r>
        <w:rPr>
          <w:rFonts w:hint="eastAsia" w:ascii="Times New Roman" w:eastAsia="SimSun" w:hAnsi="Times New Roman"/>
          <w:b w:val="0"/>
          <w:bCs/>
          <w:sz w:val="21"/>
          <w:szCs w:val="32"/>
          <w:lang w:eastAsia="zh-CN"/>
        </w:rPr>
        <w:t>碳排放效率测度及影响因素的研究</w:t>
      </w:r>
    </w:p>
    <w:p w14:paraId="75043A8D">
      <w:pPr>
        <w:pStyle w:val="3"/>
        <w:bidi w:val="0"/>
        <w:rPr>
          <w:lang w:eastAsia="zh-CN"/>
        </w:rPr>
      </w:pPr>
      <w:r>
        <w:rPr>
          <w:rFonts w:ascii="Times New Roman" w:hAnsi="Times New Roman" w:eastAsia="SimSun"/>
          <w:b w:val="0"/>
          <w:sz w:val="21"/>
          <w:lang w:eastAsia="zh-CN"/>
        </w:rPr>
        <w:t>一、引言</w:t>
      </w:r>
      <w:bookmarkEnd w:id="0"/>
    </w:p>
    <w:p w14:paraId="3E473C6B">
      <w:pPr>
        <w:pStyle w:val="4"/>
        <w:jc w:val="both"/>
        <w:rPr>
          <w:rFonts w:ascii="楷体" w:hAnsi="楷体"/>
          <w:color w:val="auto"/>
          <w:lang w:eastAsia="zh-CN"/>
        </w:rPr>
      </w:pPr>
      <w:bookmarkStart w:id="1" w:name="_Toc12936"/>
      <w:r>
        <w:rPr>
          <w:rFonts w:ascii="Times New Roman" w:hAnsi="Times New Roman" w:eastAsia="SimSun"/>
          <w:b w:val="0"/>
          <w:color w:val="auto"/>
          <w:sz w:val="21"/>
          <w:lang w:eastAsia="zh-CN"/>
        </w:rPr>
        <w:t>（一）研究背景与问题提出</w:t>
      </w:r>
      <w:bookmarkEnd w:id="1"/>
    </w:p>
    <w:p w14:paraId="4DE59ED3">
      <w:pPr>
        <w:spacing w:after="0" w:line="480" w:lineRule="exact"/>
        <w:ind w:firstLine="480" w:firstLineChars="200"/>
        <w:jc w:val="both"/>
        <w:rPr>
          <w:rFonts w:ascii="宋体" w:hAnsi="宋体"/>
          <w:lang w:eastAsia="zh-CN"/>
        </w:rPr>
      </w:pPr>
      <w:r>
        <w:rPr>
          <w:rFonts w:hint="eastAsia" w:ascii="Times New Roman" w:hAnsi="Times New Roman" w:eastAsia="SimSun"/>
          <w:b w:val="0"/>
          <w:sz w:val="21"/>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r>
        <w:rPr>
          <w:rFonts w:hint="eastAsia" w:ascii="Times New Roman" w:hAnsi="Times New Roman" w:eastAsia="SimSun"/>
          <w:b w:val="0"/>
          <w:sz w:val="21"/>
          <w:highlight w:val="none"/>
          <w:lang w:eastAsia="zh-CN"/>
        </w:rPr>
        <w:t>现有研究多将其作为经济规模代理变量，而对其空间聚合特征关注不足。基于此，本文以夜间灯光强度（记为 NTL，对数化后记为 LNTL）为核心解释变量，在统一的省级面板框架下分析碳排放效率的测度结果、动态演进、影响因素及空间相关性。</w:t>
      </w:r>
    </w:p>
    <w:p w14:paraId="7D0AE934">
      <w:pPr>
        <w:pStyle w:val="4"/>
        <w:jc w:val="both"/>
        <w:rPr>
          <w:rFonts w:ascii="楷体" w:hAnsi="楷体"/>
          <w:color w:val="auto"/>
          <w:lang w:eastAsia="zh-CN"/>
        </w:rPr>
      </w:pPr>
      <w:bookmarkStart w:id="2" w:name="_Toc3209"/>
      <w:r>
        <w:rPr>
          <w:rFonts w:ascii="Times New Roman" w:hAnsi="Times New Roman" w:eastAsia="SimSun"/>
          <w:b w:val="0"/>
          <w:color w:val="auto"/>
          <w:sz w:val="21"/>
          <w:lang w:eastAsia="zh-CN"/>
        </w:rPr>
        <w:t>（二）研究问题与研究价值</w:t>
      </w:r>
      <w:bookmarkEnd w:id="2"/>
    </w:p>
    <w:p w14:paraId="26A166F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重点回答四个问题：第一，2015—2022年中国30个省级地区碳排放效率的时空差异如何演变；第二，夜间灯光强度是否显著影响碳排放效率；第三，产业结构、城镇化率、研发投入、对外开放和能源结构等因素在这一过程中发挥何种作用；第四，</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碳排放效率是否存在空间相关性，以及某省夜间灯光强度是否会对周边省份碳排放效率产生溢出影响</w:t>
      </w:r>
    </w:p>
    <w:p w14:paraId="18F76A3F">
      <w:pPr>
        <w:pStyle w:val="4"/>
        <w:jc w:val="both"/>
        <w:rPr>
          <w:rFonts w:ascii="楷体" w:hAnsi="楷体"/>
          <w:color w:val="auto"/>
          <w:lang w:eastAsia="zh-CN"/>
        </w:rPr>
      </w:pPr>
      <w:bookmarkStart w:id="3" w:name="_Toc20622"/>
      <w:r>
        <w:rPr>
          <w:rFonts w:ascii="Times New Roman" w:hAnsi="Times New Roman" w:eastAsia="SimSun"/>
          <w:b w:val="0"/>
          <w:color w:val="auto"/>
          <w:sz w:val="21"/>
          <w:lang w:eastAsia="zh-CN"/>
        </w:rPr>
        <w:t>（三）研究思路与核心内容</w:t>
      </w:r>
      <w:bookmarkEnd w:id="3"/>
    </w:p>
    <w:p w14:paraId="55C9D1E0">
      <w:pPr>
        <w:spacing w:after="0" w:line="480" w:lineRule="exact"/>
        <w:ind w:firstLine="480" w:firstLineChars="200"/>
        <w:jc w:val="both"/>
        <w:rPr>
          <w:rFonts w:hint="eastAsia"/>
          <w:lang w:eastAsia="zh-CN"/>
        </w:rPr>
      </w:pPr>
      <w:r>
        <w:rPr>
          <w:rFonts w:hint="eastAsia" w:ascii="Times New Roman" w:hAnsi="Times New Roman" w:eastAsia="SimSun"/>
          <w:b w:val="0"/>
          <w:sz w:val="21"/>
          <w:lang w:eastAsia="zh-CN"/>
        </w:rPr>
        <w:t>本文采用“三阶段研究框架”。第一阶段基于投入—产出体系，利用考虑非期望产出的超效率SBM模型测度静态碳排放效率，并结合Malmquist指数刻画动态演进；第二阶段构建双向固定效应模型，识别夜间灯光强度及其他控制变量对碳排放效率的影响；第三阶段先利用Global Moran’s I和局部Moran分析检验省域碳排放效率的空间相关特征，再进一步构建空间杜宾模型（SDM），识别夜间灯光强度对本地及周边省份碳排放效率的空间溢出效应。全文由引言、文献综述、研究设计、数据预处理、效率测度结果、面板回归分析、空间相关性与空间溢出分析、稳健性检验以及结论建议构成。</w:t>
      </w:r>
    </w:p>
    <w:p w14:paraId="16975D3A">
      <w:pPr>
        <w:pStyle w:val="4"/>
        <w:jc w:val="both"/>
        <w:rPr>
          <w:rFonts w:ascii="楷体" w:hAnsi="楷体"/>
          <w:color w:val="auto"/>
          <w:lang w:eastAsia="zh-CN"/>
        </w:rPr>
      </w:pPr>
      <w:bookmarkStart w:id="4" w:name="_Toc27283"/>
      <w:r>
        <w:rPr>
          <w:rFonts w:ascii="Times New Roman" w:hAnsi="Times New Roman" w:eastAsia="SimSun"/>
          <w:b w:val="0"/>
          <w:color w:val="auto"/>
          <w:sz w:val="21"/>
          <w:lang w:eastAsia="zh-CN"/>
        </w:rPr>
        <w:t>（四）可能的边际贡献</w:t>
      </w:r>
      <w:bookmarkEnd w:id="4"/>
    </w:p>
    <w:p w14:paraId="47E0277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第一，在指标选取与解释框架上，本文将夜间灯光遥感数据纳入碳排放效率研究，</w:t>
      </w:r>
      <w:r>
        <w:rPr>
          <w:rFonts w:ascii="Times New Roman" w:hAnsi="Times New Roman" w:eastAsia="SimSun"/>
          <w:b w:val="0"/>
          <w:sz w:val="21"/>
          <w:highlight w:val="none"/>
          <w:lang w:eastAsia="zh-CN"/>
        </w:rPr>
        <w:t>并强调其“夜间灯光强度对数项（LNTL）”属性</w:t>
      </w:r>
      <w:r>
        <w:rPr>
          <w:rFonts w:ascii="Times New Roman" w:hAnsi="Times New Roman" w:eastAsia="SimSun"/>
          <w:b w:val="0"/>
          <w:sz w:val="21"/>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pPr>
        <w:jc w:val="both"/>
        <w:rPr>
          <w:lang w:eastAsia="zh-CN"/>
        </w:rPr>
      </w:pPr>
      <w:r>
        <w:rPr>
          <w:rFonts w:ascii="Times New Roman" w:hAnsi="Times New Roman" w:eastAsia="SimSun"/>
          <w:b w:val="0"/>
          <w:sz w:val="21"/>
          <w:lang w:eastAsia="zh-CN"/>
        </w:rPr>
        <w:drawing>
          <wp:inline distT="0" distB="0" distL="114300" distR="114300">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8"/>
                    <a:srcRect t="4341"/>
                    <a:stretch>
                      <a:fillRect/>
                    </a:stretch>
                  </pic:blipFill>
                  <pic:spPr>
                    <a:xfrm>
                      <a:off x="0" y="0"/>
                      <a:ext cx="5749925" cy="3666490"/>
                    </a:xfrm>
                    <a:prstGeom prst="rect">
                      <a:avLst/>
                    </a:prstGeom>
                  </pic:spPr>
                </pic:pic>
              </a:graphicData>
            </a:graphic>
          </wp:inline>
        </w:drawing>
      </w:r>
    </w:p>
    <w:p w14:paraId="19A52AA8">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5" w:name="_Toc105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研究技术路线图</w:t>
      </w:r>
      <w:bookmarkEnd w:id="5"/>
    </w:p>
    <w:p w14:paraId="70621EE8">
      <w:pPr>
        <w:pStyle w:val="3"/>
        <w:jc w:val="both"/>
        <w:rPr>
          <w:color w:val="auto"/>
          <w:szCs w:val="30"/>
          <w:lang w:eastAsia="zh-CN"/>
        </w:rPr>
      </w:pPr>
      <w:bookmarkStart w:id="6" w:name="_Toc5559"/>
      <w:r>
        <w:rPr>
          <w:rFonts w:ascii="Times New Roman" w:hAnsi="Times New Roman" w:eastAsia="SimSun"/>
          <w:b w:val="0"/>
          <w:color w:val="auto"/>
          <w:sz w:val="21"/>
          <w:szCs w:val="30"/>
          <w:lang w:eastAsia="zh-CN"/>
        </w:rPr>
        <w:t>二、文献综述与理论分析</w:t>
      </w:r>
      <w:bookmarkEnd w:id="6"/>
    </w:p>
    <w:p w14:paraId="7F48AD1A">
      <w:pPr>
        <w:pStyle w:val="4"/>
        <w:jc w:val="both"/>
        <w:rPr>
          <w:rFonts w:ascii="楷体" w:hAnsi="楷体"/>
          <w:color w:val="auto"/>
          <w:lang w:eastAsia="zh-CN"/>
        </w:rPr>
      </w:pPr>
      <w:bookmarkStart w:id="7" w:name="_Toc26210"/>
      <w:r>
        <w:rPr>
          <w:rFonts w:ascii="Times New Roman" w:hAnsi="Times New Roman" w:eastAsia="SimSun"/>
          <w:b w:val="0"/>
          <w:color w:val="auto"/>
          <w:sz w:val="21"/>
          <w:lang w:eastAsia="zh-CN"/>
        </w:rPr>
        <w:t>（一）碳排放效率测度研究</w:t>
      </w:r>
      <w:bookmarkEnd w:id="7"/>
    </w:p>
    <w:p w14:paraId="2225C458">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w:t>
      </w:r>
      <w:r>
        <w:rPr>
          <w:rFonts w:hint="eastAsia" w:ascii="Times New Roman" w:hAnsi="Times New Roman" w:eastAsia="SimSun"/>
          <w:b w:val="0"/>
          <w:sz w:val="21"/>
          <w:lang w:eastAsia="zh-CN"/>
        </w:rPr>
        <w:t>省域</w:t>
      </w:r>
      <w:r>
        <w:rPr>
          <w:rFonts w:ascii="Times New Roman" w:hAnsi="Times New Roman" w:eastAsia="SimSun"/>
          <w:b w:val="0"/>
          <w:sz w:val="21"/>
          <w:lang w:eastAsia="zh-CN"/>
        </w:rPr>
        <w:t>比较研究。</w:t>
      </w:r>
      <w:r>
        <w:rPr>
          <w:rFonts w:cs="Times New Roman" w:ascii="Times New Roman" w:hAnsi="Times New Roman" w:eastAsia="SimSun"/>
          <w:b w:val="0"/>
          <w:sz w:val="21"/>
          <w:vertAlign w:val="superscript"/>
          <w:lang w:eastAsia="zh-CN"/>
        </w:rPr>
        <w:t>[1-</w:t>
      </w:r>
      <w:r>
        <w:rPr>
          <w:rFonts w:hint="eastAsia" w:cs="Times New Roman" w:ascii="Times New Roman" w:hAnsi="Times New Roman" w:eastAsia="SimSun"/>
          <w:b w:val="0"/>
          <w:sz w:val="21"/>
          <w:vertAlign w:val="superscript"/>
          <w:lang w:eastAsia="zh-CN"/>
        </w:rPr>
        <w:t>4</w:t>
      </w:r>
      <w:r>
        <w:rPr>
          <w:rFonts w:cs="Times New Roman" w:ascii="Times New Roman" w:hAnsi="Times New Roman" w:eastAsia="SimSun"/>
          <w:b w:val="0"/>
          <w:sz w:val="21"/>
          <w:vertAlign w:val="superscript"/>
          <w:lang w:eastAsia="zh-CN"/>
        </w:rPr>
        <w:t>]</w:t>
      </w:r>
      <w:r>
        <w:rPr>
          <w:rFonts w:ascii="Times New Roman" w:hAnsi="Times New Roman" w:eastAsia="SimSun"/>
          <w:b w:val="0"/>
          <w:sz w:val="21"/>
          <w:lang w:eastAsia="zh-CN"/>
        </w:rPr>
        <w:t>在环境效率研究中，将碳排放作为非期望产出纳入SBM或超效率SBM模型已成为主流做法；进一步结合全局参比Malmquist指数，有助于识别效率变化究竟来自技术进步还是效率追赶。</w:t>
      </w:r>
      <w:r>
        <w:rPr>
          <w:rFonts w:cs="Times New Roman" w:ascii="Times New Roman" w:hAnsi="Times New Roman" w:eastAsia="SimSun"/>
          <w:b w:val="0"/>
          <w:sz w:val="21"/>
          <w:vertAlign w:val="superscript"/>
          <w:lang w:eastAsia="zh-CN"/>
        </w:rPr>
        <w:t>[12-16,20]</w:t>
      </w:r>
    </w:p>
    <w:p w14:paraId="1DEA2E3A">
      <w:pPr>
        <w:pStyle w:val="4"/>
        <w:jc w:val="both"/>
        <w:rPr>
          <w:lang w:eastAsia="zh-CN"/>
        </w:rPr>
      </w:pPr>
      <w:bookmarkStart w:id="8" w:name="_Toc1297"/>
      <w:r>
        <w:rPr>
          <w:rFonts w:ascii="Times New Roman" w:hAnsi="Times New Roman" w:eastAsia="SimSun"/>
          <w:b w:val="0"/>
          <w:color w:val="auto"/>
          <w:sz w:val="21"/>
          <w:lang w:eastAsia="zh-CN"/>
        </w:rPr>
        <w:t>（二）夜间灯光遥感数据应用研究</w:t>
      </w:r>
      <w:bookmarkEnd w:id="8"/>
    </w:p>
    <w:p w14:paraId="3BFC1AC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ascii="Times New Roman" w:hAnsi="Times New Roman" w:eastAsia="SimSun"/>
          <w:b w:val="0"/>
          <w:sz w:val="21"/>
          <w:vertAlign w:val="superscript"/>
          <w:lang w:eastAsia="zh-CN"/>
        </w:rPr>
        <w:t>[6-8]</w:t>
      </w:r>
    </w:p>
    <w:p w14:paraId="519BDE24">
      <w:pPr>
        <w:spacing w:after="0" w:line="480" w:lineRule="exact"/>
        <w:ind w:firstLine="480" w:firstLineChars="200"/>
        <w:jc w:val="both"/>
        <w:rPr>
          <w:rFonts w:ascii="宋体" w:hAnsi="宋体"/>
          <w:highlight w:val="none"/>
          <w:lang w:eastAsia="zh-CN"/>
        </w:rPr>
      </w:pPr>
      <w:r>
        <w:rPr>
          <w:rFonts w:ascii="Times New Roman" w:hAnsi="Times New Roman" w:eastAsia="SimSun"/>
          <w:b w:val="0"/>
          <w:sz w:val="21"/>
          <w:highlight w:val="none"/>
          <w:lang w:eastAsia="zh-CN"/>
        </w:rPr>
        <w:t>值得注意的是，现有文献多将夜间灯光总量、平均亮度或增长率作为规模性代理变量，主要用于刻画地区经济活跃度、发展强度和人口集聚水平。对本文而言，夜间灯光遥感数据的价值不仅在于反映区域经济活动的客观强弱，还在于为识别</w:t>
      </w:r>
      <w:r>
        <w:rPr>
          <w:rFonts w:hint="eastAsia" w:ascii="Times New Roman" w:hAnsi="Times New Roman" w:eastAsia="SimSun"/>
          <w:b w:val="0"/>
          <w:sz w:val="21"/>
          <w:highlight w:val="none"/>
          <w:lang w:eastAsia="zh-CN"/>
        </w:rPr>
        <w:t>省域</w:t>
      </w:r>
      <w:r>
        <w:rPr>
          <w:rFonts w:ascii="Times New Roman" w:hAnsi="Times New Roman" w:eastAsia="SimSun"/>
          <w:b w:val="0"/>
          <w:sz w:val="21"/>
          <w:highlight w:val="none"/>
          <w:lang w:eastAsia="zh-CN"/>
        </w:rPr>
        <w:t>发展差异提供连续、统一且可比的数据支撑。因此，本文采用省级夜间灯光强度指标，并进一步进行对数化处理，以考察其对碳排放效率的影响。由此可将夜间灯光与区域经济活跃程度、基础设施条件、要素流动和绿色发展效率联系起来。</w:t>
      </w:r>
      <w:r>
        <w:rPr>
          <w:rFonts w:cs="Times New Roman" w:ascii="Times New Roman" w:hAnsi="Times New Roman" w:eastAsia="SimSun"/>
          <w:b w:val="0"/>
          <w:sz w:val="21"/>
          <w:highlight w:val="none"/>
          <w:vertAlign w:val="superscript"/>
          <w:lang w:eastAsia="zh-CN"/>
        </w:rPr>
        <w:t>[18,22-23]</w:t>
      </w:r>
    </w:p>
    <w:p w14:paraId="63A5FE77">
      <w:pPr>
        <w:pStyle w:val="4"/>
        <w:jc w:val="both"/>
        <w:rPr>
          <w:rFonts w:ascii="楷体" w:hAnsi="楷体"/>
          <w:color w:val="auto"/>
          <w:lang w:eastAsia="zh-CN"/>
        </w:rPr>
      </w:pPr>
      <w:bookmarkStart w:id="9" w:name="_Toc8738"/>
      <w:r>
        <w:rPr>
          <w:rFonts w:ascii="Times New Roman" w:hAnsi="Times New Roman" w:eastAsia="SimSun"/>
          <w:b w:val="0"/>
          <w:color w:val="auto"/>
          <w:sz w:val="21"/>
          <w:lang w:eastAsia="zh-CN"/>
        </w:rPr>
        <w:t>（三）影响因素与空间效应研究</w:t>
      </w:r>
      <w:bookmarkEnd w:id="9"/>
    </w:p>
    <w:p w14:paraId="722010F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聚能够提高资源配置效率，但粗放扩张也可能带来额外能源消耗和环境压力。</w:t>
      </w:r>
      <w:r>
        <w:rPr>
          <w:rFonts w:cs="Times New Roman" w:ascii="Times New Roman" w:hAnsi="Times New Roman" w:eastAsia="SimSun"/>
          <w:b w:val="0"/>
          <w:sz w:val="21"/>
          <w:vertAlign w:val="superscript"/>
          <w:lang w:eastAsia="zh-CN"/>
        </w:rPr>
        <w:t>[17,21,24]</w:t>
      </w:r>
    </w:p>
    <w:p w14:paraId="5336D51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近年来还有研究开始关注环境效率的空间相关性与空间溢出问题，认为相邻地区之间在产业分工、技术扩散、环境治理和要素流动等方面存在联动，导致绿色效率可能具有显著的空间依赖特征。因此，在</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碳排放效率研究中，利用Moran’s I 对空间集聚进行检验，并在条件允许时进一步开展空间模型估计，是十分必要的扩展方向。</w:t>
      </w:r>
      <w:r>
        <w:rPr>
          <w:rFonts w:cs="Times New Roman" w:ascii="Times New Roman" w:hAnsi="Times New Roman" w:eastAsia="SimSun"/>
          <w:b w:val="0"/>
          <w:sz w:val="21"/>
          <w:vertAlign w:val="superscript"/>
          <w:lang w:eastAsia="zh-CN"/>
        </w:rPr>
        <w:t>[17,23]</w:t>
      </w:r>
    </w:p>
    <w:p w14:paraId="799A217B">
      <w:pPr>
        <w:pStyle w:val="4"/>
        <w:jc w:val="both"/>
        <w:rPr>
          <w:rFonts w:ascii="楷体" w:hAnsi="楷体"/>
          <w:color w:val="auto"/>
          <w:lang w:eastAsia="zh-CN"/>
        </w:rPr>
      </w:pPr>
      <w:bookmarkStart w:id="10" w:name="_Toc7687"/>
      <w:r>
        <w:rPr>
          <w:rFonts w:ascii="Times New Roman" w:hAnsi="Times New Roman" w:eastAsia="SimSun"/>
          <w:b w:val="0"/>
          <w:color w:val="auto"/>
          <w:sz w:val="21"/>
          <w:lang w:eastAsia="zh-CN"/>
        </w:rPr>
        <w:t>（四）理论机制与研究假设</w:t>
      </w:r>
      <w:bookmarkEnd w:id="10"/>
    </w:p>
    <w:p w14:paraId="0765DECD">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综合既有研究与本文研究对象特征，夜间灯光强度对碳排放效率可能同时存在促进机制与约束机制。一方面，夜间灯光强度较高通常反映区域经济活动更活跃、基础设施运行更充分、生产和服务网络更密集，从而可能通过技术扩散、资源配置优化和规模经济效应促进碳排放效率提升；另一方面，若灯光强度上升主要来源于高耗能扩张或粗放式集聚，也可能伴随能源消耗增加和环境压力累积，从而对碳排放效率形成约束。</w:t>
      </w:r>
      <w:r>
        <w:rPr>
          <w:rFonts w:ascii="Times New Roman" w:hAnsi="Times New Roman" w:eastAsia="SimSun"/>
          <w:b w:val="0"/>
          <w:sz w:val="21"/>
          <w:lang w:eastAsia="zh-CN"/>
        </w:rPr>
        <w:br w:type="textWrapping"/>
      </w:r>
      <w:r>
        <w:rPr>
          <w:rFonts w:ascii="Times New Roman" w:hAnsi="Times New Roman" w:eastAsia="SimSun"/>
          <w:b w:val="0"/>
          <w:sz w:val="21"/>
          <w:lang w:eastAsia="zh-CN"/>
        </w:rPr>
        <w:t>基于上述分析，本文提出如下研究假设：假设1，夜间灯光强度对碳排放效率具有显著影响；假设2，产业结构、研发投入、对外开放和能源结构等因素对碳排放效率具有显著影响；假设3，</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碳排放效率具有显著空间相关性；假设4，某省夜间灯光强度可能对周边省份碳排放效率产生空间溢出影响。</w:t>
      </w:r>
    </w:p>
    <w:p w14:paraId="5C5EA803">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489575" cy="3905885"/>
            <wp:effectExtent l="0" t="0" r="0" b="0"/>
            <wp:docPr id="17" name="图片 17" descr="ChatGPT Image 2026年5月8日 14_58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5月8日 14_58_28"/>
                    <pic:cNvPicPr>
                      <a:picLocks noChangeAspect="1"/>
                    </pic:cNvPicPr>
                  </pic:nvPicPr>
                  <pic:blipFill>
                    <a:blip r:embed="rId9"/>
                    <a:srcRect t="5121"/>
                    <a:stretch>
                      <a:fillRect/>
                    </a:stretch>
                  </pic:blipFill>
                  <pic:spPr>
                    <a:xfrm>
                      <a:off x="0" y="0"/>
                      <a:ext cx="5489575" cy="3905885"/>
                    </a:xfrm>
                    <a:prstGeom prst="rect">
                      <a:avLst/>
                    </a:prstGeom>
                  </pic:spPr>
                </pic:pic>
              </a:graphicData>
            </a:graphic>
          </wp:inline>
        </w:drawing>
      </w:r>
    </w:p>
    <w:p w14:paraId="366052FC">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1" w:name="_Toc4085"/>
      <w:r>
        <w:rPr>
          <w:rFonts w:hint="eastAsia" w:ascii="Times New Roman" w:hAnsi="Times New Roman" w:eastAsia="SimSun"/>
          <w:b w:val="0"/>
          <w:sz w:val="21"/>
          <w:lang w:eastAsia="zh-CN"/>
        </w:rPr>
        <w:t xml:space="preserve"> 夜间灯光强度</w:t>
      </w:r>
      <w:r>
        <w:rPr>
          <w:rFonts w:ascii="Times New Roman" w:hAnsi="Times New Roman" w:eastAsia="SimSun"/>
          <w:b w:val="0"/>
          <w:sz w:val="21"/>
          <w:lang w:eastAsia="zh-CN"/>
        </w:rPr>
        <w:t>影响碳排放效率的理论机制图</w:t>
      </w:r>
      <w:bookmarkEnd w:id="11"/>
    </w:p>
    <w:p w14:paraId="285C4EF6">
      <w:pPr>
        <w:pStyle w:val="3"/>
        <w:jc w:val="both"/>
        <w:rPr>
          <w:color w:val="auto"/>
          <w:szCs w:val="30"/>
          <w:lang w:eastAsia="zh-CN"/>
        </w:rPr>
      </w:pPr>
      <w:bookmarkStart w:id="12" w:name="_Toc13754"/>
      <w:r>
        <w:rPr>
          <w:rFonts w:ascii="Times New Roman" w:hAnsi="Times New Roman" w:eastAsia="SimSun"/>
          <w:b w:val="0"/>
          <w:color w:val="auto"/>
          <w:sz w:val="21"/>
          <w:szCs w:val="30"/>
          <w:lang w:eastAsia="zh-CN"/>
        </w:rPr>
        <w:t>三、研究设计</w:t>
      </w:r>
      <w:bookmarkEnd w:id="12"/>
    </w:p>
    <w:p w14:paraId="784DFCCB">
      <w:pPr>
        <w:pStyle w:val="4"/>
        <w:jc w:val="both"/>
        <w:rPr>
          <w:rFonts w:ascii="楷体" w:hAnsi="楷体"/>
          <w:color w:val="auto"/>
          <w:lang w:eastAsia="zh-CN"/>
        </w:rPr>
      </w:pPr>
      <w:bookmarkStart w:id="13" w:name="_Toc32359"/>
      <w:r>
        <w:rPr>
          <w:rFonts w:ascii="Times New Roman" w:hAnsi="Times New Roman" w:eastAsia="SimSun"/>
          <w:b w:val="0"/>
          <w:color w:val="auto"/>
          <w:sz w:val="21"/>
          <w:lang w:eastAsia="zh-CN"/>
        </w:rPr>
        <w:t>（一）研究对象与样本范围</w:t>
      </w:r>
      <w:bookmarkEnd w:id="13"/>
    </w:p>
    <w:p w14:paraId="62E7F83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样本期选取2015—2022年，一方面能够覆盖“双碳”目标提出前后我国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绿色发展效率的变化过程，另一方面也兼顾了统计口径、夜间灯光数据可得性以及后续面板分析样本长度的可操作性。</w:t>
      </w:r>
    </w:p>
    <w:p w14:paraId="366E291A">
      <w:pPr>
        <w:pStyle w:val="4"/>
        <w:jc w:val="both"/>
        <w:rPr>
          <w:rFonts w:ascii="楷体" w:hAnsi="楷体"/>
          <w:color w:val="auto"/>
          <w:lang w:eastAsia="zh-CN"/>
        </w:rPr>
      </w:pPr>
      <w:bookmarkStart w:id="14" w:name="_Toc8002"/>
      <w:r>
        <w:rPr>
          <w:rFonts w:ascii="Times New Roman" w:hAnsi="Times New Roman" w:eastAsia="SimSun"/>
          <w:b w:val="0"/>
          <w:color w:val="auto"/>
          <w:sz w:val="21"/>
          <w:lang w:eastAsia="zh-CN"/>
        </w:rPr>
        <w:t>（二）三阶段研究框架</w:t>
      </w:r>
      <w:bookmarkEnd w:id="14"/>
    </w:p>
    <w:p w14:paraId="3FC0D22F">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第一阶段为</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碳排放效率测度。本文采用 K—L—E 投入产出体系，将劳动、资本和能源作为投入变量，以不变价 GDP 作为期望产出，以碳排放总量作为非期望产出，在 VRS 假设下使用超效率 SBM 模型测度静态碳排放效率；在此基础上，进一步利用 Malmquist 指数分析效率的动态演进及其分解来源。</w:t>
      </w:r>
    </w:p>
    <w:p w14:paraId="6DAEFB4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阶段为影响因素识别。以第一阶段测得的碳排放效率为被解释变量，以夜间灯光强度对数项为核心解释变量，引入产业结构、城镇化率、研发投入、对外开放和能源结构等控制变量，构建双向固定效应模型识别</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碳排放效率差异的影响因素。</w:t>
      </w:r>
    </w:p>
    <w:p w14:paraId="0723ABC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第三阶段为空间相关性与空间溢出分析。首先利用 Global Moran’s I 对</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碳排放效率进行全局空间自相关检验，以识别效率值是否存在整体空间集聚特征；其次结合局部 Moran 分析识别“高—高”“低—低”等局部空间集聚类型；最后进一步构建空间杜宾模型，考察夜间灯光强度对本地区及周边地区碳排放效率的直接效应与空间溢出效应，从而形成“整体相关—局部集聚—空间传导”的完整分析链条。</w:t>
      </w:r>
    </w:p>
    <w:p w14:paraId="7E8092E7">
      <w:pPr>
        <w:pStyle w:val="4"/>
        <w:jc w:val="both"/>
        <w:rPr>
          <w:rFonts w:ascii="楷体" w:hAnsi="楷体"/>
          <w:color w:val="auto"/>
          <w:lang w:eastAsia="zh-CN"/>
        </w:rPr>
      </w:pPr>
      <w:bookmarkStart w:id="15" w:name="_Toc3451"/>
      <w:r>
        <w:rPr>
          <w:rFonts w:ascii="Times New Roman" w:hAnsi="Times New Roman" w:eastAsia="SimSun"/>
          <w:b w:val="0"/>
          <w:color w:val="auto"/>
          <w:sz w:val="21"/>
          <w:lang w:eastAsia="zh-CN"/>
        </w:rPr>
        <w:t>（三）第一阶段碳排放效率测度指标体系</w:t>
      </w:r>
      <w:bookmarkEnd w:id="15"/>
    </w:p>
    <w:p w14:paraId="2590A3ED">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w:t>
      </w:r>
      <w:r>
        <w:rPr>
          <w:rFonts w:ascii="Times New Roman" w:hAnsi="Times New Roman" w:eastAsia="SimSun"/>
          <w:b w:val="0"/>
          <w:sz w:val="21"/>
        </w:rPr>
        <w:fldChar w:fldCharType="end"/>
      </w:r>
      <w:bookmarkStart w:id="16" w:name="_Toc4112"/>
      <w:r>
        <w:rPr>
          <w:rFonts w:ascii="Times New Roman" w:hAnsi="Times New Roman" w:eastAsia="SimSun"/>
          <w:b w:val="0"/>
          <w:sz w:val="21"/>
          <w:lang w:eastAsia="zh-CN"/>
        </w:rPr>
        <w:t>第一阶段碳排放效率测度指标体系</w:t>
      </w:r>
      <w:bookmarkEnd w:id="16"/>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3"/>
        <w:gridCol w:w="2214"/>
        <w:gridCol w:w="2221"/>
        <w:gridCol w:w="2214"/>
      </w:tblGrid>
      <w:tr w14:paraId="341292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6" w:type="dxa"/>
            <w:tcBorders>
              <w:top w:val="single" w:color="000000" w:sz="12" w:space="0"/>
              <w:bottom w:val="single" w:color="000000" w:sz="4" w:space="0"/>
              <w:tl2br w:val="nil"/>
            </w:tcBorders>
            <w:shd w:val="clear" w:color="auto" w:fill="FFFFFF"/>
            <w:vAlign w:val="top"/>
          </w:tcPr>
          <w:p w14:paraId="38ED8640">
            <w:pPr>
              <w:spacing w:after="0"/>
              <w:jc w:val="both"/>
              <w:rPr>
                <w:rFonts w:ascii="宋体" w:hAnsi="宋体"/>
                <w:color w:val="000000"/>
                <w:szCs w:val="24"/>
              </w:rPr>
            </w:pPr>
            <w:r>
              <w:rPr>
                <w:rFonts w:ascii="宋体" w:hAnsi="宋体"/>
                <w:color w:val="000000"/>
                <w:szCs w:val="24"/>
              </w:rPr>
              <w:t>维度</w:t>
            </w:r>
          </w:p>
        </w:tc>
        <w:tc>
          <w:tcPr>
            <w:tcW w:w="2266" w:type="dxa"/>
            <w:tcBorders>
              <w:top w:val="single" w:color="000000" w:sz="12" w:space="0"/>
              <w:bottom w:val="single" w:color="000000" w:sz="4" w:space="0"/>
            </w:tcBorders>
            <w:shd w:val="clear" w:color="auto" w:fill="FFFFFF"/>
            <w:vAlign w:val="top"/>
          </w:tcPr>
          <w:p w14:paraId="0B442636">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color="000000" w:sz="12" w:space="0"/>
              <w:bottom w:val="single" w:color="000000" w:sz="4" w:space="0"/>
            </w:tcBorders>
            <w:shd w:val="clear" w:color="auto" w:fill="FFFFFF"/>
            <w:vAlign w:val="top"/>
          </w:tcPr>
          <w:p w14:paraId="507A9ABE">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color="000000" w:sz="12" w:space="0"/>
              <w:bottom w:val="single" w:color="000000" w:sz="4" w:space="0"/>
            </w:tcBorders>
            <w:shd w:val="clear" w:color="auto" w:fill="FFFFFF"/>
            <w:vAlign w:val="top"/>
          </w:tcPr>
          <w:p w14:paraId="0A8F3C8D">
            <w:pPr>
              <w:spacing w:after="0"/>
              <w:jc w:val="both"/>
              <w:rPr>
                <w:rFonts w:ascii="宋体" w:hAnsi="宋体"/>
                <w:color w:val="000000"/>
                <w:szCs w:val="24"/>
              </w:rPr>
            </w:pPr>
            <w:r>
              <w:rPr>
                <w:rFonts w:ascii="宋体" w:hAnsi="宋体"/>
                <w:color w:val="000000"/>
                <w:szCs w:val="24"/>
              </w:rPr>
              <w:t>预期作用</w:t>
            </w:r>
          </w:p>
        </w:tc>
      </w:tr>
      <w:tr w14:paraId="20960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4783DD88">
            <w:pPr>
              <w:spacing w:after="0"/>
              <w:jc w:val="both"/>
              <w:rPr>
                <w:rFonts w:ascii="宋体" w:hAnsi="宋体"/>
                <w:color w:val="000000"/>
                <w:szCs w:val="24"/>
              </w:rPr>
            </w:pPr>
            <w:r>
              <w:rPr>
                <w:rFonts w:ascii="宋体" w:hAnsi="宋体"/>
                <w:color w:val="000000"/>
                <w:szCs w:val="24"/>
              </w:rPr>
              <w:t>投入</w:t>
            </w:r>
          </w:p>
        </w:tc>
        <w:tc>
          <w:tcPr>
            <w:tcW w:w="2266" w:type="dxa"/>
            <w:tcBorders>
              <w:top w:val="single" w:color="000000" w:sz="4" w:space="0"/>
            </w:tcBorders>
            <w:shd w:val="clear" w:color="auto" w:fill="FFFFFF"/>
          </w:tcPr>
          <w:p w14:paraId="28D67569">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color="000000" w:sz="4" w:space="0"/>
            </w:tcBorders>
            <w:shd w:val="clear" w:color="auto" w:fill="FFFFFF"/>
          </w:tcPr>
          <w:p w14:paraId="4663102A">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color="000000" w:sz="4" w:space="0"/>
            </w:tcBorders>
            <w:shd w:val="clear" w:color="auto" w:fill="FFFFFF"/>
          </w:tcPr>
          <w:p w14:paraId="616FFEFC">
            <w:pPr>
              <w:spacing w:after="0"/>
              <w:jc w:val="both"/>
              <w:rPr>
                <w:rFonts w:ascii="宋体" w:hAnsi="宋体"/>
                <w:color w:val="000000"/>
                <w:szCs w:val="24"/>
              </w:rPr>
            </w:pPr>
            <w:r>
              <w:rPr>
                <w:rFonts w:ascii="宋体" w:hAnsi="宋体"/>
                <w:color w:val="000000"/>
                <w:szCs w:val="24"/>
              </w:rPr>
              <w:t>投入变量</w:t>
            </w:r>
          </w:p>
        </w:tc>
      </w:tr>
      <w:tr w14:paraId="5F965C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5A50C12">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pPr>
              <w:spacing w:after="0"/>
              <w:jc w:val="both"/>
              <w:rPr>
                <w:rFonts w:ascii="宋体" w:hAnsi="宋体"/>
                <w:color w:val="000000"/>
                <w:szCs w:val="24"/>
              </w:rPr>
            </w:pPr>
            <w:r>
              <w:rPr>
                <w:rFonts w:ascii="宋体" w:hAnsi="宋体"/>
                <w:color w:val="000000"/>
                <w:szCs w:val="24"/>
              </w:rPr>
              <w:t>投入变量</w:t>
            </w:r>
          </w:p>
        </w:tc>
      </w:tr>
      <w:tr w14:paraId="282F38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657294F">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pPr>
              <w:spacing w:after="0"/>
              <w:jc w:val="both"/>
              <w:rPr>
                <w:rFonts w:ascii="宋体" w:hAnsi="宋体"/>
                <w:color w:val="000000"/>
                <w:szCs w:val="24"/>
              </w:rPr>
            </w:pPr>
            <w:r>
              <w:rPr>
                <w:rFonts w:ascii="宋体" w:hAnsi="宋体"/>
                <w:color w:val="000000"/>
                <w:szCs w:val="24"/>
              </w:rPr>
              <w:t>投入变量</w:t>
            </w:r>
          </w:p>
        </w:tc>
      </w:tr>
      <w:tr w14:paraId="05CC4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69AA07E">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pPr>
              <w:spacing w:after="0"/>
              <w:jc w:val="both"/>
              <w:rPr>
                <w:rFonts w:hint="default" w:ascii="宋体" w:hAnsi="宋体"/>
                <w:color w:val="000000"/>
                <w:szCs w:val="24"/>
                <w:lang w:val="en-US" w:eastAsia="zh-CN"/>
              </w:rPr>
            </w:pPr>
            <w:r>
              <w:rPr>
                <w:rFonts w:ascii="宋体" w:hAnsi="宋体"/>
                <w:color w:val="000000"/>
                <w:szCs w:val="24"/>
                <w:lang w:eastAsia="zh-CN"/>
              </w:rPr>
              <w:t>省域GD</w:t>
            </w:r>
            <w:r>
              <w:rPr>
                <w:rFonts w:hint="eastAsia" w:ascii="宋体" w:hAnsi="宋体"/>
                <w:color w:val="000000"/>
                <w:szCs w:val="24"/>
                <w:lang w:val="en-US" w:eastAsia="zh-CN"/>
              </w:rPr>
              <w:t>P</w:t>
            </w:r>
          </w:p>
        </w:tc>
        <w:tc>
          <w:tcPr>
            <w:tcW w:w="2266" w:type="dxa"/>
            <w:shd w:val="clear" w:color="auto" w:fill="FFFFFF"/>
          </w:tcPr>
          <w:p w14:paraId="3ACA8139">
            <w:pPr>
              <w:spacing w:after="0"/>
              <w:jc w:val="both"/>
              <w:rPr>
                <w:rFonts w:ascii="宋体" w:hAnsi="宋体"/>
                <w:color w:val="000000"/>
                <w:szCs w:val="24"/>
              </w:rPr>
            </w:pPr>
            <w:r>
              <w:rPr>
                <w:rFonts w:ascii="宋体" w:hAnsi="宋体"/>
                <w:color w:val="000000"/>
                <w:szCs w:val="24"/>
              </w:rPr>
              <w:t>正向产出</w:t>
            </w:r>
          </w:p>
        </w:tc>
      </w:tr>
      <w:tr w14:paraId="20BB7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08C4A07B">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color="000000" w:sz="12" w:space="0"/>
            </w:tcBorders>
            <w:shd w:val="clear" w:color="auto" w:fill="FFFFFF"/>
          </w:tcPr>
          <w:p w14:paraId="7A4D5424">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color="000000" w:sz="12" w:space="0"/>
            </w:tcBorders>
            <w:shd w:val="clear" w:color="auto" w:fill="FFFFFF"/>
          </w:tcPr>
          <w:p w14:paraId="03A1D188">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color="000000" w:sz="12" w:space="0"/>
            </w:tcBorders>
            <w:shd w:val="clear" w:color="auto" w:fill="FFFFFF"/>
          </w:tcPr>
          <w:p w14:paraId="71F009F9">
            <w:pPr>
              <w:spacing w:after="0"/>
              <w:jc w:val="both"/>
              <w:rPr>
                <w:rFonts w:ascii="宋体" w:hAnsi="宋体"/>
                <w:color w:val="000000"/>
                <w:szCs w:val="24"/>
              </w:rPr>
            </w:pPr>
            <w:r>
              <w:rPr>
                <w:rFonts w:ascii="宋体" w:hAnsi="宋体"/>
                <w:color w:val="000000"/>
                <w:szCs w:val="24"/>
              </w:rPr>
              <w:t>环境约束</w:t>
            </w:r>
          </w:p>
        </w:tc>
      </w:tr>
    </w:tbl>
    <w:p w14:paraId="53FC8DA9">
      <w:pPr>
        <w:pStyle w:val="4"/>
        <w:jc w:val="both"/>
        <w:rPr>
          <w:rFonts w:ascii="楷体" w:hAnsi="楷体"/>
          <w:color w:val="auto"/>
          <w:lang w:eastAsia="zh-CN"/>
        </w:rPr>
      </w:pPr>
      <w:bookmarkStart w:id="17" w:name="_Toc19488"/>
      <w:r>
        <w:rPr>
          <w:rFonts w:ascii="Times New Roman" w:hAnsi="Times New Roman" w:eastAsia="SimSun"/>
          <w:b w:val="0"/>
          <w:color w:val="auto"/>
          <w:sz w:val="21"/>
          <w:lang w:eastAsia="zh-CN"/>
        </w:rPr>
        <w:t>（四）第二阶段回归变量与模型设定</w:t>
      </w:r>
      <w:bookmarkEnd w:id="17"/>
    </w:p>
    <w:p w14:paraId="1AD36AA8">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w:t>
      </w:r>
      <w:r>
        <w:rPr>
          <w:rFonts w:ascii="Times New Roman" w:hAnsi="Times New Roman" w:eastAsia="SimSun"/>
          <w:b w:val="0"/>
          <w:sz w:val="21"/>
        </w:rPr>
        <w:fldChar w:fldCharType="end"/>
      </w:r>
      <w:bookmarkStart w:id="18" w:name="_Toc3049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第二阶段回归变量定义</w:t>
      </w:r>
      <w:bookmarkEnd w:id="18"/>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2"/>
        <w:gridCol w:w="2219"/>
        <w:gridCol w:w="2219"/>
        <w:gridCol w:w="2212"/>
      </w:tblGrid>
      <w:tr w14:paraId="5A7F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3BAF75D7">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color="000000" w:sz="12" w:space="0"/>
              <w:bottom w:val="single" w:color="000000" w:sz="4" w:space="0"/>
            </w:tcBorders>
            <w:shd w:val="clear" w:color="auto" w:fill="FFFFFF"/>
          </w:tcPr>
          <w:p w14:paraId="55488588">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color="000000" w:sz="12" w:space="0"/>
              <w:bottom w:val="single" w:color="000000" w:sz="4" w:space="0"/>
            </w:tcBorders>
            <w:shd w:val="clear" w:color="auto" w:fill="FFFFFF"/>
          </w:tcPr>
          <w:p w14:paraId="5A3796BC">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color="000000" w:sz="12" w:space="0"/>
              <w:bottom w:val="single" w:color="000000" w:sz="4" w:space="0"/>
            </w:tcBorders>
            <w:shd w:val="clear" w:color="auto" w:fill="FFFFFF"/>
          </w:tcPr>
          <w:p w14:paraId="219E8C75">
            <w:pPr>
              <w:spacing w:after="0"/>
              <w:jc w:val="both"/>
              <w:rPr>
                <w:rFonts w:ascii="宋体" w:hAnsi="宋体"/>
                <w:color w:val="000000"/>
                <w:szCs w:val="24"/>
              </w:rPr>
            </w:pPr>
            <w:r>
              <w:rPr>
                <w:rFonts w:ascii="宋体" w:hAnsi="宋体"/>
                <w:color w:val="000000"/>
                <w:szCs w:val="24"/>
              </w:rPr>
              <w:t>预期方向</w:t>
            </w:r>
          </w:p>
        </w:tc>
      </w:tr>
      <w:tr w14:paraId="27D8B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tcBorders>
            <w:shd w:val="clear" w:color="auto" w:fill="FFFFFF"/>
          </w:tcPr>
          <w:p w14:paraId="587D0D37">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color="000000" w:sz="4" w:space="0"/>
            </w:tcBorders>
            <w:shd w:val="clear" w:color="auto" w:fill="FFFFFF"/>
          </w:tcPr>
          <w:p w14:paraId="5070EECA">
            <w:pPr>
              <w:spacing w:after="0"/>
              <w:jc w:val="both"/>
              <w:rPr>
                <w:rFonts w:hint="default" w:ascii="宋体" w:hAnsi="宋体" w:eastAsia="宋体"/>
                <w:color w:val="000000"/>
                <w:szCs w:val="24"/>
                <w:lang w:val="en-US" w:eastAsia="zh-CN"/>
              </w:rPr>
            </w:pPr>
            <w:r>
              <w:rPr>
                <w:rFonts w:hint="eastAsia" w:ascii="宋体" w:hAnsi="宋体"/>
                <w:color w:val="000000"/>
                <w:szCs w:val="24"/>
                <w:lang w:val="en-US" w:eastAsia="zh-CN"/>
              </w:rPr>
              <w:t>EFF</w:t>
            </w:r>
          </w:p>
        </w:tc>
        <w:tc>
          <w:tcPr>
            <w:tcW w:w="2266" w:type="dxa"/>
            <w:tcBorders>
              <w:top w:val="single" w:color="000000" w:sz="4" w:space="0"/>
            </w:tcBorders>
            <w:shd w:val="clear" w:color="auto" w:fill="FFFFFF"/>
          </w:tcPr>
          <w:p w14:paraId="1785A63C">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color="000000" w:sz="4" w:space="0"/>
            </w:tcBorders>
            <w:shd w:val="clear" w:color="auto" w:fill="FFFFFF"/>
          </w:tcPr>
          <w:p w14:paraId="7D470005">
            <w:pPr>
              <w:spacing w:after="0"/>
              <w:jc w:val="both"/>
              <w:rPr>
                <w:rFonts w:ascii="宋体" w:hAnsi="宋体"/>
                <w:color w:val="000000"/>
                <w:szCs w:val="24"/>
              </w:rPr>
            </w:pPr>
            <w:r>
              <w:rPr>
                <w:rFonts w:ascii="宋体" w:hAnsi="宋体"/>
                <w:color w:val="000000"/>
                <w:szCs w:val="24"/>
              </w:rPr>
              <w:t>—</w:t>
            </w:r>
          </w:p>
        </w:tc>
      </w:tr>
      <w:tr w14:paraId="4D58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3F03CBBE">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pPr>
              <w:spacing w:after="0"/>
              <w:jc w:val="both"/>
              <w:rPr>
                <w:rFonts w:ascii="宋体" w:hAnsi="宋体"/>
                <w:color w:val="000000"/>
                <w:szCs w:val="24"/>
                <w:lang w:eastAsia="zh-CN"/>
              </w:rPr>
            </w:pPr>
            <w:r>
              <w:rPr>
                <w:rFonts w:hint="eastAsia" w:ascii="宋体" w:hAnsi="宋体"/>
                <w:color w:val="000000"/>
                <w:szCs w:val="24"/>
                <w:lang w:eastAsia="zh-CN"/>
              </w:rPr>
              <w:t>夜间灯光强度</w:t>
            </w:r>
            <w:r>
              <w:rPr>
                <w:rFonts w:ascii="宋体" w:hAnsi="宋体"/>
                <w:color w:val="000000"/>
                <w:szCs w:val="24"/>
                <w:lang w:eastAsia="zh-CN"/>
              </w:rPr>
              <w:t>对数项，表征经济活动空间集聚程度</w:t>
            </w:r>
          </w:p>
        </w:tc>
        <w:tc>
          <w:tcPr>
            <w:tcW w:w="2266" w:type="dxa"/>
            <w:shd w:val="clear" w:color="auto" w:fill="FFFFFF"/>
          </w:tcPr>
          <w:p w14:paraId="17204DE0">
            <w:pPr>
              <w:spacing w:after="0"/>
              <w:jc w:val="both"/>
              <w:rPr>
                <w:rFonts w:ascii="宋体" w:hAnsi="宋体"/>
                <w:color w:val="000000"/>
                <w:szCs w:val="24"/>
              </w:rPr>
            </w:pPr>
            <w:r>
              <w:rPr>
                <w:rFonts w:ascii="宋体" w:hAnsi="宋体"/>
                <w:color w:val="000000"/>
                <w:szCs w:val="24"/>
              </w:rPr>
              <w:t>±</w:t>
            </w:r>
          </w:p>
        </w:tc>
      </w:tr>
      <w:tr w14:paraId="730F37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51267961">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pPr>
              <w:spacing w:after="0"/>
              <w:jc w:val="both"/>
              <w:rPr>
                <w:rFonts w:ascii="宋体" w:hAnsi="宋体"/>
                <w:color w:val="000000"/>
                <w:szCs w:val="24"/>
              </w:rPr>
            </w:pPr>
            <w:r>
              <w:rPr>
                <w:rFonts w:ascii="宋体" w:hAnsi="宋体"/>
                <w:color w:val="000000"/>
                <w:szCs w:val="24"/>
              </w:rPr>
              <w:t>通常为负</w:t>
            </w:r>
          </w:p>
        </w:tc>
      </w:tr>
      <w:tr w14:paraId="18468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29D667AB">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pPr>
              <w:spacing w:after="0"/>
              <w:jc w:val="both"/>
              <w:rPr>
                <w:rFonts w:ascii="宋体" w:hAnsi="宋体"/>
                <w:color w:val="000000"/>
                <w:szCs w:val="24"/>
              </w:rPr>
            </w:pPr>
            <w:r>
              <w:rPr>
                <w:rFonts w:ascii="宋体" w:hAnsi="宋体"/>
                <w:color w:val="000000"/>
                <w:szCs w:val="24"/>
              </w:rPr>
              <w:t>不确定</w:t>
            </w:r>
          </w:p>
        </w:tc>
      </w:tr>
      <w:tr w14:paraId="3B71A1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63E56E5E">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pPr>
              <w:spacing w:after="0"/>
              <w:jc w:val="both"/>
              <w:rPr>
                <w:rFonts w:ascii="宋体" w:hAnsi="宋体"/>
                <w:color w:val="000000"/>
                <w:szCs w:val="24"/>
              </w:rPr>
            </w:pPr>
            <w:r>
              <w:rPr>
                <w:rFonts w:ascii="宋体" w:hAnsi="宋体"/>
                <w:color w:val="000000"/>
                <w:szCs w:val="24"/>
              </w:rPr>
              <w:t>通常为正</w:t>
            </w:r>
          </w:p>
        </w:tc>
      </w:tr>
      <w:tr w14:paraId="313E5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shd w:val="clear" w:color="auto" w:fill="FFFFFF"/>
          </w:tcPr>
          <w:p w14:paraId="115A6C08">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pPr>
              <w:spacing w:after="0"/>
              <w:jc w:val="both"/>
              <w:rPr>
                <w:rFonts w:ascii="宋体" w:hAnsi="宋体"/>
                <w:color w:val="000000"/>
                <w:szCs w:val="24"/>
              </w:rPr>
            </w:pPr>
            <w:r>
              <w:rPr>
                <w:rFonts w:ascii="宋体" w:hAnsi="宋体"/>
                <w:color w:val="000000"/>
                <w:szCs w:val="24"/>
              </w:rPr>
              <w:t>通常为正</w:t>
            </w:r>
          </w:p>
        </w:tc>
      </w:tr>
      <w:tr w14:paraId="72CE21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6" w:type="dxa"/>
            <w:tcBorders>
              <w:bottom w:val="single" w:color="000000" w:sz="12" w:space="0"/>
            </w:tcBorders>
            <w:shd w:val="clear" w:color="auto" w:fill="FFFFFF"/>
          </w:tcPr>
          <w:p w14:paraId="3F87F862">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color="000000" w:sz="12" w:space="0"/>
            </w:tcBorders>
            <w:shd w:val="clear" w:color="auto" w:fill="FFFFFF"/>
          </w:tcPr>
          <w:p w14:paraId="5E50A9AE">
            <w:pPr>
              <w:spacing w:after="0"/>
              <w:jc w:val="both"/>
              <w:rPr>
                <w:rFonts w:ascii="宋体" w:hAnsi="宋体"/>
                <w:color w:val="000000"/>
                <w:szCs w:val="24"/>
              </w:rPr>
            </w:pPr>
            <w:r>
              <w:rPr>
                <w:rFonts w:ascii="宋体" w:hAnsi="宋体"/>
                <w:color w:val="000000"/>
                <w:szCs w:val="24"/>
              </w:rPr>
              <w:t>ES</w:t>
            </w:r>
          </w:p>
        </w:tc>
        <w:tc>
          <w:tcPr>
            <w:tcW w:w="2266" w:type="dxa"/>
            <w:tcBorders>
              <w:bottom w:val="single" w:color="000000" w:sz="12" w:space="0"/>
            </w:tcBorders>
            <w:shd w:val="clear" w:color="auto" w:fill="FFFFFF"/>
          </w:tcPr>
          <w:p w14:paraId="578A6F7F">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color="000000" w:sz="12" w:space="0"/>
            </w:tcBorders>
            <w:shd w:val="clear" w:color="auto" w:fill="FFFFFF"/>
          </w:tcPr>
          <w:p w14:paraId="74E43B91">
            <w:pPr>
              <w:spacing w:after="0"/>
              <w:jc w:val="both"/>
              <w:rPr>
                <w:rFonts w:ascii="宋体" w:hAnsi="宋体"/>
                <w:color w:val="000000"/>
                <w:szCs w:val="24"/>
              </w:rPr>
            </w:pPr>
            <w:r>
              <w:rPr>
                <w:rFonts w:ascii="宋体" w:hAnsi="宋体"/>
                <w:color w:val="000000"/>
                <w:szCs w:val="24"/>
              </w:rPr>
              <w:t>通常为负</w:t>
            </w:r>
          </w:p>
        </w:tc>
      </w:tr>
    </w:tbl>
    <w:p w14:paraId="68D91DB0">
      <w:pPr>
        <w:pStyle w:val="4"/>
        <w:jc w:val="both"/>
        <w:rPr>
          <w:rFonts w:ascii="楷体" w:hAnsi="楷体"/>
          <w:color w:val="auto"/>
          <w:lang w:eastAsia="zh-CN"/>
        </w:rPr>
      </w:pPr>
      <w:bookmarkStart w:id="19" w:name="_Toc16695"/>
      <w:r>
        <w:rPr>
          <w:rFonts w:ascii="Times New Roman" w:hAnsi="Times New Roman" w:eastAsia="SimSun"/>
          <w:b w:val="0"/>
          <w:color w:val="auto"/>
          <w:sz w:val="21"/>
          <w:lang w:eastAsia="zh-CN"/>
        </w:rPr>
        <w:t>（五）第三阶段空间相关性与空间分析思路</w:t>
      </w:r>
      <w:bookmarkEnd w:id="19"/>
    </w:p>
    <w:p w14:paraId="6C54E624">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考虑到碳排放效率可能受到地理邻近、产业关联、能源流动和环境治理协同等因素影响，本文进一步采用经济距离倒数空间权重矩阵开展 Global Moran’s I 检验，并结合局部 Moran 分析识别局部空间集聚类型；在此基础上，引入空间杜宾模型识别夜间灯光强度对本地区及周边地区碳排放效率的直接效应与空间溢出效应。</w:t>
      </w:r>
      <w:r>
        <w:rPr>
          <w:rFonts w:cs="Times New Roman" w:ascii="Times New Roman" w:hAnsi="Times New Roman" w:eastAsia="SimSun"/>
          <w:b w:val="0"/>
          <w:sz w:val="21"/>
          <w:vertAlign w:val="superscript"/>
          <w:lang w:eastAsia="zh-CN"/>
        </w:rPr>
        <w:t>[17]</w:t>
      </w:r>
    </w:p>
    <w:p w14:paraId="100DE0ED">
      <w:pPr>
        <w:pStyle w:val="3"/>
        <w:jc w:val="both"/>
        <w:rPr>
          <w:color w:val="auto"/>
          <w:szCs w:val="30"/>
          <w:lang w:eastAsia="zh-CN"/>
        </w:rPr>
      </w:pPr>
      <w:bookmarkStart w:id="20" w:name="_Toc10260"/>
      <w:r>
        <w:rPr>
          <w:rFonts w:ascii="Times New Roman" w:hAnsi="Times New Roman" w:eastAsia="SimSun"/>
          <w:b w:val="0"/>
          <w:color w:val="auto"/>
          <w:sz w:val="21"/>
          <w:szCs w:val="30"/>
          <w:lang w:eastAsia="zh-CN"/>
        </w:rPr>
        <w:t>四、数据来源、预处理与变量构造</w:t>
      </w:r>
      <w:bookmarkEnd w:id="20"/>
    </w:p>
    <w:p w14:paraId="7F7AA2A9">
      <w:pPr>
        <w:pStyle w:val="4"/>
        <w:jc w:val="both"/>
        <w:rPr>
          <w:lang w:eastAsia="zh-CN"/>
        </w:rPr>
      </w:pPr>
      <w:bookmarkStart w:id="21" w:name="_Toc21893"/>
      <w:r>
        <w:rPr>
          <w:rFonts w:ascii="Times New Roman" w:hAnsi="Times New Roman" w:eastAsia="SimSun"/>
          <w:b w:val="0"/>
          <w:color w:val="auto"/>
          <w:sz w:val="21"/>
          <w:lang w:eastAsia="zh-CN"/>
        </w:rPr>
        <w:t>（一）数据来源与单位说明</w:t>
      </w:r>
      <w:bookmarkEnd w:id="21"/>
    </w:p>
    <w:p w14:paraId="1EBF20F0">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2" w:name="_Toc2335"/>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数据来源与单位说明表</w:t>
      </w:r>
      <w:bookmarkEnd w:id="22"/>
    </w:p>
    <w:tbl>
      <w:tblPr>
        <w:tblStyle w:val="4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4"/>
        <w:gridCol w:w="2944"/>
        <w:gridCol w:w="2944"/>
      </w:tblGrid>
      <w:tr w14:paraId="23CB8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12" w:space="0"/>
              <w:bottom w:val="single" w:color="000000" w:sz="4" w:space="0"/>
              <w:tl2br w:val="nil"/>
            </w:tcBorders>
            <w:shd w:val="clear" w:color="auto" w:fill="FFFFFF"/>
          </w:tcPr>
          <w:p w14:paraId="255F4E43">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color="000000" w:sz="12" w:space="0"/>
              <w:bottom w:val="single" w:color="000000" w:sz="4" w:space="0"/>
            </w:tcBorders>
            <w:shd w:val="clear" w:color="auto" w:fill="FFFFFF"/>
          </w:tcPr>
          <w:p w14:paraId="544A2739">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color="000000" w:sz="12" w:space="0"/>
              <w:bottom w:val="single" w:color="000000" w:sz="4" w:space="0"/>
            </w:tcBorders>
            <w:shd w:val="clear" w:color="auto" w:fill="FFFFFF"/>
          </w:tcPr>
          <w:p w14:paraId="3BCF891A">
            <w:pPr>
              <w:spacing w:after="0"/>
              <w:jc w:val="both"/>
              <w:rPr>
                <w:rFonts w:ascii="宋体" w:hAnsi="宋体"/>
                <w:color w:val="000000"/>
                <w:szCs w:val="24"/>
              </w:rPr>
            </w:pPr>
            <w:r>
              <w:rPr>
                <w:rFonts w:ascii="宋体" w:hAnsi="宋体"/>
                <w:color w:val="000000"/>
                <w:szCs w:val="24"/>
              </w:rPr>
              <w:t>构造与处理方式</w:t>
            </w:r>
          </w:p>
        </w:tc>
      </w:tr>
      <w:tr w14:paraId="74BC2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top w:val="single" w:color="000000" w:sz="4" w:space="0"/>
            </w:tcBorders>
            <w:shd w:val="clear" w:color="auto" w:fill="FFFFFF"/>
          </w:tcPr>
          <w:p w14:paraId="52930B33">
            <w:pPr>
              <w:spacing w:after="0"/>
              <w:jc w:val="both"/>
              <w:rPr>
                <w:rFonts w:ascii="宋体" w:hAnsi="宋体"/>
                <w:color w:val="000000"/>
                <w:szCs w:val="24"/>
              </w:rPr>
            </w:pPr>
            <w:r>
              <w:rPr>
                <w:rFonts w:ascii="宋体" w:hAnsi="宋体"/>
                <w:color w:val="000000"/>
                <w:szCs w:val="24"/>
              </w:rPr>
              <w:t>资本存量 Capital</w:t>
            </w:r>
          </w:p>
        </w:tc>
        <w:tc>
          <w:tcPr>
            <w:tcW w:w="3022" w:type="dxa"/>
            <w:tcBorders>
              <w:top w:val="single" w:color="000000" w:sz="4" w:space="0"/>
            </w:tcBorders>
            <w:shd w:val="clear" w:color="auto" w:fill="FFFFFF"/>
          </w:tcPr>
          <w:p w14:paraId="6E2177E5">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color="000000" w:sz="4" w:space="0"/>
            </w:tcBorders>
            <w:shd w:val="clear" w:color="auto" w:fill="FFFFFF"/>
          </w:tcPr>
          <w:p w14:paraId="15017A44">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14:paraId="1A839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72801F81">
            <w:pPr>
              <w:spacing w:after="0"/>
              <w:jc w:val="both"/>
              <w:rPr>
                <w:rFonts w:hint="default" w:ascii="宋体" w:hAnsi="宋体" w:eastAsia="宋体"/>
                <w:color w:val="000000"/>
                <w:szCs w:val="24"/>
                <w:lang w:val="en-US" w:eastAsia="zh-CN"/>
              </w:rPr>
            </w:pPr>
            <w:r>
              <w:rPr>
                <w:rFonts w:ascii="宋体" w:hAnsi="宋体"/>
                <w:color w:val="000000"/>
                <w:szCs w:val="24"/>
              </w:rPr>
              <w:t xml:space="preserve">劳动投入 </w:t>
            </w:r>
            <w:r>
              <w:rPr>
                <w:rFonts w:hint="eastAsia" w:ascii="宋体" w:hAnsi="宋体"/>
                <w:color w:val="000000"/>
                <w:szCs w:val="24"/>
                <w:lang w:val="en-US" w:eastAsia="zh-CN"/>
              </w:rPr>
              <w:t>Population</w:t>
            </w:r>
          </w:p>
        </w:tc>
        <w:tc>
          <w:tcPr>
            <w:tcW w:w="3022" w:type="dxa"/>
            <w:shd w:val="clear" w:color="auto" w:fill="FFFFFF"/>
          </w:tcPr>
          <w:p w14:paraId="38457A65">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pPr>
              <w:spacing w:after="0"/>
              <w:jc w:val="both"/>
              <w:rPr>
                <w:rFonts w:ascii="宋体" w:hAnsi="宋体"/>
                <w:color w:val="000000"/>
                <w:szCs w:val="24"/>
                <w:lang w:eastAsia="zh-CN"/>
              </w:rPr>
            </w:pPr>
            <w:r>
              <w:rPr>
                <w:rFonts w:ascii="宋体" w:hAnsi="宋体"/>
                <w:color w:val="000000"/>
                <w:szCs w:val="24"/>
                <w:lang w:eastAsia="zh-CN"/>
              </w:rPr>
              <w:t>采用人口相关数据匹配到省份—年份面板</w:t>
            </w:r>
          </w:p>
        </w:tc>
      </w:tr>
      <w:tr w14:paraId="274EB7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493D587">
            <w:pPr>
              <w:spacing w:after="0"/>
              <w:jc w:val="both"/>
              <w:rPr>
                <w:rFonts w:hint="default" w:ascii="宋体" w:hAnsi="宋体" w:eastAsia="宋体"/>
                <w:color w:val="000000"/>
                <w:szCs w:val="24"/>
                <w:lang w:val="en-US" w:eastAsia="zh-CN"/>
              </w:rPr>
            </w:pPr>
            <w:r>
              <w:rPr>
                <w:rFonts w:ascii="宋体" w:hAnsi="宋体"/>
                <w:color w:val="000000"/>
                <w:szCs w:val="24"/>
              </w:rPr>
              <w:t xml:space="preserve">能源投入 </w:t>
            </w:r>
            <w:r>
              <w:rPr>
                <w:rFonts w:hint="eastAsia" w:ascii="宋体" w:hAnsi="宋体"/>
                <w:color w:val="000000"/>
                <w:szCs w:val="24"/>
                <w:lang w:val="en-US" w:eastAsia="zh-CN"/>
              </w:rPr>
              <w:t>energy_total</w:t>
            </w:r>
          </w:p>
        </w:tc>
        <w:tc>
          <w:tcPr>
            <w:tcW w:w="3022" w:type="dxa"/>
            <w:shd w:val="clear" w:color="auto" w:fill="FFFFFF"/>
          </w:tcPr>
          <w:p w14:paraId="767375A7">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pPr>
              <w:spacing w:after="0"/>
              <w:jc w:val="both"/>
              <w:rPr>
                <w:rFonts w:ascii="宋体" w:hAnsi="宋体"/>
                <w:color w:val="000000"/>
                <w:szCs w:val="24"/>
                <w:lang w:eastAsia="zh-CN"/>
              </w:rPr>
            </w:pPr>
            <w:r>
              <w:rPr>
                <w:rFonts w:ascii="宋体" w:hAnsi="宋体"/>
                <w:color w:val="000000"/>
                <w:szCs w:val="24"/>
                <w:highlight w:val="none"/>
                <w:lang w:eastAsia="zh-CN"/>
              </w:rPr>
              <w:t>将多类终端能源消费量按标准煤折算系数换算后加总</w:t>
            </w:r>
          </w:p>
        </w:tc>
      </w:tr>
      <w:tr w14:paraId="78ADC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1EB0848">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14:paraId="2751FE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3D00DEB2">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14:paraId="2154B9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0FA251F1">
            <w:pPr>
              <w:spacing w:after="0"/>
              <w:jc w:val="both"/>
              <w:rPr>
                <w:rFonts w:hint="default" w:ascii="宋体" w:hAnsi="宋体"/>
                <w:color w:val="000000"/>
                <w:szCs w:val="24"/>
                <w:lang w:val="en-US"/>
              </w:rPr>
            </w:pPr>
            <w:r>
              <w:rPr>
                <w:rFonts w:ascii="宋体" w:hAnsi="宋体"/>
                <w:color w:val="000000"/>
                <w:szCs w:val="24"/>
              </w:rPr>
              <w:t>非期望产出</w:t>
            </w:r>
            <w:r>
              <w:rPr>
                <w:rFonts w:hint="eastAsia" w:ascii="宋体" w:hAnsi="宋体"/>
                <w:color w:val="000000"/>
                <w:szCs w:val="24"/>
                <w:lang w:val="en-US" w:eastAsia="zh-CN"/>
              </w:rPr>
              <w:t xml:space="preserve"> Carbon</w:t>
            </w:r>
          </w:p>
        </w:tc>
        <w:tc>
          <w:tcPr>
            <w:tcW w:w="3022" w:type="dxa"/>
            <w:shd w:val="clear" w:color="auto" w:fill="FFFFFF"/>
          </w:tcPr>
          <w:p w14:paraId="612E40CC">
            <w:pPr>
              <w:spacing w:after="0"/>
              <w:jc w:val="both"/>
              <w:rPr>
                <w:rFonts w:ascii="宋体" w:hAnsi="宋体"/>
                <w:color w:val="000000"/>
                <w:szCs w:val="24"/>
                <w:lang w:eastAsia="zh-CN"/>
              </w:rPr>
            </w:pPr>
            <w:r>
              <w:rPr>
                <w:rFonts w:ascii="宋体" w:hAnsi="宋体"/>
                <w:color w:val="000000"/>
                <w:szCs w:val="24"/>
                <w:lang w:eastAsia="zh-CN"/>
              </w:rPr>
              <w:t>CEADs数据库</w:t>
            </w:r>
          </w:p>
        </w:tc>
        <w:tc>
          <w:tcPr>
            <w:tcW w:w="3022" w:type="dxa"/>
            <w:shd w:val="clear" w:color="auto" w:fill="FFFFFF"/>
          </w:tcPr>
          <w:p w14:paraId="4678BF6E">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14:paraId="535F8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4A56813D">
            <w:pPr>
              <w:spacing w:after="0"/>
              <w:jc w:val="both"/>
              <w:rPr>
                <w:rFonts w:ascii="宋体" w:hAnsi="宋体"/>
                <w:color w:val="000000"/>
                <w:szCs w:val="24"/>
              </w:rPr>
            </w:pPr>
            <w:r>
              <w:rPr>
                <w:rFonts w:hint="eastAsia" w:ascii="宋体" w:hAnsi="宋体"/>
                <w:color w:val="000000"/>
                <w:szCs w:val="24"/>
                <w:lang w:eastAsia="zh-CN"/>
              </w:rPr>
              <w:t>夜间灯光强度</w:t>
            </w:r>
            <w:r>
              <w:rPr>
                <w:rFonts w:hint="eastAsia" w:ascii="宋体" w:hAnsi="宋体"/>
                <w:color w:val="000000"/>
                <w:szCs w:val="24"/>
                <w:lang w:val="en-US" w:eastAsia="zh-CN"/>
              </w:rPr>
              <w:t xml:space="preserve"> </w:t>
            </w:r>
            <w:r>
              <w:rPr>
                <w:rFonts w:ascii="宋体" w:hAnsi="宋体"/>
                <w:color w:val="000000"/>
                <w:szCs w:val="24"/>
              </w:rPr>
              <w:t>lntl</w:t>
            </w:r>
          </w:p>
        </w:tc>
        <w:tc>
          <w:tcPr>
            <w:tcW w:w="3022" w:type="dxa"/>
            <w:shd w:val="clear" w:color="auto" w:fill="FFFFFF"/>
          </w:tcPr>
          <w:p w14:paraId="73A8E41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pPr>
              <w:spacing w:after="0"/>
              <w:jc w:val="both"/>
              <w:rPr>
                <w:rFonts w:ascii="宋体" w:hAnsi="宋体"/>
                <w:color w:val="000000"/>
                <w:szCs w:val="24"/>
                <w:lang w:eastAsia="zh-CN"/>
              </w:rPr>
            </w:pPr>
            <w:r>
              <w:rPr>
                <w:rFonts w:ascii="宋体" w:hAnsi="宋体"/>
                <w:color w:val="000000"/>
                <w:szCs w:val="24"/>
                <w:lang w:eastAsia="zh-CN"/>
              </w:rPr>
              <w:t>表征区域经济活跃程度和发展强度</w:t>
            </w:r>
          </w:p>
        </w:tc>
      </w:tr>
      <w:tr w14:paraId="23B015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shd w:val="clear" w:color="auto" w:fill="FFFFFF"/>
          </w:tcPr>
          <w:p w14:paraId="13A64B02">
            <w:pPr>
              <w:spacing w:after="0"/>
              <w:jc w:val="both"/>
              <w:rPr>
                <w:rFonts w:ascii="宋体" w:hAnsi="宋体"/>
                <w:color w:val="000000"/>
                <w:szCs w:val="24"/>
              </w:rPr>
            </w:pPr>
            <w:r>
              <w:rPr>
                <w:rFonts w:hint="eastAsia" w:ascii="宋体" w:hAnsi="宋体"/>
                <w:color w:val="000000"/>
                <w:szCs w:val="24"/>
              </w:rPr>
              <w:t>R&amp;D研究与试验发展投入强度</w:t>
            </w:r>
            <w:r>
              <w:rPr>
                <w:rFonts w:ascii="宋体" w:hAnsi="宋体"/>
                <w:color w:val="000000"/>
                <w:szCs w:val="24"/>
              </w:rPr>
              <w:t xml:space="preserve"> rd</w:t>
            </w:r>
          </w:p>
        </w:tc>
        <w:tc>
          <w:tcPr>
            <w:tcW w:w="3022" w:type="dxa"/>
            <w:shd w:val="clear" w:color="auto" w:fill="FFFFFF"/>
          </w:tcPr>
          <w:p w14:paraId="6D984F3C">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14:paraId="3C681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2" w:type="dxa"/>
            <w:tcBorders>
              <w:bottom w:val="single" w:color="000000" w:sz="12" w:space="0"/>
            </w:tcBorders>
            <w:shd w:val="clear" w:color="auto" w:fill="FFFFFF"/>
          </w:tcPr>
          <w:p w14:paraId="352E2302">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color="000000" w:sz="12" w:space="0"/>
            </w:tcBorders>
            <w:shd w:val="clear" w:color="auto" w:fill="FFFFFF"/>
          </w:tcPr>
          <w:p w14:paraId="4601DD1E">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color="000000" w:sz="12" w:space="0"/>
            </w:tcBorders>
            <w:shd w:val="clear" w:color="auto" w:fill="FFFFFF"/>
          </w:tcPr>
          <w:p w14:paraId="508C961F">
            <w:pPr>
              <w:spacing w:after="0"/>
              <w:jc w:val="both"/>
              <w:rPr>
                <w:rFonts w:ascii="宋体" w:hAnsi="宋体"/>
                <w:color w:val="000000"/>
                <w:szCs w:val="24"/>
              </w:rPr>
            </w:pPr>
            <w:r>
              <w:rPr>
                <w:rFonts w:ascii="宋体" w:hAnsi="宋体"/>
                <w:color w:val="000000"/>
                <w:szCs w:val="24"/>
              </w:rPr>
              <w:t>open=货物进出口总额/GDP</w:t>
            </w:r>
          </w:p>
        </w:tc>
      </w:tr>
    </w:tbl>
    <w:p w14:paraId="0008F638">
      <w:pPr>
        <w:pStyle w:val="4"/>
        <w:jc w:val="both"/>
        <w:rPr>
          <w:rFonts w:ascii="楷体" w:hAnsi="楷体"/>
          <w:color w:val="auto"/>
          <w:lang w:eastAsia="zh-CN"/>
        </w:rPr>
      </w:pPr>
      <w:bookmarkStart w:id="23" w:name="_Toc18886"/>
      <w:r>
        <w:rPr>
          <w:rFonts w:ascii="Times New Roman" w:hAnsi="Times New Roman" w:eastAsia="SimSun"/>
          <w:b w:val="0"/>
          <w:color w:val="auto"/>
          <w:sz w:val="21"/>
          <w:lang w:eastAsia="zh-CN"/>
        </w:rPr>
        <w:t>（二）样本构建与清洗处理</w:t>
      </w:r>
      <w:bookmarkEnd w:id="23"/>
    </w:p>
    <w:p w14:paraId="72DA7CD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pPr>
        <w:spacing w:before="120" w:beforeLines="50"/>
        <w:jc w:val="center"/>
        <w:rPr>
          <w:lang w:eastAsia="zh-CN"/>
        </w:rPr>
      </w:pPr>
      <w:r>
        <w:rPr>
          <w:rFonts w:ascii="Times New Roman" w:hAnsi="Times New Roman" w:eastAsia="SimSun"/>
          <w:b w:val="0"/>
          <w:sz w:val="21"/>
          <w:lang w:eastAsia="zh-CN"/>
        </w:rPr>
        <w:drawing>
          <wp:inline distT="0" distB="0" distL="114300" distR="114300">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0"/>
                    <a:srcRect t="8461"/>
                    <a:stretch>
                      <a:fillRect/>
                    </a:stretch>
                  </pic:blipFill>
                  <pic:spPr>
                    <a:xfrm>
                      <a:off x="0" y="0"/>
                      <a:ext cx="5703570" cy="3916045"/>
                    </a:xfrm>
                    <a:prstGeom prst="rect">
                      <a:avLst/>
                    </a:prstGeom>
                  </pic:spPr>
                </pic:pic>
              </a:graphicData>
            </a:graphic>
          </wp:inline>
        </w:drawing>
      </w:r>
    </w:p>
    <w:p w14:paraId="4BE0084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3</w:t>
      </w:r>
      <w:r>
        <w:rPr>
          <w:rFonts w:ascii="Times New Roman" w:hAnsi="Times New Roman" w:eastAsia="SimSun"/>
          <w:b w:val="0"/>
          <w:sz w:val="21"/>
        </w:rPr>
        <w:fldChar w:fldCharType="end"/>
      </w:r>
      <w:bookmarkStart w:id="24" w:name="_Toc2738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样本构建流程图</w:t>
      </w:r>
      <w:bookmarkEnd w:id="24"/>
    </w:p>
    <w:p w14:paraId="6CA9F3F7">
      <w:pPr>
        <w:pStyle w:val="4"/>
        <w:jc w:val="both"/>
        <w:rPr>
          <w:rFonts w:ascii="楷体" w:hAnsi="楷体"/>
          <w:color w:val="auto"/>
          <w:lang w:eastAsia="zh-CN"/>
        </w:rPr>
      </w:pPr>
      <w:bookmarkStart w:id="25" w:name="_Toc20275"/>
      <w:r>
        <w:rPr>
          <w:rFonts w:ascii="Times New Roman" w:hAnsi="Times New Roman" w:eastAsia="SimSun"/>
          <w:b w:val="0"/>
          <w:color w:val="auto"/>
          <w:sz w:val="21"/>
          <w:lang w:eastAsia="zh-CN"/>
        </w:rPr>
        <w:t>（三）缺失值、异常值与变量分布检验</w:t>
      </w:r>
      <w:bookmarkEnd w:id="25"/>
    </w:p>
    <w:p w14:paraId="4F012DB6">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保证模型输入的可靠性，本文从缺失值分布、异常值识别和变量分布形态三个层面开展预处理检验。首先，对省份—年份层面的原始数据缺失情况进行系统梳理，优先回到原始数据源进行查补；对于极少量连续型变量，可在保留经济含义的前提下采用三次样条插值或相邻年份辅助推算</w:t>
      </w:r>
      <w:r>
        <w:rPr>
          <w:rFonts w:hint="eastAsia" w:ascii="Times New Roman" w:hAnsi="Times New Roman" w:eastAsia="SimSun"/>
          <w:b w:val="0"/>
          <w:sz w:val="21"/>
          <w:lang w:eastAsia="zh-CN"/>
        </w:rPr>
        <w:t>，</w:t>
      </w:r>
      <w:r>
        <w:rPr>
          <w:rFonts w:ascii="Times New Roman" w:hAnsi="Times New Roman" w:eastAsia="SimSun"/>
          <w:b w:val="0"/>
          <w:sz w:val="21"/>
          <w:lang w:eastAsia="zh-CN"/>
        </w:rPr>
        <w:t>但不宜对第一阶段核心投入产出指标进行大规模机械插值。</w:t>
      </w:r>
    </w:p>
    <w:p w14:paraId="7B437701">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其次，对关键变量采用箱线图、分位数和标准差规则识别极端观测值。对于因</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规模差异而形成的真实极端值，基准分析阶段原则上予以保留，在稳健性检验中再通过缩尾处理检验结论是否稳健。最后，针对</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及其对数化指标，分别绘制分布图和核密度图，检验其是否存在明显右偏、是否需要对数化以及对数化后的分布是否更平滑。</w:t>
      </w:r>
    </w:p>
    <w:p w14:paraId="66396409">
      <w:pPr>
        <w:jc w:val="center"/>
        <w:rPr>
          <w:lang w:eastAsia="zh-CN"/>
        </w:rPr>
      </w:pPr>
      <w:r>
        <w:rPr>
          <w:rFonts w:ascii="Times New Roman" w:hAnsi="Times New Roman" w:eastAsia="SimSun"/>
          <w:b w:val="0"/>
          <w:sz w:val="21"/>
          <w:lang w:eastAsia="zh-CN"/>
        </w:rPr>
        <w:drawing>
          <wp:inline distT="0" distB="0" distL="114300" distR="114300">
            <wp:extent cx="5579745" cy="4636770"/>
            <wp:effectExtent l="0" t="0" r="8255" b="11430"/>
            <wp:docPr id="16" name="图片 16" descr="图5_变量缺失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_变量缺失热力图"/>
                    <pic:cNvPicPr>
                      <a:picLocks noChangeAspect="1"/>
                    </pic:cNvPicPr>
                  </pic:nvPicPr>
                  <pic:blipFill>
                    <a:blip r:embed="rId11"/>
                    <a:srcRect r="9674" b="659"/>
                    <a:stretch>
                      <a:fillRect/>
                    </a:stretch>
                  </pic:blipFill>
                  <pic:spPr>
                    <a:xfrm>
                      <a:off x="0" y="0"/>
                      <a:ext cx="5579745" cy="4636770"/>
                    </a:xfrm>
                    <a:prstGeom prst="rect">
                      <a:avLst/>
                    </a:prstGeom>
                  </pic:spPr>
                </pic:pic>
              </a:graphicData>
            </a:graphic>
          </wp:inline>
        </w:drawing>
      </w:r>
    </w:p>
    <w:p w14:paraId="42BFA514">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4</w:t>
      </w:r>
      <w:r>
        <w:rPr>
          <w:rFonts w:ascii="Times New Roman" w:hAnsi="Times New Roman" w:eastAsia="SimSun"/>
          <w:b w:val="0"/>
          <w:sz w:val="21"/>
        </w:rPr>
        <w:fldChar w:fldCharType="end"/>
      </w:r>
      <w:bookmarkStart w:id="26" w:name="_Toc1482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变量缺失热力图</w:t>
      </w:r>
      <w:bookmarkEnd w:id="26"/>
    </w:p>
    <w:p w14:paraId="4CDEC21F">
      <w:pPr>
        <w:jc w:val="center"/>
        <w:rPr>
          <w:lang w:eastAsia="zh-CN"/>
        </w:rPr>
      </w:pPr>
      <w:r>
        <w:rPr>
          <w:rFonts w:ascii="Times New Roman" w:hAnsi="Times New Roman" w:eastAsia="SimSun"/>
          <w:b w:val="0"/>
          <w:sz w:val="21"/>
          <w:lang w:eastAsia="zh-CN"/>
        </w:rPr>
        <w:drawing>
          <wp:inline distT="0" distB="0" distL="114300" distR="114300">
            <wp:extent cx="5198745" cy="3423920"/>
            <wp:effectExtent l="0" t="0" r="8255" b="5080"/>
            <wp:docPr id="13" name="图片 13" descr="27658cc591d7d8d3acb350b11bc3b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7658cc591d7d8d3acb350b11bc3b60f"/>
                    <pic:cNvPicPr>
                      <a:picLocks noChangeAspect="1"/>
                    </pic:cNvPicPr>
                  </pic:nvPicPr>
                  <pic:blipFill>
                    <a:blip r:embed="rId12"/>
                    <a:stretch>
                      <a:fillRect/>
                    </a:stretch>
                  </pic:blipFill>
                  <pic:spPr>
                    <a:xfrm>
                      <a:off x="0" y="0"/>
                      <a:ext cx="5198745" cy="3423920"/>
                    </a:xfrm>
                    <a:prstGeom prst="rect">
                      <a:avLst/>
                    </a:prstGeom>
                  </pic:spPr>
                </pic:pic>
              </a:graphicData>
            </a:graphic>
          </wp:inline>
        </w:drawing>
      </w:r>
    </w:p>
    <w:p w14:paraId="18CA104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5</w:t>
      </w:r>
      <w:r>
        <w:rPr>
          <w:rFonts w:ascii="Times New Roman" w:hAnsi="Times New Roman" w:eastAsia="SimSun"/>
          <w:b w:val="0"/>
          <w:sz w:val="21"/>
        </w:rPr>
        <w:fldChar w:fldCharType="end"/>
      </w:r>
      <w:bookmarkStart w:id="27" w:name="_Toc19393"/>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核心变量箱线图</w:t>
      </w:r>
      <w:bookmarkEnd w:id="27"/>
    </w:p>
    <w:p w14:paraId="1ADE6428">
      <w:pPr>
        <w:ind w:firstLine="720"/>
        <w:rPr>
          <w:lang w:eastAsia="zh-CN"/>
        </w:rPr>
      </w:pPr>
      <w:r>
        <w:rPr>
          <w:rFonts w:ascii="Times New Roman" w:hAnsi="Times New Roman" w:eastAsia="SimSun"/>
          <w:b w:val="0"/>
          <w:sz w:val="21"/>
          <w:lang w:eastAsia="zh-CN"/>
        </w:rPr>
        <w:t>箱线图表明，不同核心变量的取值范围和离散程度存在明显差异，部分变量还存在极端观测值。考虑到这些极端值中相当一部分可能来源于真实的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规模差异，本文在基准分析阶段予以保留，并在后续稳健性检验中通过缩尾处理进一步检验结论是否稳定。</w:t>
      </w:r>
    </w:p>
    <w:p w14:paraId="60B52480">
      <w:pPr>
        <w:jc w:val="center"/>
        <w:rPr>
          <w:lang w:eastAsia="zh-CN"/>
        </w:rPr>
      </w:pPr>
      <w:r>
        <w:rPr>
          <w:rFonts w:ascii="Times New Roman" w:hAnsi="Times New Roman" w:eastAsia="SimSun"/>
          <w:b w:val="0"/>
          <w:sz w:val="21"/>
          <w:lang w:eastAsia="zh-CN"/>
        </w:rPr>
        <w:drawing>
          <wp:inline distT="0" distB="0" distL="114300" distR="114300">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3"/>
                    <a:srcRect t="9720"/>
                    <a:stretch>
                      <a:fillRect/>
                    </a:stretch>
                  </pic:blipFill>
                  <pic:spPr>
                    <a:xfrm>
                      <a:off x="0" y="0"/>
                      <a:ext cx="5765800" cy="1916430"/>
                    </a:xfrm>
                    <a:prstGeom prst="rect">
                      <a:avLst/>
                    </a:prstGeom>
                  </pic:spPr>
                </pic:pic>
              </a:graphicData>
            </a:graphic>
          </wp:inline>
        </w:drawing>
      </w:r>
    </w:p>
    <w:p w14:paraId="204637C4">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6</w:t>
      </w:r>
      <w:r>
        <w:rPr>
          <w:rFonts w:ascii="Times New Roman" w:hAnsi="Times New Roman" w:eastAsia="SimSun"/>
          <w:b w:val="0"/>
          <w:sz w:val="21"/>
        </w:rPr>
        <w:fldChar w:fldCharType="end"/>
      </w:r>
      <w:bookmarkStart w:id="28" w:name="_Toc31030"/>
      <w:r>
        <w:rPr>
          <w:rFonts w:hint="eastAsia" w:ascii="Times New Roman" w:hAnsi="Times New Roman" w:eastAsia="SimSun"/>
          <w:b w:val="0"/>
          <w:sz w:val="21"/>
          <w:lang w:eastAsia="zh-CN"/>
        </w:rPr>
        <w:t xml:space="preserve"> 夜间灯光强度及其对数化指标分布图</w:t>
      </w:r>
      <w:bookmarkEnd w:id="28"/>
    </w:p>
    <w:p w14:paraId="40D617F2">
      <w:pPr>
        <w:ind w:firstLine="720"/>
        <w:rPr>
          <w:lang w:eastAsia="zh-CN"/>
        </w:rPr>
      </w:pPr>
      <w:r>
        <w:rPr>
          <w:rFonts w:hint="eastAsia" w:ascii="Times New Roman" w:hAnsi="Times New Roman" w:eastAsia="SimSun"/>
          <w:b w:val="0"/>
          <w:sz w:val="21"/>
          <w:lang w:eastAsia="zh-CN"/>
        </w:rPr>
        <w:t>图中可以看到，原始夜间灯光强度指标存在一定右偏特征，而经对数化处理后，变量分布更加收敛和平滑。由此可见，对夜间灯光强度取对数有助于缓解偏态分布带来的影响，并提高不同省份之间的可比性。</w:t>
      </w:r>
    </w:p>
    <w:p w14:paraId="70616C2A">
      <w:pPr>
        <w:pStyle w:val="4"/>
        <w:jc w:val="both"/>
        <w:rPr>
          <w:rFonts w:ascii="楷体" w:hAnsi="楷体"/>
          <w:color w:val="auto"/>
          <w:lang w:eastAsia="zh-CN"/>
        </w:rPr>
      </w:pPr>
      <w:bookmarkStart w:id="29" w:name="_Toc20621"/>
      <w:r>
        <w:rPr>
          <w:rFonts w:ascii="Times New Roman" w:hAnsi="Times New Roman" w:eastAsia="SimSun"/>
          <w:b w:val="0"/>
          <w:color w:val="auto"/>
          <w:sz w:val="21"/>
          <w:lang w:eastAsia="zh-CN"/>
        </w:rPr>
        <w:t>（四）关键变量构造与口径说明</w:t>
      </w:r>
      <w:bookmarkEnd w:id="29"/>
    </w:p>
    <w:p w14:paraId="647F6B8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不变价GDP是第一阶段最关键的预处理变量之一。本文统一采用2015年为基期，通过地区生产总值指数进行链式折算，以保持</w:t>
      </w:r>
      <w:r>
        <w:rPr>
          <w:rFonts w:hint="eastAsia" w:ascii="Times New Roman" w:hAnsi="Times New Roman" w:eastAsia="SimSun"/>
          <w:b w:val="0"/>
          <w:sz w:val="21"/>
          <w:lang w:eastAsia="zh-CN"/>
        </w:rPr>
        <w:t>省域</w:t>
      </w:r>
      <w:r>
        <w:rPr>
          <w:rFonts w:ascii="Times New Roman" w:hAnsi="Times New Roman" w:eastAsia="SimSun"/>
          <w:b w:val="0"/>
          <w:sz w:val="21"/>
          <w:lang w:eastAsia="zh-CN"/>
        </w:rPr>
        <w:t>和年际之间的可比性。资本存量则参照张军等提出的永续盘存法进行估算，本文资本存量采用永续盘存法估算，折旧率统一取 10.96%。能源结构变量es定义为煤炭消费总量占能源消费总量的比重，用于刻画地区对高碳能源的依赖程度。</w:t>
      </w:r>
      <w:r>
        <w:rPr>
          <w:rFonts w:ascii="Times New Roman" w:hAnsi="Times New Roman" w:eastAsia="SimSun"/>
          <w:b w:val="0"/>
          <w:sz w:val="21"/>
          <w:vertAlign w:val="superscript"/>
          <w:lang w:eastAsia="zh-CN"/>
        </w:rPr>
        <w:t>[11,19]</w:t>
      </w:r>
    </w:p>
    <w:p w14:paraId="074C5BE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夜间灯光变量采用省级夜间灯光强度指标，并进一步取对数得到 LNTL=ln(NTL+1)，以缓解偏态分布并提高变量的可比性。本文将其作为反映区域经济活跃程度和基础设施运行强度的代理变量，引入第二阶段面板回归及后续空间计量分析。</w:t>
      </w:r>
      <w:r>
        <w:rPr>
          <w:rFonts w:cs="Times New Roman" w:ascii="Times New Roman" w:hAnsi="Times New Roman" w:eastAsia="SimSun"/>
          <w:b w:val="0"/>
          <w:sz w:val="21"/>
          <w:vertAlign w:val="superscript"/>
          <w:lang w:eastAsia="zh-CN"/>
        </w:rPr>
        <w:t>[6-8,22]</w:t>
      </w:r>
    </w:p>
    <w:p w14:paraId="176F7D0D">
      <w:pPr>
        <w:pStyle w:val="4"/>
        <w:jc w:val="both"/>
        <w:rPr>
          <w:rFonts w:ascii="楷体" w:hAnsi="楷体"/>
          <w:color w:val="auto"/>
          <w:lang w:eastAsia="zh-CN"/>
        </w:rPr>
      </w:pPr>
      <w:bookmarkStart w:id="30" w:name="_Toc12049"/>
      <w:r>
        <w:rPr>
          <w:rFonts w:ascii="Times New Roman" w:hAnsi="Times New Roman" w:eastAsia="SimSun"/>
          <w:b w:val="0"/>
          <w:color w:val="auto"/>
          <w:sz w:val="21"/>
          <w:lang w:eastAsia="zh-CN"/>
        </w:rPr>
        <w:t>（五）描述性统计与先验相关关系</w:t>
      </w:r>
      <w:bookmarkEnd w:id="30"/>
    </w:p>
    <w:p w14:paraId="2B1D090E">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为检验变量分布特征与解释变量之间的相关关系，本文进一步补充描述性统计、相关系数矩阵和VIF检验结果三类表格。一方面，描述性统计能够概括eff、lntl及各控制变量的均值、标准差、最小值和最大值，从而为后续模型估计提供基本分布信息；另一方面，相关系数矩阵和VIF检验能够帮助判断核心解释变量与控制变量之间是否存在明显共线性。</w:t>
      </w:r>
    </w:p>
    <w:p w14:paraId="13F133CF">
      <w:pPr>
        <w:pStyle w:val="15"/>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4</w:t>
      </w:r>
      <w:r>
        <w:rPr>
          <w:rFonts w:ascii="Times New Roman" w:hAnsi="Times New Roman" w:eastAsia="SimSun"/>
          <w:b w:val="0"/>
          <w:sz w:val="21"/>
        </w:rPr>
        <w:fldChar w:fldCharType="end"/>
      </w:r>
      <w:bookmarkStart w:id="31" w:name="_Toc28655"/>
      <w:r>
        <w:rPr>
          <w:rFonts w:hint="eastAsia" w:ascii="Times New Roman" w:hAnsi="Times New Roman" w:eastAsia="SimSun"/>
          <w:b w:val="0"/>
          <w:sz w:val="21"/>
          <w:lang w:eastAsia="zh-CN"/>
        </w:rPr>
        <w:t xml:space="preserve"> </w:t>
      </w:r>
      <w:r>
        <w:rPr>
          <w:rFonts w:ascii="Times New Roman" w:hAnsi="Times New Roman" w:eastAsia="SimSun"/>
          <w:b w:val="0"/>
          <w:sz w:val="21"/>
        </w:rPr>
        <w:t>描述性统计表</w:t>
      </w:r>
      <w:bookmarkEnd w:id="31"/>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55"/>
        <w:gridCol w:w="1247"/>
        <w:gridCol w:w="1272"/>
        <w:gridCol w:w="1272"/>
        <w:gridCol w:w="1272"/>
        <w:gridCol w:w="1272"/>
        <w:gridCol w:w="1272"/>
      </w:tblGrid>
      <w:tr w14:paraId="685E89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12" w:space="0"/>
              <w:bottom w:val="single" w:color="000000" w:sz="4" w:space="0"/>
              <w:tl2br w:val="nil"/>
            </w:tcBorders>
            <w:shd w:val="clear" w:color="auto" w:fill="FFFFFF"/>
          </w:tcPr>
          <w:p w14:paraId="275D37E2">
            <w:pPr>
              <w:spacing w:after="0"/>
              <w:jc w:val="center"/>
              <w:rPr>
                <w:rFonts w:ascii="宋体" w:hAnsi="宋体"/>
                <w:color w:val="000000"/>
                <w:szCs w:val="24"/>
              </w:rPr>
            </w:pPr>
            <w:r>
              <w:rPr>
                <w:rFonts w:ascii="宋体" w:hAnsi="宋体"/>
                <w:color w:val="000000"/>
                <w:szCs w:val="24"/>
              </w:rPr>
              <w:t>变量</w:t>
            </w:r>
          </w:p>
        </w:tc>
        <w:tc>
          <w:tcPr>
            <w:tcW w:w="1295" w:type="dxa"/>
            <w:tcBorders>
              <w:top w:val="single" w:color="000000" w:sz="12" w:space="0"/>
              <w:bottom w:val="single" w:color="000000" w:sz="4" w:space="0"/>
            </w:tcBorders>
            <w:shd w:val="clear" w:color="auto" w:fill="FFFFFF"/>
          </w:tcPr>
          <w:p w14:paraId="3E35AEF8">
            <w:pPr>
              <w:spacing w:after="0"/>
              <w:jc w:val="center"/>
              <w:rPr>
                <w:rFonts w:ascii="宋体" w:hAnsi="宋体"/>
                <w:color w:val="000000"/>
                <w:szCs w:val="24"/>
              </w:rPr>
            </w:pPr>
            <w:r>
              <w:rPr>
                <w:rFonts w:ascii="宋体" w:hAnsi="宋体"/>
                <w:color w:val="000000"/>
                <w:szCs w:val="24"/>
              </w:rPr>
              <w:t>样本量</w:t>
            </w:r>
          </w:p>
        </w:tc>
        <w:tc>
          <w:tcPr>
            <w:tcW w:w="1295" w:type="dxa"/>
            <w:tcBorders>
              <w:top w:val="single" w:color="000000" w:sz="12" w:space="0"/>
              <w:bottom w:val="single" w:color="000000" w:sz="4" w:space="0"/>
            </w:tcBorders>
            <w:shd w:val="clear" w:color="auto" w:fill="FFFFFF"/>
          </w:tcPr>
          <w:p w14:paraId="2C864014">
            <w:pPr>
              <w:spacing w:after="0"/>
              <w:jc w:val="center"/>
              <w:rPr>
                <w:rFonts w:ascii="宋体" w:hAnsi="宋体"/>
                <w:color w:val="000000"/>
                <w:szCs w:val="24"/>
              </w:rPr>
            </w:pPr>
            <w:r>
              <w:rPr>
                <w:rFonts w:ascii="宋体" w:hAnsi="宋体"/>
                <w:color w:val="000000"/>
                <w:szCs w:val="24"/>
              </w:rPr>
              <w:t>均值</w:t>
            </w:r>
          </w:p>
        </w:tc>
        <w:tc>
          <w:tcPr>
            <w:tcW w:w="1295" w:type="dxa"/>
            <w:tcBorders>
              <w:top w:val="single" w:color="000000" w:sz="12" w:space="0"/>
              <w:bottom w:val="single" w:color="000000" w:sz="4" w:space="0"/>
            </w:tcBorders>
            <w:shd w:val="clear" w:color="auto" w:fill="FFFFFF"/>
          </w:tcPr>
          <w:p w14:paraId="35550CE4">
            <w:pPr>
              <w:spacing w:after="0"/>
              <w:jc w:val="center"/>
              <w:rPr>
                <w:rFonts w:ascii="宋体" w:hAnsi="宋体"/>
                <w:color w:val="000000"/>
                <w:szCs w:val="24"/>
              </w:rPr>
            </w:pPr>
            <w:r>
              <w:rPr>
                <w:rFonts w:ascii="宋体" w:hAnsi="宋体"/>
                <w:color w:val="000000"/>
                <w:szCs w:val="24"/>
              </w:rPr>
              <w:t>标准差</w:t>
            </w:r>
          </w:p>
        </w:tc>
        <w:tc>
          <w:tcPr>
            <w:tcW w:w="1295" w:type="dxa"/>
            <w:tcBorders>
              <w:top w:val="single" w:color="000000" w:sz="12" w:space="0"/>
              <w:bottom w:val="single" w:color="000000" w:sz="4" w:space="0"/>
            </w:tcBorders>
            <w:shd w:val="clear" w:color="auto" w:fill="FFFFFF"/>
          </w:tcPr>
          <w:p w14:paraId="1ADC679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color="000000" w:sz="12" w:space="0"/>
              <w:bottom w:val="single" w:color="000000" w:sz="4" w:space="0"/>
            </w:tcBorders>
            <w:shd w:val="clear" w:color="auto" w:fill="FFFFFF"/>
          </w:tcPr>
          <w:p w14:paraId="147DC5E6">
            <w:pPr>
              <w:spacing w:after="0"/>
              <w:jc w:val="center"/>
              <w:rPr>
                <w:rFonts w:ascii="宋体" w:hAnsi="宋体"/>
                <w:color w:val="000000"/>
                <w:szCs w:val="24"/>
              </w:rPr>
            </w:pPr>
            <w:r>
              <w:rPr>
                <w:rFonts w:ascii="宋体" w:hAnsi="宋体"/>
                <w:color w:val="000000"/>
                <w:szCs w:val="24"/>
              </w:rPr>
              <w:t>中位数</w:t>
            </w:r>
          </w:p>
        </w:tc>
        <w:tc>
          <w:tcPr>
            <w:tcW w:w="1295" w:type="dxa"/>
            <w:tcBorders>
              <w:top w:val="single" w:color="000000" w:sz="12" w:space="0"/>
              <w:bottom w:val="single" w:color="000000" w:sz="4" w:space="0"/>
            </w:tcBorders>
            <w:shd w:val="clear" w:color="auto" w:fill="FFFFFF"/>
          </w:tcPr>
          <w:p w14:paraId="381DC014">
            <w:pPr>
              <w:spacing w:after="0"/>
              <w:jc w:val="center"/>
              <w:rPr>
                <w:rFonts w:ascii="宋体" w:hAnsi="宋体"/>
                <w:color w:val="000000"/>
                <w:szCs w:val="24"/>
              </w:rPr>
            </w:pPr>
            <w:r>
              <w:rPr>
                <w:rFonts w:ascii="宋体" w:hAnsi="宋体"/>
                <w:color w:val="000000"/>
                <w:szCs w:val="24"/>
              </w:rPr>
              <w:t>最大值</w:t>
            </w:r>
          </w:p>
        </w:tc>
      </w:tr>
      <w:tr w14:paraId="2EFD06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top w:val="single" w:color="000000" w:sz="4" w:space="0"/>
            </w:tcBorders>
            <w:shd w:val="clear" w:color="auto" w:fill="FFFFFF"/>
          </w:tcPr>
          <w:p w14:paraId="0DD16D41">
            <w:pPr>
              <w:spacing w:after="0"/>
              <w:jc w:val="center"/>
              <w:rPr>
                <w:rFonts w:ascii="宋体" w:hAnsi="宋体"/>
                <w:color w:val="000000"/>
                <w:szCs w:val="24"/>
              </w:rPr>
            </w:pPr>
            <w:r>
              <w:rPr>
                <w:rFonts w:ascii="宋体" w:hAnsi="宋体"/>
                <w:color w:val="000000"/>
                <w:szCs w:val="24"/>
              </w:rPr>
              <w:t>eff</w:t>
            </w:r>
          </w:p>
        </w:tc>
        <w:tc>
          <w:tcPr>
            <w:tcW w:w="1295" w:type="dxa"/>
            <w:tcBorders>
              <w:top w:val="single" w:color="000000" w:sz="4" w:space="0"/>
            </w:tcBorders>
            <w:shd w:val="clear" w:color="auto" w:fill="FFFFFF"/>
          </w:tcPr>
          <w:p w14:paraId="365912B5">
            <w:pPr>
              <w:spacing w:after="0"/>
              <w:jc w:val="center"/>
              <w:rPr>
                <w:rFonts w:ascii="宋体" w:hAnsi="宋体"/>
                <w:color w:val="000000"/>
                <w:szCs w:val="24"/>
              </w:rPr>
            </w:pPr>
            <w:r>
              <w:rPr>
                <w:rFonts w:ascii="宋体" w:hAnsi="宋体"/>
                <w:color w:val="000000"/>
                <w:szCs w:val="24"/>
              </w:rPr>
              <w:t>240</w:t>
            </w:r>
          </w:p>
        </w:tc>
        <w:tc>
          <w:tcPr>
            <w:tcW w:w="1295" w:type="dxa"/>
            <w:tcBorders>
              <w:top w:val="single" w:color="000000" w:sz="4" w:space="0"/>
            </w:tcBorders>
            <w:shd w:val="clear" w:color="auto" w:fill="FFFFFF"/>
          </w:tcPr>
          <w:p w14:paraId="122F7728">
            <w:pPr>
              <w:spacing w:after="0"/>
              <w:jc w:val="center"/>
              <w:rPr>
                <w:rFonts w:ascii="宋体" w:hAnsi="宋体"/>
                <w:color w:val="000000"/>
                <w:szCs w:val="24"/>
              </w:rPr>
            </w:pPr>
            <w:r>
              <w:rPr>
                <w:rFonts w:ascii="宋体" w:hAnsi="宋体"/>
                <w:color w:val="000000"/>
                <w:szCs w:val="24"/>
              </w:rPr>
              <w:t>0.5066</w:t>
            </w:r>
          </w:p>
        </w:tc>
        <w:tc>
          <w:tcPr>
            <w:tcW w:w="1295" w:type="dxa"/>
            <w:tcBorders>
              <w:top w:val="single" w:color="000000" w:sz="4" w:space="0"/>
            </w:tcBorders>
            <w:shd w:val="clear" w:color="auto" w:fill="FFFFFF"/>
          </w:tcPr>
          <w:p w14:paraId="41FB055C">
            <w:pPr>
              <w:spacing w:after="0"/>
              <w:jc w:val="center"/>
              <w:rPr>
                <w:rFonts w:ascii="宋体" w:hAnsi="宋体"/>
                <w:color w:val="000000"/>
                <w:szCs w:val="24"/>
              </w:rPr>
            </w:pPr>
            <w:r>
              <w:rPr>
                <w:rFonts w:ascii="宋体" w:hAnsi="宋体"/>
                <w:color w:val="000000"/>
                <w:szCs w:val="24"/>
              </w:rPr>
              <w:t>0.2275</w:t>
            </w:r>
          </w:p>
        </w:tc>
        <w:tc>
          <w:tcPr>
            <w:tcW w:w="1295" w:type="dxa"/>
            <w:tcBorders>
              <w:top w:val="single" w:color="000000" w:sz="4" w:space="0"/>
            </w:tcBorders>
            <w:shd w:val="clear" w:color="auto" w:fill="FFFFFF"/>
          </w:tcPr>
          <w:p w14:paraId="56096D5E">
            <w:pPr>
              <w:spacing w:after="0"/>
              <w:jc w:val="center"/>
              <w:rPr>
                <w:rFonts w:ascii="宋体" w:hAnsi="宋体"/>
                <w:color w:val="000000"/>
                <w:szCs w:val="24"/>
              </w:rPr>
            </w:pPr>
            <w:r>
              <w:rPr>
                <w:rFonts w:ascii="宋体" w:hAnsi="宋体"/>
                <w:color w:val="000000"/>
                <w:szCs w:val="24"/>
              </w:rPr>
              <w:t>0.2636</w:t>
            </w:r>
          </w:p>
        </w:tc>
        <w:tc>
          <w:tcPr>
            <w:tcW w:w="1295" w:type="dxa"/>
            <w:tcBorders>
              <w:top w:val="single" w:color="000000" w:sz="4" w:space="0"/>
            </w:tcBorders>
            <w:shd w:val="clear" w:color="auto" w:fill="FFFFFF"/>
          </w:tcPr>
          <w:p w14:paraId="42B58BE9">
            <w:pPr>
              <w:spacing w:after="0"/>
              <w:jc w:val="center"/>
              <w:rPr>
                <w:rFonts w:ascii="宋体" w:hAnsi="宋体"/>
                <w:color w:val="000000"/>
                <w:szCs w:val="24"/>
              </w:rPr>
            </w:pPr>
            <w:r>
              <w:rPr>
                <w:rFonts w:ascii="宋体" w:hAnsi="宋体"/>
                <w:color w:val="000000"/>
                <w:szCs w:val="24"/>
              </w:rPr>
              <w:t>0.4119</w:t>
            </w:r>
          </w:p>
        </w:tc>
        <w:tc>
          <w:tcPr>
            <w:tcW w:w="1295" w:type="dxa"/>
            <w:tcBorders>
              <w:top w:val="single" w:color="000000" w:sz="4" w:space="0"/>
            </w:tcBorders>
            <w:shd w:val="clear" w:color="auto" w:fill="FFFFFF"/>
          </w:tcPr>
          <w:p w14:paraId="49C53E8A">
            <w:pPr>
              <w:spacing w:after="0"/>
              <w:jc w:val="center"/>
              <w:rPr>
                <w:rFonts w:ascii="宋体" w:hAnsi="宋体"/>
                <w:color w:val="000000"/>
                <w:szCs w:val="24"/>
              </w:rPr>
            </w:pPr>
            <w:r>
              <w:rPr>
                <w:rFonts w:ascii="宋体" w:hAnsi="宋体"/>
                <w:color w:val="000000"/>
                <w:szCs w:val="24"/>
              </w:rPr>
              <w:t>1.2651</w:t>
            </w:r>
          </w:p>
        </w:tc>
      </w:tr>
      <w:tr w14:paraId="3ACC0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BE5C873">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pPr>
              <w:spacing w:after="0"/>
              <w:jc w:val="center"/>
              <w:rPr>
                <w:rFonts w:ascii="宋体" w:hAnsi="宋体"/>
                <w:color w:val="000000"/>
                <w:szCs w:val="24"/>
              </w:rPr>
            </w:pPr>
            <w:r>
              <w:rPr>
                <w:rFonts w:ascii="宋体" w:hAnsi="宋体"/>
                <w:color w:val="000000"/>
                <w:szCs w:val="24"/>
              </w:rPr>
              <w:t>2.8782</w:t>
            </w:r>
          </w:p>
        </w:tc>
      </w:tr>
      <w:tr w14:paraId="41BACB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4069BD03">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pPr>
              <w:spacing w:after="0"/>
              <w:jc w:val="center"/>
              <w:rPr>
                <w:rFonts w:ascii="宋体" w:hAnsi="宋体"/>
                <w:color w:val="000000"/>
                <w:szCs w:val="24"/>
              </w:rPr>
            </w:pPr>
            <w:r>
              <w:rPr>
                <w:rFonts w:ascii="宋体" w:hAnsi="宋体"/>
                <w:color w:val="000000"/>
                <w:szCs w:val="24"/>
              </w:rPr>
              <w:t>0.5398</w:t>
            </w:r>
          </w:p>
        </w:tc>
      </w:tr>
      <w:tr w14:paraId="0AD8A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62DCB31">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pPr>
              <w:spacing w:after="0"/>
              <w:jc w:val="center"/>
              <w:rPr>
                <w:rFonts w:ascii="宋体" w:hAnsi="宋体"/>
                <w:color w:val="000000"/>
                <w:szCs w:val="24"/>
              </w:rPr>
            </w:pPr>
            <w:r>
              <w:rPr>
                <w:rFonts w:ascii="宋体" w:hAnsi="宋体"/>
                <w:color w:val="000000"/>
                <w:szCs w:val="24"/>
              </w:rPr>
              <w:t>0.8933</w:t>
            </w:r>
          </w:p>
        </w:tc>
      </w:tr>
      <w:tr w14:paraId="438418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503E1AC">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pPr>
              <w:spacing w:after="0"/>
              <w:jc w:val="center"/>
              <w:rPr>
                <w:rFonts w:ascii="宋体" w:hAnsi="宋体"/>
                <w:color w:val="000000"/>
                <w:szCs w:val="24"/>
              </w:rPr>
            </w:pPr>
            <w:r>
              <w:rPr>
                <w:rFonts w:ascii="宋体" w:hAnsi="宋体"/>
                <w:color w:val="000000"/>
                <w:szCs w:val="24"/>
              </w:rPr>
              <w:t>0.0683</w:t>
            </w:r>
          </w:p>
        </w:tc>
      </w:tr>
      <w:tr w14:paraId="2F043A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shd w:val="clear" w:color="auto" w:fill="FFFFFF"/>
          </w:tcPr>
          <w:p w14:paraId="3DB64E86">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pPr>
              <w:spacing w:after="0"/>
              <w:jc w:val="center"/>
              <w:rPr>
                <w:rFonts w:ascii="宋体" w:hAnsi="宋体"/>
                <w:color w:val="000000"/>
                <w:szCs w:val="24"/>
              </w:rPr>
            </w:pPr>
            <w:r>
              <w:rPr>
                <w:rFonts w:ascii="宋体" w:hAnsi="宋体"/>
                <w:color w:val="000000"/>
                <w:szCs w:val="24"/>
              </w:rPr>
              <w:t>1.1137</w:t>
            </w:r>
          </w:p>
        </w:tc>
      </w:tr>
      <w:tr w14:paraId="084940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5" w:type="dxa"/>
            <w:tcBorders>
              <w:bottom w:val="single" w:color="000000" w:sz="12" w:space="0"/>
            </w:tcBorders>
            <w:shd w:val="clear" w:color="auto" w:fill="FFFFFF"/>
          </w:tcPr>
          <w:p w14:paraId="5035A4DB">
            <w:pPr>
              <w:spacing w:after="0"/>
              <w:jc w:val="center"/>
              <w:rPr>
                <w:rFonts w:ascii="宋体" w:hAnsi="宋体"/>
                <w:color w:val="000000"/>
                <w:szCs w:val="24"/>
              </w:rPr>
            </w:pPr>
            <w:r>
              <w:rPr>
                <w:rFonts w:ascii="宋体" w:hAnsi="宋体"/>
                <w:color w:val="000000"/>
                <w:szCs w:val="24"/>
              </w:rPr>
              <w:t>es</w:t>
            </w:r>
          </w:p>
        </w:tc>
        <w:tc>
          <w:tcPr>
            <w:tcW w:w="1295" w:type="dxa"/>
            <w:tcBorders>
              <w:bottom w:val="single" w:color="000000" w:sz="12" w:space="0"/>
            </w:tcBorders>
            <w:shd w:val="clear" w:color="auto" w:fill="FFFFFF"/>
          </w:tcPr>
          <w:p w14:paraId="350232E3">
            <w:pPr>
              <w:spacing w:after="0"/>
              <w:jc w:val="center"/>
              <w:rPr>
                <w:rFonts w:ascii="宋体" w:hAnsi="宋体"/>
                <w:color w:val="000000"/>
                <w:szCs w:val="24"/>
              </w:rPr>
            </w:pPr>
            <w:r>
              <w:rPr>
                <w:rFonts w:ascii="宋体" w:hAnsi="宋体"/>
                <w:color w:val="000000"/>
                <w:szCs w:val="24"/>
              </w:rPr>
              <w:t>240</w:t>
            </w:r>
          </w:p>
        </w:tc>
        <w:tc>
          <w:tcPr>
            <w:tcW w:w="1295" w:type="dxa"/>
            <w:tcBorders>
              <w:bottom w:val="single" w:color="000000" w:sz="12" w:space="0"/>
            </w:tcBorders>
            <w:shd w:val="clear" w:color="auto" w:fill="FFFFFF"/>
          </w:tcPr>
          <w:p w14:paraId="3066F353">
            <w:pPr>
              <w:spacing w:after="0"/>
              <w:jc w:val="center"/>
              <w:rPr>
                <w:rFonts w:ascii="宋体" w:hAnsi="宋体"/>
                <w:color w:val="000000"/>
                <w:szCs w:val="24"/>
              </w:rPr>
            </w:pPr>
            <w:r>
              <w:rPr>
                <w:rFonts w:ascii="宋体" w:hAnsi="宋体"/>
                <w:color w:val="000000"/>
                <w:szCs w:val="24"/>
              </w:rPr>
              <w:t>0.3418</w:t>
            </w:r>
          </w:p>
        </w:tc>
        <w:tc>
          <w:tcPr>
            <w:tcW w:w="1295" w:type="dxa"/>
            <w:tcBorders>
              <w:bottom w:val="single" w:color="000000" w:sz="12" w:space="0"/>
            </w:tcBorders>
            <w:shd w:val="clear" w:color="auto" w:fill="FFFFFF"/>
          </w:tcPr>
          <w:p w14:paraId="78918E37">
            <w:pPr>
              <w:spacing w:after="0"/>
              <w:jc w:val="center"/>
              <w:rPr>
                <w:rFonts w:ascii="宋体" w:hAnsi="宋体"/>
                <w:color w:val="000000"/>
                <w:szCs w:val="24"/>
              </w:rPr>
            </w:pPr>
            <w:r>
              <w:rPr>
                <w:rFonts w:ascii="宋体" w:hAnsi="宋体"/>
                <w:color w:val="000000"/>
                <w:szCs w:val="24"/>
              </w:rPr>
              <w:t>0.1414</w:t>
            </w:r>
          </w:p>
        </w:tc>
        <w:tc>
          <w:tcPr>
            <w:tcW w:w="1295" w:type="dxa"/>
            <w:tcBorders>
              <w:bottom w:val="single" w:color="000000" w:sz="12" w:space="0"/>
            </w:tcBorders>
            <w:shd w:val="clear" w:color="auto" w:fill="FFFFFF"/>
          </w:tcPr>
          <w:p w14:paraId="0309D6BC">
            <w:pPr>
              <w:spacing w:after="0"/>
              <w:jc w:val="center"/>
              <w:rPr>
                <w:rFonts w:ascii="宋体" w:hAnsi="宋体"/>
                <w:color w:val="000000"/>
                <w:szCs w:val="24"/>
              </w:rPr>
            </w:pPr>
            <w:r>
              <w:rPr>
                <w:rFonts w:ascii="宋体" w:hAnsi="宋体"/>
                <w:color w:val="000000"/>
                <w:szCs w:val="24"/>
              </w:rPr>
              <w:t>0.0056</w:t>
            </w:r>
          </w:p>
        </w:tc>
        <w:tc>
          <w:tcPr>
            <w:tcW w:w="1295" w:type="dxa"/>
            <w:tcBorders>
              <w:bottom w:val="single" w:color="000000" w:sz="12" w:space="0"/>
            </w:tcBorders>
            <w:shd w:val="clear" w:color="auto" w:fill="FFFFFF"/>
          </w:tcPr>
          <w:p w14:paraId="2B7F9C6D">
            <w:pPr>
              <w:spacing w:after="0"/>
              <w:jc w:val="center"/>
              <w:rPr>
                <w:rFonts w:ascii="宋体" w:hAnsi="宋体"/>
                <w:color w:val="000000"/>
                <w:szCs w:val="24"/>
              </w:rPr>
            </w:pPr>
            <w:r>
              <w:rPr>
                <w:rFonts w:ascii="宋体" w:hAnsi="宋体"/>
                <w:color w:val="000000"/>
                <w:szCs w:val="24"/>
              </w:rPr>
              <w:t>0.3469</w:t>
            </w:r>
          </w:p>
        </w:tc>
        <w:tc>
          <w:tcPr>
            <w:tcW w:w="1295" w:type="dxa"/>
            <w:tcBorders>
              <w:bottom w:val="single" w:color="000000" w:sz="12" w:space="0"/>
            </w:tcBorders>
            <w:shd w:val="clear" w:color="auto" w:fill="FFFFFF"/>
          </w:tcPr>
          <w:p w14:paraId="59A0C8EE">
            <w:pPr>
              <w:spacing w:after="0"/>
              <w:jc w:val="center"/>
              <w:rPr>
                <w:rFonts w:ascii="宋体" w:hAnsi="宋体"/>
                <w:color w:val="000000"/>
                <w:szCs w:val="24"/>
              </w:rPr>
            </w:pPr>
            <w:r>
              <w:rPr>
                <w:rFonts w:ascii="宋体" w:hAnsi="宋体"/>
                <w:color w:val="000000"/>
                <w:szCs w:val="24"/>
              </w:rPr>
              <w:t>0.6371</w:t>
            </w:r>
          </w:p>
        </w:tc>
      </w:tr>
    </w:tbl>
    <w:p w14:paraId="220AA042">
      <w:pPr>
        <w:jc w:val="center"/>
        <w:rPr>
          <w:lang w:eastAsia="zh-CN"/>
        </w:rPr>
      </w:pPr>
      <w:r>
        <w:rPr>
          <w:rFonts w:ascii="Times New Roman" w:hAnsi="Times New Roman" w:eastAsia="SimSun"/>
          <w:b w:val="0"/>
          <w:sz w:val="21"/>
          <w:lang w:eastAsia="zh-CN"/>
        </w:rPr>
        <w:drawing>
          <wp:inline distT="0" distB="0" distL="114300" distR="114300">
            <wp:extent cx="5900420" cy="2992120"/>
            <wp:effectExtent l="0" t="0" r="5080" b="5080"/>
            <wp:docPr id="30" name="图片 30"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相关椭圆矩阵组合图"/>
                    <pic:cNvPicPr>
                      <a:picLocks noChangeAspect="1"/>
                    </pic:cNvPicPr>
                  </pic:nvPicPr>
                  <pic:blipFill>
                    <a:blip r:embed="rId14"/>
                    <a:stretch>
                      <a:fillRect/>
                    </a:stretch>
                  </pic:blipFill>
                  <pic:spPr>
                    <a:xfrm>
                      <a:off x="0" y="0"/>
                      <a:ext cx="5900420" cy="2992120"/>
                    </a:xfrm>
                    <a:prstGeom prst="rect">
                      <a:avLst/>
                    </a:prstGeom>
                  </pic:spPr>
                </pic:pic>
              </a:graphicData>
            </a:graphic>
          </wp:inline>
        </w:drawing>
      </w:r>
    </w:p>
    <w:p w14:paraId="0CB2D8F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32" w:name="_Toc8706"/>
      <w:r>
        <w:rPr>
          <w:rFonts w:hint="eastAsia" w:ascii="Times New Roman" w:hAnsi="Times New Roman" w:eastAsia="SimSun"/>
          <w:b w:val="0"/>
          <w:sz w:val="21"/>
          <w:lang w:eastAsia="zh-CN"/>
        </w:rPr>
        <w:t xml:space="preserve"> 核心变量相关关系椭圆矩阵图</w:t>
      </w:r>
      <w:bookmarkEnd w:id="32"/>
    </w:p>
    <w:p w14:paraId="44399501">
      <w:pPr>
        <w:ind w:firstLine="720"/>
        <w:rPr>
          <w:lang w:eastAsia="zh-CN"/>
        </w:rPr>
      </w:pPr>
      <w:r>
        <w:rPr>
          <w:rFonts w:hint="eastAsia" w:ascii="Times New Roman" w:hAnsi="Times New Roman" w:eastAsia="SimSun"/>
          <w:b w:val="0"/>
          <w:sz w:val="21"/>
          <w:lang w:eastAsia="zh-CN"/>
        </w:rPr>
        <w:t>相关关系图进一步展示了主要变量之间的线性关联方向与强弱。需要指出的是，Pearson相关系数的经典显著性检验依赖正态分布与观测独立等条件，而省级面板数据通常难以完全满足这些假定；Spearman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p w14:paraId="6948DDEE">
      <w:pPr>
        <w:jc w:val="center"/>
        <w:rPr>
          <w:lang w:eastAsia="zh-CN"/>
        </w:rPr>
      </w:pPr>
      <w:r>
        <w:rPr>
          <w:rFonts w:ascii="Times New Roman" w:hAnsi="Times New Roman" w:eastAsia="SimSun"/>
          <w:b w:val="0"/>
          <w:sz w:val="21"/>
          <w:lang w:eastAsia="zh-CN"/>
        </w:rPr>
        <w:drawing>
          <wp:inline distT="0" distB="0" distL="114300" distR="114300">
            <wp:extent cx="5399405" cy="3046095"/>
            <wp:effectExtent l="0" t="0" r="0" b="0"/>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5"/>
                    <a:srcRect t="5179"/>
                    <a:stretch>
                      <a:fillRect/>
                    </a:stretch>
                  </pic:blipFill>
                  <pic:spPr>
                    <a:xfrm>
                      <a:off x="0" y="0"/>
                      <a:ext cx="5399405" cy="3046095"/>
                    </a:xfrm>
                    <a:prstGeom prst="rect">
                      <a:avLst/>
                    </a:prstGeom>
                  </pic:spPr>
                </pic:pic>
              </a:graphicData>
            </a:graphic>
          </wp:inline>
        </w:drawing>
      </w:r>
    </w:p>
    <w:p w14:paraId="2B76DB03">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33" w:name="_Toc3231"/>
      <w:r>
        <w:rPr>
          <w:rFonts w:hint="eastAsia" w:ascii="Times New Roman" w:hAnsi="Times New Roman" w:eastAsia="SimSun"/>
          <w:b w:val="0"/>
          <w:sz w:val="21"/>
          <w:lang w:eastAsia="zh-CN"/>
        </w:rPr>
        <w:t xml:space="preserve"> 核心解释变量VIF检验图</w:t>
      </w:r>
      <w:bookmarkEnd w:id="33"/>
    </w:p>
    <w:p w14:paraId="09BCDCFB">
      <w:pPr>
        <w:ind w:firstLine="720"/>
        <w:rPr>
          <w:lang w:eastAsia="zh-CN"/>
        </w:rPr>
      </w:pPr>
      <w:r>
        <w:rPr>
          <w:rStyle w:val="143"/>
          <w:rFonts w:ascii="Times New Roman" w:hAnsi="Times New Roman" w:eastAsia="SimSun"/>
          <w:b w:val="0"/>
          <w:sz w:val="21"/>
          <w:szCs w:val="22"/>
          <w:lang w:eastAsia="zh-CN"/>
        </w:rPr>
        <w:t>VIF检验结果表明，部分解释变量存在一定相关性，LNTL 与 OPEN 的 VIF 相对较高，但所有变量的 VIF 均未超过常用严重共线性判别阈值，说明样本中虽存在一定多重共线性风险，但尚不足以否定后续回归分析的可行性。基于此，本文在系数解释时保持必要审慎。此外，本文将在后续通过模型设定检验与误差结构检验，分别对回归模型的设定形式和标准误估计方法进行识别与判断。</w:t>
      </w:r>
    </w:p>
    <w:p w14:paraId="2D764953">
      <w:pPr>
        <w:pStyle w:val="3"/>
        <w:jc w:val="both"/>
        <w:rPr>
          <w:color w:val="auto"/>
          <w:szCs w:val="30"/>
          <w:lang w:eastAsia="zh-CN"/>
        </w:rPr>
      </w:pPr>
      <w:bookmarkStart w:id="34" w:name="_Toc25981"/>
      <w:r>
        <w:rPr>
          <w:rFonts w:ascii="Times New Roman" w:hAnsi="Times New Roman" w:eastAsia="SimSun"/>
          <w:b w:val="0"/>
          <w:color w:val="auto"/>
          <w:sz w:val="21"/>
          <w:szCs w:val="30"/>
          <w:lang w:eastAsia="zh-CN"/>
        </w:rPr>
        <w:t>五、</w:t>
      </w:r>
      <w:r>
        <w:rPr>
          <w:rFonts w:hint="eastAsia" w:ascii="Times New Roman" w:hAnsi="Times New Roman" w:eastAsia="SimSun"/>
          <w:b w:val="0"/>
          <w:color w:val="auto"/>
          <w:sz w:val="21"/>
          <w:szCs w:val="30"/>
          <w:lang w:eastAsia="zh-CN"/>
        </w:rPr>
        <w:t>省域</w:t>
      </w:r>
      <w:r>
        <w:rPr>
          <w:rFonts w:ascii="Times New Roman" w:hAnsi="Times New Roman" w:eastAsia="SimSun"/>
          <w:b w:val="0"/>
          <w:color w:val="auto"/>
          <w:sz w:val="21"/>
          <w:szCs w:val="30"/>
          <w:lang w:eastAsia="zh-CN"/>
        </w:rPr>
        <w:t>碳排放效率测度结果</w:t>
      </w:r>
      <w:bookmarkEnd w:id="34"/>
    </w:p>
    <w:p w14:paraId="2DE7BB36">
      <w:pPr>
        <w:pStyle w:val="4"/>
        <w:jc w:val="both"/>
        <w:rPr>
          <w:rFonts w:ascii="楷体" w:hAnsi="楷体"/>
          <w:color w:val="auto"/>
          <w:lang w:eastAsia="zh-CN"/>
        </w:rPr>
      </w:pPr>
      <w:bookmarkStart w:id="35" w:name="_Toc7999"/>
      <w:r>
        <w:rPr>
          <w:rFonts w:ascii="Times New Roman" w:hAnsi="Times New Roman" w:eastAsia="SimSun"/>
          <w:b w:val="0"/>
          <w:color w:val="auto"/>
          <w:sz w:val="21"/>
          <w:lang w:eastAsia="zh-CN"/>
        </w:rPr>
        <w:t>（一）静态碳排放效率的总体特征</w:t>
      </w:r>
      <w:bookmarkEnd w:id="35"/>
    </w:p>
    <w:p w14:paraId="2E05DA17">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由第一阶段测度结果可知，2015—2022年我国30个省级地区碳排放效率整体呈现明显的地区分化特征。不同地区在经济产出与碳排放约束之间的协调能力存在较大差异，说明我国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碳排放效率并非处于均衡状态，而是表现出较为显著的层次分化。从总体分布看，部分地区已处于相对较高效率水平，而另一些地区仍停留在较低区间，这表明区域绿色发展能力仍存在较强的不平衡性。</w:t>
      </w:r>
    </w:p>
    <w:p w14:paraId="3621CA1F">
      <w:pPr>
        <w:bidi w:val="0"/>
        <w:rPr>
          <w:rFonts w:hint="eastAsia" w:eastAsia="宋体"/>
          <w:lang w:eastAsia="zh-CN"/>
        </w:rPr>
      </w:pPr>
      <w:r>
        <w:rPr>
          <w:rFonts w:hint="eastAsia" w:eastAsia="SimSun" w:ascii="Times New Roman" w:hAnsi="Times New Roman"/>
          <w:b w:val="0"/>
          <w:sz w:val="21"/>
          <w:lang w:eastAsia="zh-CN"/>
        </w:rPr>
        <w:drawing>
          <wp:inline distT="0" distB="0" distL="114300" distR="114300">
            <wp:extent cx="5486400" cy="3099435"/>
            <wp:effectExtent l="0" t="0" r="0" b="0"/>
            <wp:docPr id="29" name="图片 29"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1_省际碳排放效率核密度图"/>
                    <pic:cNvPicPr>
                      <a:picLocks noChangeAspect="1"/>
                    </pic:cNvPicPr>
                  </pic:nvPicPr>
                  <pic:blipFill>
                    <a:blip r:embed="rId16"/>
                    <a:srcRect t="4909"/>
                    <a:stretch>
                      <a:fillRect/>
                    </a:stretch>
                  </pic:blipFill>
                  <pic:spPr>
                    <a:xfrm>
                      <a:off x="0" y="0"/>
                      <a:ext cx="5486400" cy="3099435"/>
                    </a:xfrm>
                    <a:prstGeom prst="rect">
                      <a:avLst/>
                    </a:prstGeom>
                  </pic:spPr>
                </pic:pic>
              </a:graphicData>
            </a:graphic>
          </wp:inline>
        </w:drawing>
      </w:r>
    </w:p>
    <w:p w14:paraId="134DBD01">
      <w:pPr>
        <w:pStyle w:val="15"/>
        <w:ind w:firstLine="720" w:firstLineChars="0"/>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9</w:t>
      </w:r>
      <w:r>
        <w:rPr>
          <w:rFonts w:ascii="Times New Roman" w:hAnsi="Times New Roman" w:eastAsia="SimSun"/>
          <w:b w:val="0"/>
          <w:sz w:val="21"/>
        </w:rPr>
        <w:fldChar w:fldCharType="end"/>
      </w:r>
      <w:bookmarkStart w:id="36" w:name="_Toc1446"/>
      <w:r>
        <w:rPr>
          <w:rFonts w:hint="eastAsia" w:ascii="Times New Roman" w:hAnsi="Times New Roman" w:eastAsia="SimSun"/>
          <w:b w:val="0"/>
          <w:sz w:val="21"/>
          <w:lang w:val="en-US" w:eastAsia="zh-CN"/>
        </w:rPr>
        <w:t xml:space="preserve"> </w:t>
      </w:r>
      <w:r>
        <w:rPr>
          <w:rFonts w:hint="eastAsia" w:ascii="Times New Roman" w:hAnsi="Times New Roman" w:eastAsia="SimSun"/>
          <w:b w:val="0"/>
          <w:sz w:val="21"/>
          <w:lang w:eastAsia="zh-CN"/>
        </w:rPr>
        <w:t>省域碳排放效率核密度</w:t>
      </w:r>
      <w:r>
        <w:rPr>
          <w:rFonts w:hint="eastAsia" w:ascii="Times New Roman" w:hAnsi="Times New Roman" w:eastAsia="SimSun"/>
          <w:b w:val="0"/>
          <w:sz w:val="21"/>
          <w:lang w:val="en-US" w:eastAsia="zh-CN"/>
        </w:rPr>
        <w:t>图</w:t>
      </w:r>
      <w:bookmarkEnd w:id="36"/>
    </w:p>
    <w:p w14:paraId="3595A1C9">
      <w:pPr>
        <w:jc w:val="center"/>
        <w:rPr>
          <w:rFonts w:hint="eastAsia"/>
          <w:lang w:val="en-US" w:eastAsia="zh-CN"/>
        </w:rPr>
      </w:pPr>
      <w:r>
        <w:rPr>
          <w:rFonts w:hint="eastAsia" w:ascii="Times New Roman" w:hAnsi="Times New Roman" w:eastAsia="SimSun"/>
          <w:b w:val="0"/>
          <w:sz w:val="21"/>
          <w:lang w:val="en-US" w:eastAsia="zh-CN"/>
        </w:rPr>
        <w:t xml:space="preserve">表 </w:t>
      </w:r>
      <w:r>
        <w:rPr>
          <w:rFonts w:hint="eastAsia" w:ascii="Times New Roman" w:hAnsi="Times New Roman" w:eastAsia="SimSun"/>
          <w:b w:val="0"/>
          <w:sz w:val="21"/>
          <w:lang w:val="en-US" w:eastAsia="zh-CN"/>
        </w:rPr>
        <w:fldChar w:fldCharType="begin"/>
      </w:r>
      <w:r>
        <w:rPr>
          <w:rFonts w:hint="eastAsia" w:ascii="Times New Roman" w:hAnsi="Times New Roman" w:eastAsia="SimSun"/>
          <w:b w:val="0"/>
          <w:sz w:val="21"/>
          <w:lang w:val="en-US" w:eastAsia="zh-CN"/>
        </w:rPr>
        <w:instrText xml:space="preserve"> SEQ 表 \* ARABIC </w:instrText>
      </w:r>
      <w:r>
        <w:rPr>
          <w:rFonts w:hint="eastAsia" w:ascii="Times New Roman" w:hAnsi="Times New Roman" w:eastAsia="SimSun"/>
          <w:b w:val="0"/>
          <w:sz w:val="21"/>
          <w:lang w:val="en-US" w:eastAsia="zh-CN"/>
        </w:rPr>
        <w:fldChar w:fldCharType="separate"/>
      </w:r>
      <w:r>
        <w:rPr>
          <w:rFonts w:hint="eastAsia" w:ascii="Times New Roman" w:hAnsi="Times New Roman" w:eastAsia="SimSun"/>
          <w:b w:val="0"/>
          <w:sz w:val="21"/>
          <w:lang w:val="en-US" w:eastAsia="zh-CN"/>
        </w:rPr>
        <w:t>5</w:t>
      </w:r>
      <w:r>
        <w:rPr>
          <w:rFonts w:hint="eastAsia" w:ascii="Times New Roman" w:hAnsi="Times New Roman" w:eastAsia="SimSun"/>
          <w:b w:val="0"/>
          <w:sz w:val="21"/>
          <w:lang w:val="en-US" w:eastAsia="zh-CN"/>
        </w:rPr>
        <w:fldChar w:fldCharType="end"/>
      </w:r>
      <w:bookmarkStart w:id="37" w:name="_Toc11059"/>
      <w:r>
        <w:rPr>
          <w:rFonts w:hint="eastAsia" w:ascii="Times New Roman" w:hAnsi="Times New Roman" w:eastAsia="SimSun"/>
          <w:b w:val="0"/>
          <w:sz w:val="21"/>
          <w:lang w:val="en-US" w:eastAsia="zh-CN"/>
        </w:rPr>
        <w:t xml:space="preserve"> 2015—2022年全国平均碳排放效率年度统计</w:t>
      </w:r>
      <w:bookmarkEnd w:id="37"/>
    </w:p>
    <w:tbl>
      <w:tblPr>
        <w:tblStyle w:val="40"/>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3"/>
        <w:gridCol w:w="1773"/>
        <w:gridCol w:w="1775"/>
        <w:gridCol w:w="1775"/>
        <w:gridCol w:w="1776"/>
      </w:tblGrid>
      <w:tr w14:paraId="45817E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12" w:space="0"/>
              <w:bottom w:val="single" w:color="000000" w:sz="4" w:space="0"/>
              <w:tl2br w:val="nil"/>
            </w:tcBorders>
            <w:shd w:val="clear" w:color="auto" w:fill="FFFFFF"/>
          </w:tcPr>
          <w:p w14:paraId="7103D36D">
            <w:pPr>
              <w:spacing w:after="0"/>
              <w:jc w:val="both"/>
              <w:rPr>
                <w:rFonts w:ascii="宋体" w:hAnsi="宋体"/>
                <w:color w:val="000000"/>
                <w:szCs w:val="24"/>
              </w:rPr>
            </w:pPr>
            <w:r>
              <w:rPr>
                <w:rFonts w:ascii="宋体" w:hAnsi="宋体"/>
                <w:color w:val="000000"/>
                <w:szCs w:val="24"/>
              </w:rPr>
              <w:t>年份</w:t>
            </w:r>
          </w:p>
        </w:tc>
        <w:tc>
          <w:tcPr>
            <w:tcW w:w="1000" w:type="pct"/>
            <w:tcBorders>
              <w:top w:val="single" w:color="000000" w:sz="12" w:space="0"/>
              <w:bottom w:val="single" w:color="000000" w:sz="4" w:space="0"/>
            </w:tcBorders>
            <w:shd w:val="clear" w:color="auto" w:fill="FFFFFF"/>
          </w:tcPr>
          <w:p w14:paraId="4FC830E0">
            <w:pPr>
              <w:spacing w:after="0"/>
              <w:jc w:val="both"/>
              <w:rPr>
                <w:rFonts w:ascii="宋体" w:hAnsi="宋体"/>
                <w:color w:val="000000"/>
                <w:szCs w:val="24"/>
              </w:rPr>
            </w:pPr>
            <w:r>
              <w:rPr>
                <w:rFonts w:ascii="宋体" w:hAnsi="宋体"/>
                <w:color w:val="000000"/>
                <w:szCs w:val="24"/>
              </w:rPr>
              <w:t>均值</w:t>
            </w:r>
          </w:p>
        </w:tc>
        <w:tc>
          <w:tcPr>
            <w:tcW w:w="1001" w:type="pct"/>
            <w:tcBorders>
              <w:top w:val="single" w:color="000000" w:sz="12" w:space="0"/>
              <w:bottom w:val="single" w:color="000000" w:sz="4" w:space="0"/>
            </w:tcBorders>
            <w:shd w:val="clear" w:color="auto" w:fill="FFFFFF"/>
          </w:tcPr>
          <w:p w14:paraId="06BAD0A4">
            <w:pPr>
              <w:spacing w:after="0"/>
              <w:jc w:val="both"/>
              <w:rPr>
                <w:rFonts w:ascii="宋体" w:hAnsi="宋体"/>
                <w:color w:val="000000"/>
                <w:szCs w:val="24"/>
              </w:rPr>
            </w:pPr>
            <w:r>
              <w:rPr>
                <w:rFonts w:ascii="宋体" w:hAnsi="宋体"/>
                <w:color w:val="000000"/>
                <w:szCs w:val="24"/>
              </w:rPr>
              <w:t>中位数</w:t>
            </w:r>
          </w:p>
        </w:tc>
        <w:tc>
          <w:tcPr>
            <w:tcW w:w="1001" w:type="pct"/>
            <w:tcBorders>
              <w:top w:val="single" w:color="000000" w:sz="12" w:space="0"/>
              <w:bottom w:val="single" w:color="000000" w:sz="4" w:space="0"/>
            </w:tcBorders>
            <w:shd w:val="clear" w:color="auto" w:fill="FFFFFF"/>
          </w:tcPr>
          <w:p w14:paraId="0198F753">
            <w:pPr>
              <w:spacing w:after="0"/>
              <w:jc w:val="both"/>
              <w:rPr>
                <w:rFonts w:ascii="宋体" w:hAnsi="宋体"/>
                <w:color w:val="000000"/>
                <w:szCs w:val="24"/>
              </w:rPr>
            </w:pPr>
            <w:r>
              <w:rPr>
                <w:rFonts w:ascii="宋体" w:hAnsi="宋体"/>
                <w:color w:val="000000"/>
                <w:szCs w:val="24"/>
              </w:rPr>
              <w:t>最高值</w:t>
            </w:r>
          </w:p>
        </w:tc>
        <w:tc>
          <w:tcPr>
            <w:tcW w:w="1001" w:type="pct"/>
            <w:tcBorders>
              <w:top w:val="single" w:color="000000" w:sz="12" w:space="0"/>
              <w:bottom w:val="single" w:color="000000" w:sz="4" w:space="0"/>
            </w:tcBorders>
            <w:shd w:val="clear" w:color="auto" w:fill="FFFFFF"/>
          </w:tcPr>
          <w:p w14:paraId="1B40B7F4">
            <w:pPr>
              <w:spacing w:after="0"/>
              <w:jc w:val="both"/>
              <w:rPr>
                <w:rFonts w:ascii="宋体" w:hAnsi="宋体"/>
                <w:color w:val="000000"/>
                <w:szCs w:val="24"/>
              </w:rPr>
            </w:pPr>
            <w:r>
              <w:rPr>
                <w:rFonts w:ascii="宋体" w:hAnsi="宋体"/>
                <w:color w:val="000000"/>
                <w:szCs w:val="24"/>
              </w:rPr>
              <w:t>最低值</w:t>
            </w:r>
          </w:p>
        </w:tc>
      </w:tr>
      <w:tr w14:paraId="0F1708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single" w:color="000000" w:sz="4" w:space="0"/>
              <w:bottom w:val="nil"/>
            </w:tcBorders>
            <w:shd w:val="clear" w:color="auto" w:fill="FFFFFF"/>
          </w:tcPr>
          <w:p w14:paraId="2856AAED">
            <w:pPr>
              <w:spacing w:after="0"/>
              <w:jc w:val="both"/>
              <w:rPr>
                <w:rFonts w:ascii="宋体" w:hAnsi="宋体"/>
                <w:color w:val="000000"/>
                <w:szCs w:val="24"/>
              </w:rPr>
            </w:pPr>
            <w:r>
              <w:rPr>
                <w:rFonts w:ascii="宋体" w:hAnsi="宋体"/>
                <w:color w:val="000000"/>
                <w:szCs w:val="24"/>
              </w:rPr>
              <w:t>2015</w:t>
            </w:r>
          </w:p>
        </w:tc>
        <w:tc>
          <w:tcPr>
            <w:tcW w:w="1000" w:type="pct"/>
            <w:tcBorders>
              <w:top w:val="single" w:color="000000" w:sz="4" w:space="0"/>
              <w:bottom w:val="nil"/>
            </w:tcBorders>
            <w:shd w:val="clear" w:color="auto" w:fill="FFFFFF"/>
          </w:tcPr>
          <w:p w14:paraId="108D0396">
            <w:pPr>
              <w:spacing w:after="0"/>
              <w:jc w:val="both"/>
              <w:rPr>
                <w:rFonts w:ascii="宋体" w:hAnsi="宋体"/>
                <w:color w:val="000000"/>
                <w:szCs w:val="24"/>
              </w:rPr>
            </w:pPr>
            <w:r>
              <w:rPr>
                <w:rFonts w:ascii="宋体" w:hAnsi="宋体"/>
                <w:color w:val="000000"/>
                <w:szCs w:val="24"/>
              </w:rPr>
              <w:t>0.4183</w:t>
            </w:r>
          </w:p>
        </w:tc>
        <w:tc>
          <w:tcPr>
            <w:tcW w:w="1001" w:type="pct"/>
            <w:tcBorders>
              <w:top w:val="single" w:color="000000" w:sz="4" w:space="0"/>
              <w:bottom w:val="nil"/>
            </w:tcBorders>
            <w:shd w:val="clear" w:color="auto" w:fill="FFFFFF"/>
          </w:tcPr>
          <w:p w14:paraId="0C718A3D">
            <w:pPr>
              <w:spacing w:after="0"/>
              <w:jc w:val="both"/>
              <w:rPr>
                <w:rFonts w:ascii="宋体" w:hAnsi="宋体"/>
                <w:color w:val="000000"/>
                <w:szCs w:val="24"/>
              </w:rPr>
            </w:pPr>
            <w:r>
              <w:rPr>
                <w:rFonts w:ascii="宋体" w:hAnsi="宋体"/>
                <w:color w:val="000000"/>
                <w:szCs w:val="24"/>
              </w:rPr>
              <w:t>0.3719</w:t>
            </w:r>
          </w:p>
        </w:tc>
        <w:tc>
          <w:tcPr>
            <w:tcW w:w="1001" w:type="pct"/>
            <w:tcBorders>
              <w:top w:val="single" w:color="000000" w:sz="4" w:space="0"/>
              <w:bottom w:val="nil"/>
            </w:tcBorders>
            <w:shd w:val="clear" w:color="auto" w:fill="FFFFFF"/>
          </w:tcPr>
          <w:p w14:paraId="64812E00">
            <w:pPr>
              <w:spacing w:after="0"/>
              <w:jc w:val="both"/>
              <w:rPr>
                <w:rFonts w:ascii="宋体" w:hAnsi="宋体"/>
                <w:color w:val="000000"/>
                <w:szCs w:val="24"/>
              </w:rPr>
            </w:pPr>
            <w:r>
              <w:rPr>
                <w:rFonts w:ascii="宋体" w:hAnsi="宋体"/>
                <w:color w:val="000000"/>
                <w:szCs w:val="24"/>
              </w:rPr>
              <w:t>1.0545</w:t>
            </w:r>
          </w:p>
        </w:tc>
        <w:tc>
          <w:tcPr>
            <w:tcW w:w="1001" w:type="pct"/>
            <w:tcBorders>
              <w:top w:val="single" w:color="000000" w:sz="4" w:space="0"/>
              <w:bottom w:val="nil"/>
            </w:tcBorders>
            <w:shd w:val="clear" w:color="auto" w:fill="FFFFFF"/>
          </w:tcPr>
          <w:p w14:paraId="11FC383A">
            <w:pPr>
              <w:spacing w:after="0"/>
              <w:jc w:val="both"/>
              <w:rPr>
                <w:rFonts w:ascii="宋体" w:hAnsi="宋体"/>
                <w:color w:val="000000"/>
                <w:szCs w:val="24"/>
              </w:rPr>
            </w:pPr>
            <w:r>
              <w:rPr>
                <w:rFonts w:ascii="宋体" w:hAnsi="宋体"/>
                <w:color w:val="000000"/>
                <w:szCs w:val="24"/>
              </w:rPr>
              <w:t>0.2180</w:t>
            </w:r>
          </w:p>
        </w:tc>
      </w:tr>
      <w:tr w14:paraId="016D7C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1E4C4B3">
            <w:pPr>
              <w:spacing w:after="0"/>
              <w:jc w:val="both"/>
              <w:rPr>
                <w:rFonts w:ascii="宋体" w:hAnsi="宋体"/>
                <w:color w:val="000000"/>
                <w:szCs w:val="24"/>
              </w:rPr>
            </w:pPr>
            <w:r>
              <w:rPr>
                <w:rFonts w:ascii="宋体" w:hAnsi="宋体"/>
                <w:color w:val="000000"/>
                <w:szCs w:val="24"/>
              </w:rPr>
              <w:t>2016</w:t>
            </w:r>
          </w:p>
        </w:tc>
        <w:tc>
          <w:tcPr>
            <w:tcW w:w="1000" w:type="pct"/>
            <w:tcBorders>
              <w:top w:val="nil"/>
              <w:bottom w:val="nil"/>
            </w:tcBorders>
            <w:shd w:val="clear" w:color="auto" w:fill="FFFFFF"/>
          </w:tcPr>
          <w:p w14:paraId="174A5C48">
            <w:pPr>
              <w:spacing w:after="0"/>
              <w:jc w:val="both"/>
              <w:rPr>
                <w:rFonts w:ascii="宋体" w:hAnsi="宋体"/>
                <w:color w:val="000000"/>
                <w:szCs w:val="24"/>
              </w:rPr>
            </w:pPr>
            <w:r>
              <w:rPr>
                <w:rFonts w:ascii="宋体" w:hAnsi="宋体"/>
                <w:color w:val="000000"/>
                <w:szCs w:val="24"/>
              </w:rPr>
              <w:t>0.4602</w:t>
            </w:r>
          </w:p>
        </w:tc>
        <w:tc>
          <w:tcPr>
            <w:tcW w:w="1001" w:type="pct"/>
            <w:tcBorders>
              <w:top w:val="nil"/>
              <w:bottom w:val="nil"/>
            </w:tcBorders>
            <w:shd w:val="clear" w:color="auto" w:fill="FFFFFF"/>
          </w:tcPr>
          <w:p w14:paraId="1445F2C4">
            <w:pPr>
              <w:spacing w:after="0"/>
              <w:jc w:val="both"/>
              <w:rPr>
                <w:rFonts w:ascii="宋体" w:hAnsi="宋体"/>
                <w:color w:val="000000"/>
                <w:szCs w:val="24"/>
              </w:rPr>
            </w:pPr>
            <w:r>
              <w:rPr>
                <w:rFonts w:ascii="宋体" w:hAnsi="宋体"/>
                <w:color w:val="000000"/>
                <w:szCs w:val="24"/>
              </w:rPr>
              <w:t>0.4037</w:t>
            </w:r>
          </w:p>
        </w:tc>
        <w:tc>
          <w:tcPr>
            <w:tcW w:w="1001" w:type="pct"/>
            <w:tcBorders>
              <w:top w:val="nil"/>
              <w:bottom w:val="nil"/>
            </w:tcBorders>
            <w:shd w:val="clear" w:color="auto" w:fill="FFFFFF"/>
          </w:tcPr>
          <w:p w14:paraId="6182AE92">
            <w:pPr>
              <w:spacing w:after="0"/>
              <w:jc w:val="both"/>
              <w:rPr>
                <w:rFonts w:ascii="宋体" w:hAnsi="宋体"/>
                <w:color w:val="000000"/>
                <w:szCs w:val="24"/>
              </w:rPr>
            </w:pPr>
            <w:r>
              <w:rPr>
                <w:rFonts w:ascii="宋体" w:hAnsi="宋体"/>
                <w:color w:val="000000"/>
                <w:szCs w:val="24"/>
              </w:rPr>
              <w:t>1.0241</w:t>
            </w:r>
          </w:p>
        </w:tc>
        <w:tc>
          <w:tcPr>
            <w:tcW w:w="1001" w:type="pct"/>
            <w:tcBorders>
              <w:top w:val="nil"/>
              <w:bottom w:val="nil"/>
            </w:tcBorders>
            <w:shd w:val="clear" w:color="auto" w:fill="FFFFFF"/>
          </w:tcPr>
          <w:p w14:paraId="230B789B">
            <w:pPr>
              <w:spacing w:after="0"/>
              <w:jc w:val="both"/>
              <w:rPr>
                <w:rFonts w:ascii="宋体" w:hAnsi="宋体"/>
                <w:color w:val="000000"/>
                <w:szCs w:val="24"/>
              </w:rPr>
            </w:pPr>
            <w:r>
              <w:rPr>
                <w:rFonts w:ascii="宋体" w:hAnsi="宋体"/>
                <w:color w:val="000000"/>
                <w:szCs w:val="24"/>
              </w:rPr>
              <w:t>0.2305</w:t>
            </w:r>
          </w:p>
        </w:tc>
      </w:tr>
      <w:tr w14:paraId="64BF7D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2A990EF">
            <w:pPr>
              <w:spacing w:after="0"/>
              <w:jc w:val="both"/>
              <w:rPr>
                <w:rFonts w:ascii="宋体" w:hAnsi="宋体"/>
                <w:color w:val="000000"/>
                <w:szCs w:val="24"/>
              </w:rPr>
            </w:pPr>
            <w:r>
              <w:rPr>
                <w:rFonts w:ascii="宋体" w:hAnsi="宋体"/>
                <w:color w:val="000000"/>
                <w:szCs w:val="24"/>
              </w:rPr>
              <w:t>2017</w:t>
            </w:r>
          </w:p>
        </w:tc>
        <w:tc>
          <w:tcPr>
            <w:tcW w:w="1000" w:type="pct"/>
            <w:tcBorders>
              <w:top w:val="nil"/>
              <w:bottom w:val="nil"/>
            </w:tcBorders>
            <w:shd w:val="clear" w:color="auto" w:fill="FFFFFF"/>
          </w:tcPr>
          <w:p w14:paraId="25F7F739">
            <w:pPr>
              <w:spacing w:after="0"/>
              <w:jc w:val="both"/>
              <w:rPr>
                <w:rFonts w:ascii="宋体" w:hAnsi="宋体"/>
                <w:color w:val="000000"/>
                <w:szCs w:val="24"/>
              </w:rPr>
            </w:pPr>
            <w:r>
              <w:rPr>
                <w:rFonts w:ascii="宋体" w:hAnsi="宋体"/>
                <w:color w:val="000000"/>
                <w:szCs w:val="24"/>
              </w:rPr>
              <w:t>0.4814</w:t>
            </w:r>
          </w:p>
        </w:tc>
        <w:tc>
          <w:tcPr>
            <w:tcW w:w="1001" w:type="pct"/>
            <w:tcBorders>
              <w:top w:val="nil"/>
              <w:bottom w:val="nil"/>
            </w:tcBorders>
            <w:shd w:val="clear" w:color="auto" w:fill="FFFFFF"/>
          </w:tcPr>
          <w:p w14:paraId="74378005">
            <w:pPr>
              <w:spacing w:after="0"/>
              <w:jc w:val="both"/>
              <w:rPr>
                <w:rFonts w:ascii="宋体" w:hAnsi="宋体"/>
                <w:color w:val="000000"/>
                <w:szCs w:val="24"/>
              </w:rPr>
            </w:pPr>
            <w:r>
              <w:rPr>
                <w:rFonts w:ascii="宋体" w:hAnsi="宋体"/>
                <w:color w:val="000000"/>
                <w:szCs w:val="24"/>
              </w:rPr>
              <w:t>0.4647</w:t>
            </w:r>
          </w:p>
        </w:tc>
        <w:tc>
          <w:tcPr>
            <w:tcW w:w="1001" w:type="pct"/>
            <w:tcBorders>
              <w:top w:val="nil"/>
              <w:bottom w:val="nil"/>
            </w:tcBorders>
            <w:shd w:val="clear" w:color="auto" w:fill="FFFFFF"/>
          </w:tcPr>
          <w:p w14:paraId="0FDBA1F1">
            <w:pPr>
              <w:spacing w:after="0"/>
              <w:jc w:val="both"/>
              <w:rPr>
                <w:rFonts w:ascii="宋体" w:hAnsi="宋体"/>
                <w:color w:val="000000"/>
                <w:szCs w:val="24"/>
              </w:rPr>
            </w:pPr>
            <w:r>
              <w:rPr>
                <w:rFonts w:ascii="宋体" w:hAnsi="宋体"/>
                <w:color w:val="000000"/>
                <w:szCs w:val="24"/>
              </w:rPr>
              <w:t>1.0128</w:t>
            </w:r>
          </w:p>
        </w:tc>
        <w:tc>
          <w:tcPr>
            <w:tcW w:w="1001" w:type="pct"/>
            <w:tcBorders>
              <w:top w:val="nil"/>
              <w:bottom w:val="nil"/>
            </w:tcBorders>
            <w:shd w:val="clear" w:color="auto" w:fill="FFFFFF"/>
          </w:tcPr>
          <w:p w14:paraId="76800FFF">
            <w:pPr>
              <w:spacing w:after="0"/>
              <w:jc w:val="both"/>
              <w:rPr>
                <w:rFonts w:ascii="宋体" w:hAnsi="宋体"/>
                <w:color w:val="000000"/>
                <w:szCs w:val="24"/>
              </w:rPr>
            </w:pPr>
            <w:r>
              <w:rPr>
                <w:rFonts w:ascii="宋体" w:hAnsi="宋体"/>
                <w:color w:val="000000"/>
                <w:szCs w:val="24"/>
              </w:rPr>
              <w:t>0.2407</w:t>
            </w:r>
          </w:p>
        </w:tc>
      </w:tr>
      <w:tr w14:paraId="486A95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1485844A">
            <w:pPr>
              <w:spacing w:after="0"/>
              <w:jc w:val="both"/>
              <w:rPr>
                <w:rFonts w:ascii="宋体" w:hAnsi="宋体"/>
                <w:color w:val="000000"/>
                <w:szCs w:val="24"/>
              </w:rPr>
            </w:pPr>
            <w:r>
              <w:rPr>
                <w:rFonts w:ascii="宋体" w:hAnsi="宋体"/>
                <w:color w:val="000000"/>
                <w:szCs w:val="24"/>
              </w:rPr>
              <w:t>2018</w:t>
            </w:r>
          </w:p>
        </w:tc>
        <w:tc>
          <w:tcPr>
            <w:tcW w:w="1000" w:type="pct"/>
            <w:tcBorders>
              <w:top w:val="nil"/>
              <w:bottom w:val="nil"/>
            </w:tcBorders>
            <w:shd w:val="clear" w:color="auto" w:fill="FFFFFF"/>
          </w:tcPr>
          <w:p w14:paraId="1B6769F2">
            <w:pPr>
              <w:spacing w:after="0"/>
              <w:jc w:val="both"/>
              <w:rPr>
                <w:rFonts w:ascii="宋体" w:hAnsi="宋体"/>
                <w:color w:val="000000"/>
                <w:szCs w:val="24"/>
              </w:rPr>
            </w:pPr>
            <w:r>
              <w:rPr>
                <w:rFonts w:ascii="宋体" w:hAnsi="宋体"/>
                <w:color w:val="000000"/>
                <w:szCs w:val="24"/>
              </w:rPr>
              <w:t>0.5005</w:t>
            </w:r>
          </w:p>
        </w:tc>
        <w:tc>
          <w:tcPr>
            <w:tcW w:w="1001" w:type="pct"/>
            <w:tcBorders>
              <w:top w:val="nil"/>
              <w:bottom w:val="nil"/>
            </w:tcBorders>
            <w:shd w:val="clear" w:color="auto" w:fill="FFFFFF"/>
          </w:tcPr>
          <w:p w14:paraId="4600E6B0">
            <w:pPr>
              <w:spacing w:after="0"/>
              <w:jc w:val="both"/>
              <w:rPr>
                <w:rFonts w:ascii="宋体" w:hAnsi="宋体"/>
                <w:color w:val="000000"/>
                <w:szCs w:val="24"/>
              </w:rPr>
            </w:pPr>
            <w:r>
              <w:rPr>
                <w:rFonts w:ascii="宋体" w:hAnsi="宋体"/>
                <w:color w:val="000000"/>
                <w:szCs w:val="24"/>
              </w:rPr>
              <w:t>0.4567</w:t>
            </w:r>
          </w:p>
        </w:tc>
        <w:tc>
          <w:tcPr>
            <w:tcW w:w="1001" w:type="pct"/>
            <w:tcBorders>
              <w:top w:val="nil"/>
              <w:bottom w:val="nil"/>
            </w:tcBorders>
            <w:shd w:val="clear" w:color="auto" w:fill="FFFFFF"/>
          </w:tcPr>
          <w:p w14:paraId="40A853F3">
            <w:pPr>
              <w:spacing w:after="0"/>
              <w:jc w:val="both"/>
              <w:rPr>
                <w:rFonts w:ascii="宋体" w:hAnsi="宋体"/>
                <w:color w:val="000000"/>
                <w:szCs w:val="24"/>
              </w:rPr>
            </w:pPr>
            <w:r>
              <w:rPr>
                <w:rFonts w:ascii="宋体" w:hAnsi="宋体"/>
                <w:color w:val="000000"/>
                <w:szCs w:val="24"/>
              </w:rPr>
              <w:t>1.0383</w:t>
            </w:r>
          </w:p>
        </w:tc>
        <w:tc>
          <w:tcPr>
            <w:tcW w:w="1001" w:type="pct"/>
            <w:tcBorders>
              <w:top w:val="nil"/>
              <w:bottom w:val="nil"/>
            </w:tcBorders>
            <w:shd w:val="clear" w:color="auto" w:fill="FFFFFF"/>
          </w:tcPr>
          <w:p w14:paraId="6CB99BA9">
            <w:pPr>
              <w:spacing w:after="0"/>
              <w:jc w:val="both"/>
              <w:rPr>
                <w:rFonts w:ascii="宋体" w:hAnsi="宋体"/>
                <w:color w:val="000000"/>
                <w:szCs w:val="24"/>
              </w:rPr>
            </w:pPr>
            <w:r>
              <w:rPr>
                <w:rFonts w:ascii="宋体" w:hAnsi="宋体"/>
                <w:color w:val="000000"/>
                <w:szCs w:val="24"/>
              </w:rPr>
              <w:t>0.2468</w:t>
            </w:r>
          </w:p>
        </w:tc>
      </w:tr>
      <w:tr w14:paraId="7ACB4C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7B812622">
            <w:pPr>
              <w:spacing w:after="0"/>
              <w:jc w:val="both"/>
              <w:rPr>
                <w:rFonts w:ascii="宋体" w:hAnsi="宋体"/>
                <w:color w:val="000000"/>
                <w:szCs w:val="24"/>
              </w:rPr>
            </w:pPr>
            <w:r>
              <w:rPr>
                <w:rFonts w:ascii="宋体" w:hAnsi="宋体"/>
                <w:color w:val="000000"/>
                <w:szCs w:val="24"/>
              </w:rPr>
              <w:t>2019</w:t>
            </w:r>
          </w:p>
        </w:tc>
        <w:tc>
          <w:tcPr>
            <w:tcW w:w="1000" w:type="pct"/>
            <w:tcBorders>
              <w:top w:val="nil"/>
              <w:bottom w:val="nil"/>
            </w:tcBorders>
            <w:shd w:val="clear" w:color="auto" w:fill="FFFFFF"/>
          </w:tcPr>
          <w:p w14:paraId="035FBE85">
            <w:pPr>
              <w:spacing w:after="0"/>
              <w:jc w:val="both"/>
              <w:rPr>
                <w:rFonts w:ascii="宋体" w:hAnsi="宋体"/>
                <w:color w:val="000000"/>
                <w:szCs w:val="24"/>
              </w:rPr>
            </w:pPr>
            <w:r>
              <w:rPr>
                <w:rFonts w:ascii="宋体" w:hAnsi="宋体"/>
                <w:color w:val="000000"/>
                <w:szCs w:val="24"/>
              </w:rPr>
              <w:t>0.5431</w:t>
            </w:r>
          </w:p>
        </w:tc>
        <w:tc>
          <w:tcPr>
            <w:tcW w:w="1001" w:type="pct"/>
            <w:tcBorders>
              <w:top w:val="nil"/>
              <w:bottom w:val="nil"/>
            </w:tcBorders>
            <w:shd w:val="clear" w:color="auto" w:fill="FFFFFF"/>
          </w:tcPr>
          <w:p w14:paraId="2F3BCA5B">
            <w:pPr>
              <w:spacing w:after="0"/>
              <w:jc w:val="both"/>
              <w:rPr>
                <w:rFonts w:ascii="宋体" w:hAnsi="宋体"/>
                <w:color w:val="000000"/>
                <w:szCs w:val="24"/>
              </w:rPr>
            </w:pPr>
            <w:r>
              <w:rPr>
                <w:rFonts w:ascii="宋体" w:hAnsi="宋体"/>
                <w:color w:val="000000"/>
                <w:szCs w:val="24"/>
              </w:rPr>
              <w:t>0.4712</w:t>
            </w:r>
          </w:p>
        </w:tc>
        <w:tc>
          <w:tcPr>
            <w:tcW w:w="1001" w:type="pct"/>
            <w:tcBorders>
              <w:top w:val="nil"/>
              <w:bottom w:val="nil"/>
            </w:tcBorders>
            <w:shd w:val="clear" w:color="auto" w:fill="FFFFFF"/>
          </w:tcPr>
          <w:p w14:paraId="5F045B99">
            <w:pPr>
              <w:spacing w:after="0"/>
              <w:jc w:val="both"/>
              <w:rPr>
                <w:rFonts w:ascii="宋体" w:hAnsi="宋体"/>
                <w:color w:val="000000"/>
                <w:szCs w:val="24"/>
              </w:rPr>
            </w:pPr>
            <w:r>
              <w:rPr>
                <w:rFonts w:ascii="宋体" w:hAnsi="宋体"/>
                <w:color w:val="000000"/>
                <w:szCs w:val="24"/>
              </w:rPr>
              <w:t>1.0156</w:t>
            </w:r>
          </w:p>
        </w:tc>
        <w:tc>
          <w:tcPr>
            <w:tcW w:w="1001" w:type="pct"/>
            <w:tcBorders>
              <w:top w:val="nil"/>
              <w:bottom w:val="nil"/>
            </w:tcBorders>
            <w:shd w:val="clear" w:color="auto" w:fill="FFFFFF"/>
          </w:tcPr>
          <w:p w14:paraId="36E3D920">
            <w:pPr>
              <w:spacing w:after="0"/>
              <w:jc w:val="both"/>
              <w:rPr>
                <w:rFonts w:ascii="宋体" w:hAnsi="宋体"/>
                <w:color w:val="000000"/>
                <w:szCs w:val="24"/>
              </w:rPr>
            </w:pPr>
            <w:r>
              <w:rPr>
                <w:rFonts w:ascii="宋体" w:hAnsi="宋体"/>
                <w:color w:val="000000"/>
                <w:szCs w:val="24"/>
              </w:rPr>
              <w:t>0.2445</w:t>
            </w:r>
          </w:p>
        </w:tc>
      </w:tr>
      <w:tr w14:paraId="1ECEFB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37178544">
            <w:pPr>
              <w:spacing w:after="0"/>
              <w:jc w:val="both"/>
              <w:rPr>
                <w:rFonts w:ascii="宋体" w:hAnsi="宋体"/>
                <w:color w:val="000000"/>
                <w:szCs w:val="24"/>
              </w:rPr>
            </w:pPr>
            <w:r>
              <w:rPr>
                <w:rFonts w:ascii="宋体" w:hAnsi="宋体"/>
                <w:color w:val="000000"/>
                <w:szCs w:val="24"/>
              </w:rPr>
              <w:t>2020</w:t>
            </w:r>
          </w:p>
        </w:tc>
        <w:tc>
          <w:tcPr>
            <w:tcW w:w="1000" w:type="pct"/>
            <w:tcBorders>
              <w:top w:val="nil"/>
              <w:bottom w:val="nil"/>
            </w:tcBorders>
            <w:shd w:val="clear" w:color="auto" w:fill="FFFFFF"/>
          </w:tcPr>
          <w:p w14:paraId="35CB8B61">
            <w:pPr>
              <w:spacing w:after="0"/>
              <w:jc w:val="both"/>
              <w:rPr>
                <w:rFonts w:ascii="宋体" w:hAnsi="宋体"/>
                <w:color w:val="000000"/>
                <w:szCs w:val="24"/>
              </w:rPr>
            </w:pPr>
            <w:r>
              <w:rPr>
                <w:rFonts w:ascii="宋体" w:hAnsi="宋体"/>
                <w:color w:val="000000"/>
                <w:szCs w:val="24"/>
              </w:rPr>
              <w:t>0.5989</w:t>
            </w:r>
          </w:p>
        </w:tc>
        <w:tc>
          <w:tcPr>
            <w:tcW w:w="1001" w:type="pct"/>
            <w:tcBorders>
              <w:top w:val="nil"/>
              <w:bottom w:val="nil"/>
            </w:tcBorders>
            <w:shd w:val="clear" w:color="auto" w:fill="FFFFFF"/>
          </w:tcPr>
          <w:p w14:paraId="4C0996E2">
            <w:pPr>
              <w:spacing w:after="0"/>
              <w:jc w:val="both"/>
              <w:rPr>
                <w:rFonts w:ascii="宋体" w:hAnsi="宋体"/>
                <w:color w:val="000000"/>
                <w:szCs w:val="24"/>
              </w:rPr>
            </w:pPr>
            <w:r>
              <w:rPr>
                <w:rFonts w:ascii="宋体" w:hAnsi="宋体"/>
                <w:color w:val="000000"/>
                <w:szCs w:val="24"/>
              </w:rPr>
              <w:t>0.5433</w:t>
            </w:r>
          </w:p>
        </w:tc>
        <w:tc>
          <w:tcPr>
            <w:tcW w:w="1001" w:type="pct"/>
            <w:tcBorders>
              <w:top w:val="nil"/>
              <w:bottom w:val="nil"/>
            </w:tcBorders>
            <w:shd w:val="clear" w:color="auto" w:fill="FFFFFF"/>
          </w:tcPr>
          <w:p w14:paraId="6D63E3D1">
            <w:pPr>
              <w:spacing w:after="0"/>
              <w:jc w:val="both"/>
              <w:rPr>
                <w:rFonts w:ascii="宋体" w:hAnsi="宋体"/>
                <w:color w:val="000000"/>
                <w:szCs w:val="24"/>
              </w:rPr>
            </w:pPr>
            <w:r>
              <w:rPr>
                <w:rFonts w:ascii="宋体" w:hAnsi="宋体"/>
                <w:color w:val="000000"/>
                <w:szCs w:val="24"/>
              </w:rPr>
              <w:t>1.0845</w:t>
            </w:r>
          </w:p>
        </w:tc>
        <w:tc>
          <w:tcPr>
            <w:tcW w:w="1001" w:type="pct"/>
            <w:tcBorders>
              <w:top w:val="nil"/>
              <w:bottom w:val="nil"/>
            </w:tcBorders>
            <w:shd w:val="clear" w:color="auto" w:fill="FFFFFF"/>
          </w:tcPr>
          <w:p w14:paraId="47751E84">
            <w:pPr>
              <w:spacing w:after="0"/>
              <w:jc w:val="both"/>
              <w:rPr>
                <w:rFonts w:ascii="宋体" w:hAnsi="宋体"/>
                <w:color w:val="000000"/>
                <w:szCs w:val="24"/>
              </w:rPr>
            </w:pPr>
            <w:r>
              <w:rPr>
                <w:rFonts w:ascii="宋体" w:hAnsi="宋体"/>
                <w:color w:val="000000"/>
                <w:szCs w:val="24"/>
              </w:rPr>
              <w:t>0.2588</w:t>
            </w:r>
          </w:p>
        </w:tc>
      </w:tr>
      <w:tr w14:paraId="12E3C4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nil"/>
            </w:tcBorders>
            <w:shd w:val="clear" w:color="auto" w:fill="FFFFFF"/>
          </w:tcPr>
          <w:p w14:paraId="55B1B6D4">
            <w:pPr>
              <w:spacing w:after="0"/>
              <w:jc w:val="both"/>
              <w:rPr>
                <w:rFonts w:ascii="宋体" w:hAnsi="宋体"/>
                <w:color w:val="000000"/>
                <w:szCs w:val="24"/>
              </w:rPr>
            </w:pPr>
            <w:r>
              <w:rPr>
                <w:rFonts w:ascii="宋体" w:hAnsi="宋体"/>
                <w:color w:val="000000"/>
                <w:szCs w:val="24"/>
              </w:rPr>
              <w:t>2021</w:t>
            </w:r>
          </w:p>
        </w:tc>
        <w:tc>
          <w:tcPr>
            <w:tcW w:w="1000" w:type="pct"/>
            <w:tcBorders>
              <w:top w:val="nil"/>
              <w:bottom w:val="nil"/>
            </w:tcBorders>
            <w:shd w:val="clear" w:color="auto" w:fill="FFFFFF"/>
          </w:tcPr>
          <w:p w14:paraId="520E3D66">
            <w:pPr>
              <w:spacing w:after="0"/>
              <w:jc w:val="both"/>
              <w:rPr>
                <w:rFonts w:ascii="宋体" w:hAnsi="宋体"/>
                <w:color w:val="000000"/>
                <w:szCs w:val="24"/>
              </w:rPr>
            </w:pPr>
            <w:r>
              <w:rPr>
                <w:rFonts w:ascii="宋体" w:hAnsi="宋体"/>
                <w:color w:val="000000"/>
                <w:szCs w:val="24"/>
              </w:rPr>
              <w:t>0.5801</w:t>
            </w:r>
          </w:p>
        </w:tc>
        <w:tc>
          <w:tcPr>
            <w:tcW w:w="1001" w:type="pct"/>
            <w:tcBorders>
              <w:top w:val="nil"/>
              <w:bottom w:val="nil"/>
            </w:tcBorders>
            <w:shd w:val="clear" w:color="auto" w:fill="FFFFFF"/>
          </w:tcPr>
          <w:p w14:paraId="63606BD4">
            <w:pPr>
              <w:spacing w:after="0"/>
              <w:jc w:val="both"/>
              <w:rPr>
                <w:rFonts w:ascii="宋体" w:hAnsi="宋体"/>
                <w:color w:val="000000"/>
                <w:szCs w:val="24"/>
              </w:rPr>
            </w:pPr>
            <w:r>
              <w:rPr>
                <w:rFonts w:ascii="宋体" w:hAnsi="宋体"/>
                <w:color w:val="000000"/>
                <w:szCs w:val="24"/>
              </w:rPr>
              <w:t>0.5461</w:t>
            </w:r>
          </w:p>
        </w:tc>
        <w:tc>
          <w:tcPr>
            <w:tcW w:w="1001" w:type="pct"/>
            <w:tcBorders>
              <w:top w:val="nil"/>
              <w:bottom w:val="nil"/>
            </w:tcBorders>
            <w:shd w:val="clear" w:color="auto" w:fill="FFFFFF"/>
          </w:tcPr>
          <w:p w14:paraId="1E0A3052">
            <w:pPr>
              <w:spacing w:after="0"/>
              <w:jc w:val="both"/>
              <w:rPr>
                <w:rFonts w:ascii="宋体" w:hAnsi="宋体"/>
                <w:color w:val="000000"/>
                <w:szCs w:val="24"/>
              </w:rPr>
            </w:pPr>
            <w:r>
              <w:rPr>
                <w:rFonts w:ascii="宋体" w:hAnsi="宋体"/>
                <w:color w:val="000000"/>
                <w:szCs w:val="24"/>
              </w:rPr>
              <w:t>1.0184</w:t>
            </w:r>
          </w:p>
        </w:tc>
        <w:tc>
          <w:tcPr>
            <w:tcW w:w="1001" w:type="pct"/>
            <w:tcBorders>
              <w:top w:val="nil"/>
              <w:bottom w:val="nil"/>
            </w:tcBorders>
            <w:shd w:val="clear" w:color="auto" w:fill="FFFFFF"/>
          </w:tcPr>
          <w:p w14:paraId="682A9AA9">
            <w:pPr>
              <w:spacing w:after="0"/>
              <w:jc w:val="both"/>
              <w:rPr>
                <w:rFonts w:ascii="宋体" w:hAnsi="宋体"/>
                <w:color w:val="000000"/>
                <w:szCs w:val="24"/>
              </w:rPr>
            </w:pPr>
            <w:r>
              <w:rPr>
                <w:rFonts w:ascii="宋体" w:hAnsi="宋体"/>
                <w:color w:val="000000"/>
                <w:szCs w:val="24"/>
              </w:rPr>
              <w:t>0.2473</w:t>
            </w:r>
          </w:p>
        </w:tc>
      </w:tr>
      <w:tr w14:paraId="087826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94" w:type="pct"/>
            <w:tcBorders>
              <w:top w:val="nil"/>
              <w:bottom w:val="single" w:color="000000" w:sz="12" w:space="0"/>
            </w:tcBorders>
            <w:shd w:val="clear" w:color="auto" w:fill="FFFFFF"/>
          </w:tcPr>
          <w:p w14:paraId="73153F02">
            <w:pPr>
              <w:spacing w:after="0"/>
              <w:jc w:val="both"/>
              <w:rPr>
                <w:rFonts w:ascii="宋体" w:hAnsi="宋体"/>
                <w:color w:val="000000"/>
                <w:szCs w:val="24"/>
              </w:rPr>
            </w:pPr>
            <w:r>
              <w:rPr>
                <w:rFonts w:ascii="宋体" w:hAnsi="宋体"/>
                <w:color w:val="000000"/>
                <w:szCs w:val="24"/>
              </w:rPr>
              <w:t>2022</w:t>
            </w:r>
          </w:p>
        </w:tc>
        <w:tc>
          <w:tcPr>
            <w:tcW w:w="1000" w:type="pct"/>
            <w:tcBorders>
              <w:top w:val="nil"/>
              <w:bottom w:val="single" w:color="000000" w:sz="12" w:space="0"/>
            </w:tcBorders>
            <w:shd w:val="clear" w:color="auto" w:fill="FFFFFF"/>
          </w:tcPr>
          <w:p w14:paraId="346079D9">
            <w:pPr>
              <w:spacing w:after="0"/>
              <w:jc w:val="both"/>
              <w:rPr>
                <w:rFonts w:ascii="宋体" w:hAnsi="宋体"/>
                <w:color w:val="000000"/>
                <w:szCs w:val="24"/>
              </w:rPr>
            </w:pPr>
            <w:r>
              <w:rPr>
                <w:rFonts w:ascii="宋体" w:hAnsi="宋体"/>
                <w:color w:val="000000"/>
                <w:szCs w:val="24"/>
              </w:rPr>
              <w:t>0.6350</w:t>
            </w:r>
          </w:p>
        </w:tc>
        <w:tc>
          <w:tcPr>
            <w:tcW w:w="1001" w:type="pct"/>
            <w:tcBorders>
              <w:top w:val="nil"/>
              <w:bottom w:val="single" w:color="000000" w:sz="12" w:space="0"/>
            </w:tcBorders>
            <w:shd w:val="clear" w:color="auto" w:fill="FFFFFF"/>
          </w:tcPr>
          <w:p w14:paraId="3DC6C3E6">
            <w:pPr>
              <w:spacing w:after="0"/>
              <w:jc w:val="both"/>
              <w:rPr>
                <w:rFonts w:ascii="宋体" w:hAnsi="宋体"/>
                <w:color w:val="000000"/>
                <w:szCs w:val="24"/>
              </w:rPr>
            </w:pPr>
            <w:r>
              <w:rPr>
                <w:rFonts w:ascii="宋体" w:hAnsi="宋体"/>
                <w:color w:val="000000"/>
                <w:szCs w:val="24"/>
              </w:rPr>
              <w:t>0.5933</w:t>
            </w:r>
          </w:p>
        </w:tc>
        <w:tc>
          <w:tcPr>
            <w:tcW w:w="1001" w:type="pct"/>
            <w:tcBorders>
              <w:top w:val="nil"/>
              <w:bottom w:val="single" w:color="000000" w:sz="12" w:space="0"/>
            </w:tcBorders>
            <w:shd w:val="clear" w:color="auto" w:fill="FFFFFF"/>
          </w:tcPr>
          <w:p w14:paraId="24175382">
            <w:pPr>
              <w:spacing w:after="0"/>
              <w:jc w:val="both"/>
              <w:rPr>
                <w:rFonts w:ascii="宋体" w:hAnsi="宋体"/>
                <w:color w:val="000000"/>
                <w:szCs w:val="24"/>
              </w:rPr>
            </w:pPr>
            <w:r>
              <w:rPr>
                <w:rFonts w:ascii="宋体" w:hAnsi="宋体"/>
                <w:color w:val="000000"/>
                <w:szCs w:val="24"/>
              </w:rPr>
              <w:t>1.2500</w:t>
            </w:r>
          </w:p>
        </w:tc>
        <w:tc>
          <w:tcPr>
            <w:tcW w:w="1001" w:type="pct"/>
            <w:tcBorders>
              <w:top w:val="nil"/>
              <w:bottom w:val="single" w:color="000000" w:sz="12" w:space="0"/>
            </w:tcBorders>
            <w:shd w:val="clear" w:color="auto" w:fill="FFFFFF"/>
          </w:tcPr>
          <w:p w14:paraId="50A664D6">
            <w:pPr>
              <w:spacing w:after="0"/>
              <w:jc w:val="both"/>
              <w:rPr>
                <w:rFonts w:ascii="宋体" w:hAnsi="宋体"/>
                <w:color w:val="000000"/>
                <w:szCs w:val="24"/>
              </w:rPr>
            </w:pPr>
            <w:r>
              <w:rPr>
                <w:rFonts w:ascii="宋体" w:hAnsi="宋体"/>
                <w:color w:val="000000"/>
                <w:szCs w:val="24"/>
              </w:rPr>
              <w:t>0.2444</w:t>
            </w:r>
          </w:p>
        </w:tc>
      </w:tr>
    </w:tbl>
    <w:p w14:paraId="3CBF587F">
      <w:pPr>
        <w:rPr>
          <w:rFonts w:hint="default"/>
          <w:lang w:val="en-US" w:eastAsia="zh-CN"/>
        </w:rPr>
      </w:pPr>
    </w:p>
    <w:p w14:paraId="1ADC4830">
      <w:pPr>
        <w:pStyle w:val="15"/>
        <w:ind w:firstLine="720" w:firstLineChars="0"/>
        <w:jc w:val="both"/>
        <w:rPr>
          <w:rFonts w:hint="eastAsia"/>
          <w:lang w:eastAsia="zh-CN"/>
        </w:rPr>
      </w:pPr>
      <w:r>
        <w:rPr>
          <w:rFonts w:hint="eastAsia" w:ascii="Times New Roman" w:hAnsi="Times New Roman" w:eastAsia="SimSun"/>
          <w:b w:val="0"/>
          <w:sz w:val="21"/>
          <w:lang w:val="en-US" w:eastAsia="zh-CN"/>
        </w:rPr>
        <w:t>上图</w:t>
      </w:r>
      <w:r>
        <w:rPr>
          <w:rFonts w:hint="eastAsia" w:ascii="Times New Roman" w:hAnsi="Times New Roman" w:eastAsia="SimSun"/>
          <w:b w:val="0"/>
          <w:sz w:val="21"/>
          <w:lang w:eastAsia="zh-CN"/>
        </w:rPr>
        <w:t>展示了 2015—2022 年省域碳排放效率的核密度分布演变。总体来看，各年份核密度曲线的主峰位置整体向右移动，表明我国省域碳排放效率总体呈上升趋势，整体效率水平持续改善。与此同时，主峰高度并未明显上升，反而表现出一定的下降和展宽特征，说明各地区效率差异尚未显著收敛，地区间分化仍然存在。进一步观察分布右尾可以发现，样本后期在高效率区间出现局部次峰，表明部分省份已逐步集聚于较高效率水平，而另一些省份仍集中于中低效率区间，省域碳排放效率分布呈现一定的极化特征，并可能存在俱乐部收敛倾向。</w:t>
      </w:r>
    </w:p>
    <w:p w14:paraId="640C5B3D">
      <w:pPr>
        <w:spacing w:before="240" w:beforeLines="100"/>
        <w:jc w:val="center"/>
        <w:rPr>
          <w:sz w:val="22"/>
          <w:lang w:eastAsia="zh-CN"/>
        </w:rPr>
      </w:pPr>
      <w:r>
        <w:rPr>
          <w:rFonts w:ascii="Times New Roman" w:hAnsi="Times New Roman" w:eastAsia="SimSun"/>
          <w:b w:val="0"/>
          <w:sz w:val="21"/>
          <w:lang w:eastAsia="zh-CN"/>
        </w:rPr>
        <w:drawing>
          <wp:inline distT="0" distB="0" distL="114300" distR="114300">
            <wp:extent cx="5322570" cy="4432300"/>
            <wp:effectExtent l="0" t="0" r="11430" b="0"/>
            <wp:docPr id="27" name="图片 2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_省际碳排放效率分级地图"/>
                    <pic:cNvPicPr>
                      <a:picLocks noChangeAspect="1"/>
                    </pic:cNvPicPr>
                  </pic:nvPicPr>
                  <pic:blipFill>
                    <a:blip r:embed="rId17"/>
                    <a:stretch>
                      <a:fillRect/>
                    </a:stretch>
                  </pic:blipFill>
                  <pic:spPr>
                    <a:xfrm>
                      <a:off x="0" y="0"/>
                      <a:ext cx="5322570" cy="4432300"/>
                    </a:xfrm>
                    <a:prstGeom prst="rect">
                      <a:avLst/>
                    </a:prstGeom>
                  </pic:spPr>
                </pic:pic>
              </a:graphicData>
            </a:graphic>
          </wp:inline>
        </w:drawing>
      </w:r>
    </w:p>
    <w:p w14:paraId="49151EC2">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10</w:t>
      </w:r>
      <w:r>
        <w:rPr>
          <w:rFonts w:ascii="Times New Roman" w:hAnsi="Times New Roman" w:eastAsia="SimSun"/>
          <w:b w:val="0"/>
          <w:sz w:val="21"/>
        </w:rPr>
        <w:fldChar w:fldCharType="end"/>
      </w:r>
      <w:bookmarkStart w:id="38" w:name="_Toc1709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省域碳排放效率空间分布图</w:t>
      </w:r>
      <w:bookmarkEnd w:id="38"/>
    </w:p>
    <w:p w14:paraId="4A49CC05">
      <w:pPr>
        <w:ind w:firstLine="720"/>
        <w:rPr>
          <w:lang w:eastAsia="zh-CN"/>
        </w:rPr>
      </w:pPr>
      <w:r>
        <w:rPr>
          <w:rFonts w:ascii="Times New Roman" w:hAnsi="Times New Roman" w:eastAsia="SimSun"/>
          <w:b w:val="0"/>
          <w:sz w:val="21"/>
          <w:lang w:eastAsia="zh-CN"/>
        </w:rPr>
        <w:t>空间分布图表明，2022年各省碳排放效率并非随机分布，而是呈现出较明显的空间分化特征。高值和低值地区在地理上都具有一定集中性，这一直观结果也为后文开展空间相关性检验提供了图形依据。</w:t>
      </w:r>
    </w:p>
    <w:p w14:paraId="7CAB4EDA">
      <w:pPr>
        <w:jc w:val="both"/>
        <w:rPr>
          <w:sz w:val="22"/>
          <w:lang w:eastAsia="zh-CN"/>
        </w:rPr>
      </w:pPr>
      <w:r>
        <w:rPr>
          <w:rFonts w:ascii="Times New Roman" w:hAnsi="Times New Roman" w:eastAsia="SimSun"/>
          <w:b w:val="0"/>
          <w:sz w:val="21"/>
          <w:lang w:eastAsia="zh-CN"/>
        </w:rPr>
        <w:drawing>
          <wp:inline distT="0" distB="0" distL="0" distR="0">
            <wp:extent cx="5490210" cy="2976880"/>
            <wp:effectExtent l="0" t="0" r="0" b="0"/>
            <wp:docPr id="883436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6414" name="图片 4"/>
                    <pic:cNvPicPr>
                      <a:picLocks noChangeAspect="1"/>
                    </pic:cNvPicPr>
                  </pic:nvPicPr>
                  <pic:blipFill>
                    <a:blip r:embed="rId18"/>
                    <a:srcRect t="6706"/>
                    <a:stretch>
                      <a:fillRect/>
                    </a:stretch>
                  </pic:blipFill>
                  <pic:spPr>
                    <a:xfrm>
                      <a:off x="0" y="0"/>
                      <a:ext cx="5490210" cy="2976880"/>
                    </a:xfrm>
                    <a:prstGeom prst="rect">
                      <a:avLst/>
                    </a:prstGeom>
                  </pic:spPr>
                </pic:pic>
              </a:graphicData>
            </a:graphic>
          </wp:inline>
        </w:drawing>
      </w:r>
    </w:p>
    <w:p w14:paraId="56F0A139">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11</w:t>
      </w:r>
      <w:r>
        <w:rPr>
          <w:rFonts w:ascii="Times New Roman" w:hAnsi="Times New Roman" w:eastAsia="SimSun"/>
          <w:b w:val="0"/>
          <w:sz w:val="21"/>
        </w:rPr>
        <w:fldChar w:fldCharType="end"/>
      </w:r>
      <w:bookmarkStart w:id="39" w:name="_Toc28412"/>
      <w:r>
        <w:rPr>
          <w:rFonts w:hint="eastAsia" w:ascii="Times New Roman" w:hAnsi="Times New Roman" w:eastAsia="SimSun"/>
          <w:b w:val="0"/>
          <w:sz w:val="21"/>
          <w:lang w:val="en-US" w:eastAsia="zh-CN"/>
        </w:rPr>
        <w:t xml:space="preserve"> 2015-2022分区域碳排放效率箱线图</w:t>
      </w:r>
      <w:bookmarkEnd w:id="39"/>
    </w:p>
    <w:p w14:paraId="577E1087">
      <w:pPr>
        <w:jc w:val="both"/>
        <w:rPr>
          <w:sz w:val="22"/>
          <w:lang w:eastAsia="zh-CN"/>
        </w:rPr>
      </w:pPr>
      <w:r>
        <w:rPr>
          <w:rFonts w:ascii="Times New Roman" w:hAnsi="Times New Roman" w:eastAsia="SimSun"/>
          <w:b w:val="0"/>
          <w:sz w:val="21"/>
          <w:lang w:eastAsia="zh-CN"/>
        </w:rPr>
        <w:drawing>
          <wp:inline distT="0" distB="0" distL="0" distR="0">
            <wp:extent cx="5490210" cy="3008630"/>
            <wp:effectExtent l="0" t="0" r="0" b="0"/>
            <wp:docPr id="18321588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8806" name="图片 7"/>
                    <pic:cNvPicPr>
                      <a:picLocks noChangeAspect="1"/>
                    </pic:cNvPicPr>
                  </pic:nvPicPr>
                  <pic:blipFill>
                    <a:blip r:embed="rId19"/>
                    <a:srcRect t="4726"/>
                    <a:stretch>
                      <a:fillRect/>
                    </a:stretch>
                  </pic:blipFill>
                  <pic:spPr>
                    <a:xfrm>
                      <a:off x="0" y="0"/>
                      <a:ext cx="5490210" cy="3008630"/>
                    </a:xfrm>
                    <a:prstGeom prst="rect">
                      <a:avLst/>
                    </a:prstGeom>
                  </pic:spPr>
                </pic:pic>
              </a:graphicData>
            </a:graphic>
          </wp:inline>
        </w:drawing>
      </w:r>
    </w:p>
    <w:p w14:paraId="5F9AFE1D">
      <w:pPr>
        <w:pStyle w:val="15"/>
        <w:jc w:val="center"/>
        <w:rPr>
          <w:rFonts w:hint="default" w:eastAsia="宋体"/>
          <w:sz w:val="22"/>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12</w:t>
      </w:r>
      <w:r>
        <w:rPr>
          <w:rFonts w:ascii="Times New Roman" w:hAnsi="Times New Roman" w:eastAsia="SimSun"/>
          <w:b w:val="0"/>
          <w:sz w:val="21"/>
        </w:rPr>
        <w:fldChar w:fldCharType="end"/>
      </w:r>
      <w:bookmarkStart w:id="40" w:name="_Toc12337"/>
      <w:r>
        <w:rPr>
          <w:rFonts w:hint="eastAsia" w:ascii="Times New Roman" w:hAnsi="Times New Roman" w:eastAsia="SimSun"/>
          <w:b w:val="0"/>
          <w:sz w:val="21"/>
          <w:lang w:val="en-US" w:eastAsia="zh-CN"/>
        </w:rPr>
        <w:t xml:space="preserve"> 西部各省碳排放效率年际变化图</w:t>
      </w:r>
      <w:bookmarkEnd w:id="40"/>
    </w:p>
    <w:p w14:paraId="0C24C9F7">
      <w:pPr>
        <w:jc w:val="center"/>
        <w:rPr>
          <w:sz w:val="22"/>
          <w:lang w:eastAsia="zh-CN"/>
        </w:rPr>
      </w:pPr>
      <w:r>
        <w:rPr>
          <w:rFonts w:ascii="Times New Roman" w:hAnsi="Times New Roman" w:eastAsia="SimSun"/>
          <w:b w:val="0"/>
          <w:sz w:val="21"/>
          <w:lang w:eastAsia="zh-CN"/>
        </w:rPr>
        <w:drawing>
          <wp:inline distT="0" distB="0" distL="0" distR="0">
            <wp:extent cx="4693920" cy="2465070"/>
            <wp:effectExtent l="0" t="0" r="5080" b="11430"/>
            <wp:docPr id="1833309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9135" name="图片 8"/>
                    <pic:cNvPicPr>
                      <a:picLocks noChangeAspect="1"/>
                    </pic:cNvPicPr>
                  </pic:nvPicPr>
                  <pic:blipFill>
                    <a:blip r:embed="rId20"/>
                    <a:srcRect t="6313"/>
                    <a:stretch>
                      <a:fillRect/>
                    </a:stretch>
                  </pic:blipFill>
                  <pic:spPr>
                    <a:xfrm>
                      <a:off x="0" y="0"/>
                      <a:ext cx="4693920" cy="2465070"/>
                    </a:xfrm>
                    <a:prstGeom prst="rect">
                      <a:avLst/>
                    </a:prstGeom>
                  </pic:spPr>
                </pic:pic>
              </a:graphicData>
            </a:graphic>
          </wp:inline>
        </w:drawing>
      </w:r>
    </w:p>
    <w:p w14:paraId="7A64BCA7">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13</w:t>
      </w:r>
      <w:r>
        <w:rPr>
          <w:rFonts w:ascii="Times New Roman" w:hAnsi="Times New Roman" w:eastAsia="SimSun"/>
          <w:b w:val="0"/>
          <w:sz w:val="21"/>
        </w:rPr>
        <w:fldChar w:fldCharType="end"/>
      </w:r>
      <w:bookmarkStart w:id="41" w:name="_Toc15591"/>
      <w:r>
        <w:rPr>
          <w:rFonts w:hint="eastAsia" w:ascii="Times New Roman" w:hAnsi="Times New Roman" w:eastAsia="SimSun"/>
          <w:b w:val="0"/>
          <w:sz w:val="21"/>
          <w:lang w:eastAsia="zh-CN"/>
        </w:rPr>
        <w:t xml:space="preserve"> 青海与西部均值投入产出指标对比图</w:t>
      </w:r>
      <w:bookmarkEnd w:id="41"/>
    </w:p>
    <w:p w14:paraId="05A64E27">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进一步比较了青海与西部地区均值在劳动投入、资本投入、能源投入、期望产出和非期望产出方面的差异。可以看出，青海在人口、资本投入、能源投入和GDP等方面总体低于西部均值，但碳排放水平也相对更低，这表明其较高的碳排放效率并非来源于单一年份的异常波动，而更可能与投入产出结构及环境约束下的相对表现有关。结合前文结果可知，青海在多个年份中均保持较高效率水平，因此更适合被理解为稳定偏高的效率特征，而非简单的数据异常。</w:t>
      </w:r>
    </w:p>
    <w:p w14:paraId="5810EED4">
      <w:pPr>
        <w:spacing w:before="120" w:beforeLines="50"/>
        <w:jc w:val="center"/>
        <w:rPr>
          <w:sz w:val="22"/>
          <w:lang w:eastAsia="zh-CN"/>
        </w:rPr>
      </w:pPr>
      <w:r>
        <w:rPr>
          <w:rFonts w:ascii="Times New Roman" w:hAnsi="Times New Roman" w:eastAsia="SimSun"/>
          <w:b w:val="0"/>
          <w:sz w:val="21"/>
          <w:lang w:eastAsia="zh-CN"/>
        </w:rPr>
        <w:drawing>
          <wp:inline distT="0" distB="0" distL="114300" distR="114300">
            <wp:extent cx="4523740" cy="2689860"/>
            <wp:effectExtent l="0" t="0" r="10160" b="254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1"/>
                    <a:srcRect t="5343"/>
                    <a:stretch>
                      <a:fillRect/>
                    </a:stretch>
                  </pic:blipFill>
                  <pic:spPr>
                    <a:xfrm>
                      <a:off x="0" y="0"/>
                      <a:ext cx="4523740" cy="2689860"/>
                    </a:xfrm>
                    <a:prstGeom prst="rect">
                      <a:avLst/>
                    </a:prstGeom>
                  </pic:spPr>
                </pic:pic>
              </a:graphicData>
            </a:graphic>
          </wp:inline>
        </w:drawing>
      </w:r>
    </w:p>
    <w:p w14:paraId="1CA731DB">
      <w:pPr>
        <w:pStyle w:val="15"/>
        <w:spacing w:before="120" w:beforeLines="5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14</w:t>
      </w:r>
      <w:r>
        <w:rPr>
          <w:rFonts w:ascii="Times New Roman" w:hAnsi="Times New Roman" w:eastAsia="SimSun"/>
          <w:b w:val="0"/>
          <w:sz w:val="21"/>
        </w:rPr>
        <w:fldChar w:fldCharType="end"/>
      </w:r>
      <w:bookmarkStart w:id="42" w:name="_Toc1638"/>
      <w:r>
        <w:rPr>
          <w:rFonts w:hint="eastAsia" w:ascii="Times New Roman" w:hAnsi="Times New Roman" w:eastAsia="SimSun"/>
          <w:b w:val="0"/>
          <w:sz w:val="21"/>
          <w:lang w:eastAsia="zh-CN"/>
        </w:rPr>
        <w:t xml:space="preserve"> 不同区域碳排放效率分布箱线图</w:t>
      </w:r>
      <w:bookmarkEnd w:id="42"/>
    </w:p>
    <w:p w14:paraId="5530552E">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表明，不同区域碳排放效率的分布特征存在明显差异。整体上，东部地区的碳排放效率水平最高，其中位数明显高于中部、西部和东北地区，同时箱体和上下须跨度也最大，说明东部内部省份之间差异更为显著，既存在较高效率地区，也存在一定程度的分化。中部地区效率总体处于较低水平，分布相对集中，区域内部波动幅度有限。西部地区中位数同样偏低，但上端离群点较为突出，说明西部内部存在少数效率水平明显高于区域平均的省份，区域内部差异大于中部和东北。东北地区中位数整体不高，且箱体最窄、波动幅度最小，表明其内部效率分布相对更为集中。总体来看，区域差异不仅表现为东部整体高于其他地区，也表现为不同区域内部离散程度和分布形态并不一致。</w:t>
      </w:r>
    </w:p>
    <w:p w14:paraId="3A40AF83">
      <w:pPr>
        <w:jc w:val="both"/>
        <w:rPr>
          <w:sz w:val="22"/>
          <w:lang w:eastAsia="zh-CN"/>
        </w:rPr>
      </w:pPr>
    </w:p>
    <w:p w14:paraId="64E262CE">
      <w:pPr>
        <w:pStyle w:val="4"/>
        <w:jc w:val="both"/>
        <w:rPr>
          <w:rFonts w:ascii="楷体" w:hAnsi="楷体"/>
          <w:color w:val="auto"/>
          <w:lang w:eastAsia="zh-CN"/>
        </w:rPr>
      </w:pPr>
      <w:bookmarkStart w:id="43" w:name="_Toc8721"/>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二</w:t>
      </w:r>
      <w:r>
        <w:rPr>
          <w:rFonts w:ascii="Times New Roman" w:hAnsi="Times New Roman" w:eastAsia="SimSun"/>
          <w:b w:val="0"/>
          <w:color w:val="auto"/>
          <w:sz w:val="21"/>
          <w:lang w:eastAsia="zh-CN"/>
        </w:rPr>
        <w:t>）动态演进特征分析</w:t>
      </w:r>
      <w:bookmarkEnd w:id="43"/>
    </w:p>
    <w:p w14:paraId="5BF5731E">
      <w:pPr>
        <w:spacing w:after="0" w:line="480" w:lineRule="exact"/>
        <w:ind w:firstLine="480" w:firstLineChars="200"/>
        <w:jc w:val="both"/>
        <w:rPr>
          <w:rFonts w:ascii="宋体" w:hAnsi="宋体"/>
          <w:lang w:eastAsia="zh-CN"/>
        </w:rPr>
      </w:pPr>
      <w:r>
        <w:rPr>
          <w:rStyle w:val="143"/>
          <w:rFonts w:hint="eastAsia" w:ascii="Times New Roman" w:hAnsi="Times New Roman" w:eastAsia="SimSun"/>
          <w:b w:val="0"/>
          <w:sz w:val="21"/>
          <w:szCs w:val="22"/>
          <w:lang w:eastAsia="zh-CN"/>
        </w:rPr>
        <w:t>由 Malmquist 指数测算结果可知，研究期内我国省域绿色全要素生产率指数均值为 1.0637，大于 1，表明总体生产率呈上升趋势。进一步从分解结果看，技术效率变化指数均值为 0.9871，技术进步指数均值为 1.0895。其中，技术进步指数显著大于 1，而技术效率变化指数略低于 1，说明研究期内省域绿色全要素生产率的提升主要由技术进步推动，而技术效率改善的贡献相对有限。换言之，生产率增长更多体现为生产前沿的外移，而非决策单元向前沿面的效率追赶。</w:t>
      </w:r>
    </w:p>
    <w:p w14:paraId="724E308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pPr>
        <w:spacing w:after="0" w:line="480" w:lineRule="exact"/>
        <w:ind w:firstLine="480" w:firstLineChars="200"/>
        <w:jc w:val="center"/>
      </w:pPr>
      <w:r>
        <w:rPr>
          <w:rFonts w:ascii="Times New Roman" w:hAnsi="Times New Roman" w:eastAsia="SimSun"/>
          <w:b w:val="0"/>
          <w:sz w:val="21"/>
        </w:rPr>
        <w:t xml:space="preserve">表 </w:t>
      </w:r>
      <w:r>
        <w:rPr>
          <w:rFonts w:ascii="Times New Roman" w:hAnsi="Times New Roman" w:eastAsia="SimSun"/>
          <w:b w:val="0"/>
          <w:sz w:val="21"/>
        </w:rPr>
        <w:fldChar w:fldCharType="begin"/>
      </w:r>
      <w:r>
        <w:rPr>
          <w:rFonts w:ascii="Times New Roman" w:hAnsi="Times New Roman" w:eastAsia="SimSun"/>
          <w:b w:val="0"/>
          <w:sz w:val="21"/>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rPr>
        <w:t>6</w:t>
      </w:r>
      <w:r>
        <w:rPr>
          <w:rFonts w:ascii="Times New Roman" w:hAnsi="Times New Roman" w:eastAsia="SimSun"/>
          <w:b w:val="0"/>
          <w:sz w:val="21"/>
        </w:rPr>
        <w:fldChar w:fldCharType="end"/>
      </w:r>
      <w:bookmarkStart w:id="44" w:name="_Toc5255"/>
      <w:r>
        <w:rPr>
          <w:rFonts w:hint="eastAsia" w:ascii="Times New Roman" w:hAnsi="Times New Roman" w:eastAsia="SimSun"/>
          <w:b w:val="0"/>
          <w:sz w:val="21"/>
          <w:lang w:eastAsia="zh-CN"/>
        </w:rPr>
        <w:t xml:space="preserve"> </w:t>
      </w:r>
      <w:r>
        <w:rPr>
          <w:rFonts w:ascii="Times New Roman" w:hAnsi="Times New Roman" w:eastAsia="SimSun"/>
          <w:b w:val="0"/>
          <w:sz w:val="21"/>
        </w:rPr>
        <w:t>Malmquist 指数年度均值</w:t>
      </w:r>
      <w:bookmarkEnd w:id="44"/>
    </w:p>
    <w:tbl>
      <w:tblPr>
        <w:tblStyle w:val="39"/>
        <w:tblW w:w="4998" w:type="pct"/>
        <w:tblInd w:w="0" w:type="dxa"/>
        <w:tblLayout w:type="autofit"/>
        <w:tblCellMar>
          <w:top w:w="17" w:type="dxa"/>
          <w:left w:w="17" w:type="dxa"/>
          <w:bottom w:w="17" w:type="dxa"/>
          <w:right w:w="17" w:type="dxa"/>
        </w:tblCellMar>
      </w:tblPr>
      <w:tblGrid>
        <w:gridCol w:w="2852"/>
        <w:gridCol w:w="1486"/>
        <w:gridCol w:w="2097"/>
        <w:gridCol w:w="2242"/>
      </w:tblGrid>
      <w:tr w14:paraId="27D89A0B">
        <w:tblPrEx>
          <w:tblCellMar>
            <w:top w:w="17" w:type="dxa"/>
            <w:left w:w="17" w:type="dxa"/>
            <w:bottom w:w="17" w:type="dxa"/>
            <w:right w:w="17" w:type="dxa"/>
          </w:tblCellMar>
        </w:tblPrEx>
        <w:trPr>
          <w:trHeight w:val="90" w:hRule="atLeast"/>
          <w:tblHeader/>
        </w:trPr>
        <w:tc>
          <w:tcPr>
            <w:tcW w:w="1643" w:type="pct"/>
            <w:tcBorders>
              <w:top w:val="single" w:color="000000" w:sz="12" w:space="0"/>
              <w:bottom w:val="single" w:color="000000" w:sz="4" w:space="0"/>
              <w:tl2br w:val="nil"/>
            </w:tcBorders>
            <w:shd w:val="clear" w:color="auto" w:fill="FFFFFF"/>
            <w:vAlign w:val="center"/>
          </w:tcPr>
          <w:p w14:paraId="1F39A8EE">
            <w:pPr>
              <w:jc w:val="center"/>
              <w:rPr>
                <w:color w:val="000000"/>
                <w:lang w:eastAsia="zh-CN"/>
              </w:rPr>
            </w:pPr>
            <w:r>
              <w:rPr>
                <w:rFonts w:hint="eastAsia"/>
                <w:color w:val="000000"/>
                <w:lang w:eastAsia="zh-CN"/>
              </w:rPr>
              <w:t>时期</w:t>
            </w:r>
          </w:p>
        </w:tc>
        <w:tc>
          <w:tcPr>
            <w:tcW w:w="856" w:type="pct"/>
            <w:tcBorders>
              <w:top w:val="single" w:color="000000" w:sz="12" w:space="0"/>
              <w:bottom w:val="single" w:color="000000" w:sz="4" w:space="0"/>
            </w:tcBorders>
            <w:shd w:val="clear" w:color="auto" w:fill="FFFFFF"/>
            <w:vAlign w:val="center"/>
          </w:tcPr>
          <w:p w14:paraId="02126F75">
            <w:pPr>
              <w:jc w:val="center"/>
              <w:rPr>
                <w:color w:val="000000"/>
                <w:lang w:eastAsia="zh-CN"/>
              </w:rPr>
            </w:pPr>
            <w:r>
              <w:rPr>
                <w:rFonts w:hint="eastAsia"/>
                <w:color w:val="000000"/>
                <w:lang w:eastAsia="zh-CN"/>
              </w:rPr>
              <w:t>GM（tfpch）</w:t>
            </w:r>
          </w:p>
        </w:tc>
        <w:tc>
          <w:tcPr>
            <w:tcW w:w="1208" w:type="pct"/>
            <w:tcBorders>
              <w:top w:val="single" w:color="000000" w:sz="12" w:space="0"/>
              <w:bottom w:val="single" w:color="000000" w:sz="4" w:space="0"/>
            </w:tcBorders>
            <w:shd w:val="clear" w:color="auto" w:fill="FFFFFF"/>
            <w:vAlign w:val="center"/>
          </w:tcPr>
          <w:p w14:paraId="184A8970">
            <w:pPr>
              <w:jc w:val="center"/>
              <w:rPr>
                <w:color w:val="000000"/>
                <w:lang w:eastAsia="zh-CN"/>
              </w:rPr>
            </w:pPr>
            <w:r>
              <w:rPr>
                <w:rFonts w:hint="eastAsia"/>
                <w:color w:val="000000"/>
                <w:lang w:eastAsia="zh-CN"/>
              </w:rPr>
              <w:t>效率变化（effch）</w:t>
            </w:r>
          </w:p>
        </w:tc>
        <w:tc>
          <w:tcPr>
            <w:tcW w:w="1291" w:type="pct"/>
            <w:tcBorders>
              <w:top w:val="single" w:color="000000" w:sz="12" w:space="0"/>
              <w:bottom w:val="single" w:color="000000" w:sz="4" w:space="0"/>
            </w:tcBorders>
            <w:shd w:val="clear" w:color="auto" w:fill="FFFFFF"/>
            <w:vAlign w:val="center"/>
          </w:tcPr>
          <w:p w14:paraId="7E874E6D">
            <w:pPr>
              <w:jc w:val="center"/>
              <w:rPr>
                <w:color w:val="000000"/>
                <w:lang w:eastAsia="zh-CN"/>
              </w:rPr>
            </w:pPr>
            <w:r>
              <w:rPr>
                <w:rFonts w:hint="eastAsia"/>
                <w:color w:val="000000"/>
                <w:lang w:eastAsia="zh-CN"/>
              </w:rPr>
              <w:t>技术变化（techch）</w:t>
            </w:r>
          </w:p>
        </w:tc>
      </w:tr>
      <w:tr w14:paraId="38094BB4">
        <w:tblPrEx>
          <w:tblCellMar>
            <w:top w:w="17" w:type="dxa"/>
            <w:left w:w="17" w:type="dxa"/>
            <w:bottom w:w="17" w:type="dxa"/>
            <w:right w:w="17" w:type="dxa"/>
          </w:tblCellMar>
        </w:tblPrEx>
        <w:trPr>
          <w:trHeight w:val="227" w:hRule="atLeast"/>
        </w:trPr>
        <w:tc>
          <w:tcPr>
            <w:tcW w:w="1643" w:type="pct"/>
            <w:tcBorders>
              <w:top w:val="single" w:color="000000" w:sz="4" w:space="0"/>
            </w:tcBorders>
            <w:shd w:val="clear" w:color="auto" w:fill="FFFFFF"/>
            <w:vAlign w:val="center"/>
          </w:tcPr>
          <w:p w14:paraId="3B9A67F2">
            <w:pPr>
              <w:jc w:val="center"/>
              <w:rPr>
                <w:color w:val="000000"/>
                <w:lang w:eastAsia="zh-CN"/>
              </w:rPr>
            </w:pPr>
            <w:r>
              <w:rPr>
                <w:rFonts w:hint="eastAsia"/>
                <w:color w:val="000000"/>
                <w:lang w:eastAsia="zh-CN"/>
              </w:rPr>
              <w:t>2015–2016</w:t>
            </w:r>
          </w:p>
        </w:tc>
        <w:tc>
          <w:tcPr>
            <w:tcW w:w="856" w:type="pct"/>
            <w:tcBorders>
              <w:top w:val="single" w:color="000000" w:sz="4" w:space="0"/>
            </w:tcBorders>
            <w:shd w:val="clear" w:color="auto" w:fill="FFFFFF"/>
            <w:vAlign w:val="center"/>
          </w:tcPr>
          <w:p w14:paraId="2D92817D">
            <w:pPr>
              <w:jc w:val="center"/>
              <w:rPr>
                <w:color w:val="000000"/>
                <w:lang w:eastAsia="zh-CN"/>
              </w:rPr>
            </w:pPr>
            <w:r>
              <w:rPr>
                <w:rFonts w:hint="eastAsia"/>
                <w:color w:val="000000"/>
                <w:lang w:eastAsia="zh-CN"/>
              </w:rPr>
              <w:t>0.9812</w:t>
            </w:r>
          </w:p>
        </w:tc>
        <w:tc>
          <w:tcPr>
            <w:tcW w:w="1208" w:type="pct"/>
            <w:tcBorders>
              <w:top w:val="single" w:color="000000" w:sz="4" w:space="0"/>
            </w:tcBorders>
            <w:shd w:val="clear" w:color="auto" w:fill="FFFFFF"/>
            <w:vAlign w:val="center"/>
          </w:tcPr>
          <w:p w14:paraId="687E5254">
            <w:pPr>
              <w:jc w:val="center"/>
              <w:rPr>
                <w:color w:val="000000"/>
                <w:lang w:eastAsia="zh-CN"/>
              </w:rPr>
            </w:pPr>
            <w:r>
              <w:rPr>
                <w:rFonts w:hint="eastAsia"/>
                <w:color w:val="000000"/>
                <w:lang w:eastAsia="zh-CN"/>
              </w:rPr>
              <w:t>1.0404</w:t>
            </w:r>
          </w:p>
        </w:tc>
        <w:tc>
          <w:tcPr>
            <w:tcW w:w="1291" w:type="pct"/>
            <w:tcBorders>
              <w:top w:val="single" w:color="000000" w:sz="4" w:space="0"/>
            </w:tcBorders>
            <w:shd w:val="clear" w:color="auto" w:fill="FFFFFF"/>
            <w:vAlign w:val="center"/>
          </w:tcPr>
          <w:p w14:paraId="51294A04">
            <w:pPr>
              <w:jc w:val="center"/>
              <w:rPr>
                <w:color w:val="000000"/>
                <w:lang w:eastAsia="zh-CN"/>
              </w:rPr>
            </w:pPr>
            <w:r>
              <w:rPr>
                <w:rFonts w:hint="eastAsia"/>
                <w:color w:val="000000"/>
                <w:lang w:eastAsia="zh-CN"/>
              </w:rPr>
              <w:t>0.9698</w:t>
            </w:r>
          </w:p>
        </w:tc>
      </w:tr>
      <w:tr w14:paraId="697B8B69">
        <w:tblPrEx>
          <w:tblCellMar>
            <w:top w:w="17" w:type="dxa"/>
            <w:left w:w="17" w:type="dxa"/>
            <w:bottom w:w="17" w:type="dxa"/>
            <w:right w:w="17" w:type="dxa"/>
          </w:tblCellMar>
        </w:tblPrEx>
        <w:trPr>
          <w:trHeight w:val="227" w:hRule="atLeast"/>
        </w:trPr>
        <w:tc>
          <w:tcPr>
            <w:tcW w:w="1643" w:type="pct"/>
            <w:shd w:val="clear" w:color="auto" w:fill="FFFFFF"/>
            <w:vAlign w:val="center"/>
          </w:tcPr>
          <w:p w14:paraId="57AA0078">
            <w:pPr>
              <w:jc w:val="center"/>
              <w:rPr>
                <w:color w:val="000000"/>
                <w:lang w:eastAsia="zh-CN"/>
              </w:rPr>
            </w:pPr>
            <w:r>
              <w:rPr>
                <w:rFonts w:hint="eastAsia"/>
                <w:color w:val="000000"/>
                <w:lang w:eastAsia="zh-CN"/>
              </w:rPr>
              <w:t>2016–2017</w:t>
            </w:r>
          </w:p>
        </w:tc>
        <w:tc>
          <w:tcPr>
            <w:tcW w:w="856" w:type="pct"/>
            <w:shd w:val="clear" w:color="auto" w:fill="FFFFFF"/>
            <w:vAlign w:val="center"/>
          </w:tcPr>
          <w:p w14:paraId="2FE0F1C2">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pPr>
              <w:jc w:val="center"/>
              <w:rPr>
                <w:color w:val="000000"/>
                <w:lang w:eastAsia="zh-CN"/>
              </w:rPr>
            </w:pPr>
            <w:r>
              <w:rPr>
                <w:rFonts w:hint="eastAsia"/>
                <w:color w:val="000000"/>
                <w:lang w:eastAsia="zh-CN"/>
              </w:rPr>
              <w:t>1.0558</w:t>
            </w:r>
          </w:p>
        </w:tc>
      </w:tr>
      <w:tr w14:paraId="5C4BD6AE">
        <w:tblPrEx>
          <w:tblCellMar>
            <w:top w:w="17" w:type="dxa"/>
            <w:left w:w="17" w:type="dxa"/>
            <w:bottom w:w="17" w:type="dxa"/>
            <w:right w:w="17" w:type="dxa"/>
          </w:tblCellMar>
        </w:tblPrEx>
        <w:trPr>
          <w:trHeight w:val="227" w:hRule="atLeast"/>
        </w:trPr>
        <w:tc>
          <w:tcPr>
            <w:tcW w:w="1643" w:type="pct"/>
            <w:shd w:val="clear" w:color="auto" w:fill="FFFFFF"/>
            <w:vAlign w:val="center"/>
          </w:tcPr>
          <w:p w14:paraId="43A038CD">
            <w:pPr>
              <w:jc w:val="center"/>
              <w:rPr>
                <w:color w:val="000000"/>
                <w:lang w:eastAsia="zh-CN"/>
              </w:rPr>
            </w:pPr>
            <w:r>
              <w:rPr>
                <w:rFonts w:hint="eastAsia"/>
                <w:color w:val="000000"/>
                <w:lang w:eastAsia="zh-CN"/>
              </w:rPr>
              <w:t>2017–2018</w:t>
            </w:r>
          </w:p>
        </w:tc>
        <w:tc>
          <w:tcPr>
            <w:tcW w:w="856" w:type="pct"/>
            <w:shd w:val="clear" w:color="auto" w:fill="FFFFFF"/>
            <w:vAlign w:val="center"/>
          </w:tcPr>
          <w:p w14:paraId="74AFDB66">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pPr>
              <w:jc w:val="center"/>
              <w:rPr>
                <w:color w:val="000000"/>
                <w:lang w:eastAsia="zh-CN"/>
              </w:rPr>
            </w:pPr>
            <w:r>
              <w:rPr>
                <w:rFonts w:hint="eastAsia"/>
                <w:color w:val="000000"/>
                <w:lang w:eastAsia="zh-CN"/>
              </w:rPr>
              <w:t>1.0849</w:t>
            </w:r>
          </w:p>
        </w:tc>
      </w:tr>
      <w:tr w14:paraId="7C506DDC">
        <w:tblPrEx>
          <w:tblCellMar>
            <w:top w:w="17" w:type="dxa"/>
            <w:left w:w="17" w:type="dxa"/>
            <w:bottom w:w="17" w:type="dxa"/>
            <w:right w:w="17" w:type="dxa"/>
          </w:tblCellMar>
        </w:tblPrEx>
        <w:trPr>
          <w:trHeight w:val="227" w:hRule="atLeast"/>
        </w:trPr>
        <w:tc>
          <w:tcPr>
            <w:tcW w:w="1643" w:type="pct"/>
            <w:shd w:val="clear" w:color="auto" w:fill="FFFFFF"/>
            <w:vAlign w:val="center"/>
          </w:tcPr>
          <w:p w14:paraId="6477C99E">
            <w:pPr>
              <w:jc w:val="center"/>
              <w:rPr>
                <w:color w:val="000000"/>
                <w:lang w:eastAsia="zh-CN"/>
              </w:rPr>
            </w:pPr>
            <w:r>
              <w:rPr>
                <w:rFonts w:hint="eastAsia"/>
                <w:color w:val="000000"/>
                <w:lang w:eastAsia="zh-CN"/>
              </w:rPr>
              <w:t>2018–2019</w:t>
            </w:r>
          </w:p>
        </w:tc>
        <w:tc>
          <w:tcPr>
            <w:tcW w:w="856" w:type="pct"/>
            <w:shd w:val="clear" w:color="auto" w:fill="FFFFFF"/>
            <w:vAlign w:val="center"/>
          </w:tcPr>
          <w:p w14:paraId="627EAEA1">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pPr>
              <w:jc w:val="center"/>
              <w:rPr>
                <w:color w:val="000000"/>
                <w:lang w:eastAsia="zh-CN"/>
              </w:rPr>
            </w:pPr>
            <w:r>
              <w:rPr>
                <w:rFonts w:hint="eastAsia"/>
                <w:color w:val="000000"/>
                <w:lang w:eastAsia="zh-CN"/>
              </w:rPr>
              <w:t>1.0602</w:t>
            </w:r>
          </w:p>
        </w:tc>
      </w:tr>
      <w:tr w14:paraId="7F521465">
        <w:tblPrEx>
          <w:tblCellMar>
            <w:top w:w="17" w:type="dxa"/>
            <w:left w:w="17" w:type="dxa"/>
            <w:bottom w:w="17" w:type="dxa"/>
            <w:right w:w="17" w:type="dxa"/>
          </w:tblCellMar>
        </w:tblPrEx>
        <w:trPr>
          <w:trHeight w:val="227" w:hRule="atLeast"/>
        </w:trPr>
        <w:tc>
          <w:tcPr>
            <w:tcW w:w="1643" w:type="pct"/>
            <w:shd w:val="clear" w:color="auto" w:fill="FFFFFF"/>
            <w:vAlign w:val="center"/>
          </w:tcPr>
          <w:p w14:paraId="34937DDE">
            <w:pPr>
              <w:jc w:val="center"/>
              <w:rPr>
                <w:color w:val="000000"/>
                <w:lang w:eastAsia="zh-CN"/>
              </w:rPr>
            </w:pPr>
            <w:r>
              <w:rPr>
                <w:rFonts w:hint="eastAsia"/>
                <w:color w:val="000000"/>
                <w:lang w:eastAsia="zh-CN"/>
              </w:rPr>
              <w:t>2019–2020</w:t>
            </w:r>
          </w:p>
        </w:tc>
        <w:tc>
          <w:tcPr>
            <w:tcW w:w="856" w:type="pct"/>
            <w:shd w:val="clear" w:color="auto" w:fill="FFFFFF"/>
            <w:vAlign w:val="center"/>
          </w:tcPr>
          <w:p w14:paraId="19508BB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pPr>
              <w:jc w:val="center"/>
              <w:rPr>
                <w:color w:val="000000"/>
                <w:lang w:eastAsia="zh-CN"/>
              </w:rPr>
            </w:pPr>
            <w:r>
              <w:rPr>
                <w:rFonts w:hint="eastAsia"/>
                <w:color w:val="000000"/>
                <w:lang w:eastAsia="zh-CN"/>
              </w:rPr>
              <w:t>1.0108</w:t>
            </w:r>
          </w:p>
        </w:tc>
      </w:tr>
      <w:tr w14:paraId="611506FE">
        <w:tblPrEx>
          <w:tblCellMar>
            <w:top w:w="17" w:type="dxa"/>
            <w:left w:w="17" w:type="dxa"/>
            <w:bottom w:w="17" w:type="dxa"/>
            <w:right w:w="17" w:type="dxa"/>
          </w:tblCellMar>
        </w:tblPrEx>
        <w:trPr>
          <w:trHeight w:val="227" w:hRule="atLeast"/>
        </w:trPr>
        <w:tc>
          <w:tcPr>
            <w:tcW w:w="1643" w:type="pct"/>
            <w:shd w:val="clear" w:color="auto" w:fill="FFFFFF"/>
            <w:vAlign w:val="center"/>
          </w:tcPr>
          <w:p w14:paraId="0AE5536A">
            <w:pPr>
              <w:jc w:val="center"/>
              <w:rPr>
                <w:color w:val="000000"/>
                <w:lang w:eastAsia="zh-CN"/>
              </w:rPr>
            </w:pPr>
            <w:r>
              <w:rPr>
                <w:rFonts w:hint="eastAsia"/>
                <w:color w:val="000000"/>
                <w:lang w:eastAsia="zh-CN"/>
              </w:rPr>
              <w:t>2020–2021</w:t>
            </w:r>
          </w:p>
        </w:tc>
        <w:tc>
          <w:tcPr>
            <w:tcW w:w="856" w:type="pct"/>
            <w:shd w:val="clear" w:color="auto" w:fill="FFFFFF"/>
            <w:vAlign w:val="center"/>
          </w:tcPr>
          <w:p w14:paraId="1ABDD291">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pPr>
              <w:jc w:val="center"/>
              <w:rPr>
                <w:color w:val="000000"/>
                <w:lang w:eastAsia="zh-CN"/>
              </w:rPr>
            </w:pPr>
            <w:r>
              <w:rPr>
                <w:rFonts w:hint="eastAsia"/>
                <w:color w:val="000000"/>
                <w:lang w:eastAsia="zh-CN"/>
              </w:rPr>
              <w:t>1.0150</w:t>
            </w:r>
          </w:p>
        </w:tc>
      </w:tr>
      <w:tr w14:paraId="2D9E71A2">
        <w:tblPrEx>
          <w:tblCellMar>
            <w:top w:w="17" w:type="dxa"/>
            <w:left w:w="17" w:type="dxa"/>
            <w:bottom w:w="17" w:type="dxa"/>
            <w:right w:w="17" w:type="dxa"/>
          </w:tblCellMar>
        </w:tblPrEx>
        <w:trPr>
          <w:trHeight w:val="227" w:hRule="atLeast"/>
        </w:trPr>
        <w:tc>
          <w:tcPr>
            <w:tcW w:w="1643" w:type="pct"/>
            <w:shd w:val="clear" w:color="auto" w:fill="FFFFFF"/>
            <w:vAlign w:val="center"/>
          </w:tcPr>
          <w:p w14:paraId="7EBA2692">
            <w:pPr>
              <w:jc w:val="center"/>
              <w:rPr>
                <w:color w:val="000000"/>
                <w:lang w:eastAsia="zh-CN"/>
              </w:rPr>
            </w:pPr>
            <w:r>
              <w:rPr>
                <w:rFonts w:hint="eastAsia"/>
                <w:color w:val="000000"/>
                <w:lang w:eastAsia="zh-CN"/>
              </w:rPr>
              <w:t>2021–2022</w:t>
            </w:r>
          </w:p>
        </w:tc>
        <w:tc>
          <w:tcPr>
            <w:tcW w:w="856" w:type="pct"/>
            <w:shd w:val="clear" w:color="auto" w:fill="FFFFFF"/>
            <w:vAlign w:val="center"/>
          </w:tcPr>
          <w:p w14:paraId="4666A93F">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pPr>
              <w:jc w:val="center"/>
              <w:rPr>
                <w:color w:val="000000"/>
                <w:lang w:eastAsia="zh-CN"/>
              </w:rPr>
            </w:pPr>
            <w:r>
              <w:rPr>
                <w:rFonts w:hint="eastAsia"/>
                <w:color w:val="000000"/>
                <w:lang w:eastAsia="zh-CN"/>
              </w:rPr>
              <w:t>1.0569</w:t>
            </w:r>
          </w:p>
        </w:tc>
      </w:tr>
      <w:tr w14:paraId="0C7E84B3">
        <w:tblPrEx>
          <w:tblCellMar>
            <w:top w:w="17" w:type="dxa"/>
            <w:left w:w="17" w:type="dxa"/>
            <w:bottom w:w="17" w:type="dxa"/>
            <w:right w:w="17" w:type="dxa"/>
          </w:tblCellMar>
        </w:tblPrEx>
        <w:trPr>
          <w:trHeight w:val="227" w:hRule="atLeast"/>
        </w:trPr>
        <w:tc>
          <w:tcPr>
            <w:tcW w:w="1643" w:type="pct"/>
            <w:tcBorders>
              <w:bottom w:val="single" w:color="000000" w:sz="12" w:space="0"/>
            </w:tcBorders>
            <w:shd w:val="clear" w:color="auto" w:fill="FFFFFF"/>
            <w:vAlign w:val="center"/>
          </w:tcPr>
          <w:p w14:paraId="327A14D1">
            <w:pPr>
              <w:jc w:val="center"/>
              <w:rPr>
                <w:color w:val="000000"/>
                <w:lang w:eastAsia="zh-CN"/>
              </w:rPr>
            </w:pPr>
            <w:r>
              <w:rPr>
                <w:rFonts w:hint="eastAsia"/>
                <w:color w:val="000000"/>
                <w:lang w:eastAsia="zh-CN"/>
              </w:rPr>
              <w:t>截面均值（各省×各期）</w:t>
            </w:r>
          </w:p>
        </w:tc>
        <w:tc>
          <w:tcPr>
            <w:tcW w:w="856" w:type="pct"/>
            <w:tcBorders>
              <w:bottom w:val="single" w:color="000000" w:sz="12" w:space="0"/>
            </w:tcBorders>
            <w:shd w:val="clear" w:color="auto" w:fill="FFFFFF"/>
            <w:vAlign w:val="center"/>
          </w:tcPr>
          <w:p w14:paraId="107D5BE9">
            <w:pPr>
              <w:jc w:val="center"/>
              <w:rPr>
                <w:color w:val="000000"/>
                <w:lang w:eastAsia="zh-CN"/>
              </w:rPr>
            </w:pPr>
            <w:r>
              <w:rPr>
                <w:rFonts w:hint="eastAsia"/>
                <w:color w:val="000000"/>
                <w:lang w:eastAsia="zh-CN"/>
              </w:rPr>
              <w:t>1.0221</w:t>
            </w:r>
          </w:p>
        </w:tc>
        <w:tc>
          <w:tcPr>
            <w:tcW w:w="1208" w:type="pct"/>
            <w:tcBorders>
              <w:bottom w:val="single" w:color="000000" w:sz="12" w:space="0"/>
            </w:tcBorders>
            <w:shd w:val="clear" w:color="auto" w:fill="FFFFFF"/>
            <w:vAlign w:val="center"/>
          </w:tcPr>
          <w:p w14:paraId="343BC626">
            <w:pPr>
              <w:jc w:val="center"/>
              <w:rPr>
                <w:color w:val="000000"/>
                <w:lang w:eastAsia="zh-CN"/>
              </w:rPr>
            </w:pPr>
            <w:r>
              <w:rPr>
                <w:rFonts w:hint="eastAsia"/>
                <w:color w:val="000000"/>
                <w:lang w:eastAsia="zh-CN"/>
              </w:rPr>
              <w:t>1.0009</w:t>
            </w:r>
          </w:p>
        </w:tc>
        <w:tc>
          <w:tcPr>
            <w:tcW w:w="1291" w:type="pct"/>
            <w:tcBorders>
              <w:bottom w:val="single" w:color="000000" w:sz="12" w:space="0"/>
            </w:tcBorders>
            <w:shd w:val="clear" w:color="auto" w:fill="FFFFFF"/>
            <w:vAlign w:val="center"/>
          </w:tcPr>
          <w:p w14:paraId="742D64BC">
            <w:pPr>
              <w:jc w:val="center"/>
              <w:rPr>
                <w:color w:val="000000"/>
                <w:lang w:eastAsia="zh-CN"/>
              </w:rPr>
            </w:pPr>
            <w:r>
              <w:rPr>
                <w:rFonts w:hint="eastAsia"/>
                <w:color w:val="000000"/>
                <w:lang w:eastAsia="zh-CN"/>
              </w:rPr>
              <w:t>1.0362</w:t>
            </w:r>
          </w:p>
        </w:tc>
      </w:tr>
    </w:tbl>
    <w:p w14:paraId="6CB57901">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5486400" cy="3141345"/>
            <wp:effectExtent l="0" t="0" r="0" b="8255"/>
            <wp:docPr id="14" name="图片 14" descr="15_FGNZ分解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_FGNZ分解趋势图"/>
                    <pic:cNvPicPr>
                      <a:picLocks noChangeAspect="1"/>
                    </pic:cNvPicPr>
                  </pic:nvPicPr>
                  <pic:blipFill>
                    <a:blip r:embed="rId22"/>
                    <a:stretch>
                      <a:fillRect/>
                    </a:stretch>
                  </pic:blipFill>
                  <pic:spPr>
                    <a:xfrm>
                      <a:off x="0" y="0"/>
                      <a:ext cx="5486400" cy="3141345"/>
                    </a:xfrm>
                    <a:prstGeom prst="rect">
                      <a:avLst/>
                    </a:prstGeom>
                  </pic:spPr>
                </pic:pic>
              </a:graphicData>
            </a:graphic>
          </wp:inline>
        </w:drawing>
      </w:r>
    </w:p>
    <w:p w14:paraId="08EFFB20">
      <w:pPr>
        <w:pStyle w:val="15"/>
        <w:spacing w:before="120" w:beforeLines="50"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15</w:t>
      </w:r>
      <w:r>
        <w:rPr>
          <w:rFonts w:ascii="Times New Roman" w:hAnsi="Times New Roman" w:eastAsia="SimSun"/>
          <w:b w:val="0"/>
          <w:sz w:val="21"/>
        </w:rPr>
        <w:fldChar w:fldCharType="end"/>
      </w:r>
      <w:bookmarkStart w:id="45" w:name="_Toc26175"/>
      <w:r>
        <w:rPr>
          <w:rFonts w:hint="eastAsia" w:ascii="Times New Roman" w:hAnsi="Times New Roman" w:eastAsia="SimSun"/>
          <w:b w:val="0"/>
          <w:sz w:val="21"/>
          <w:lang w:eastAsia="zh-CN"/>
        </w:rPr>
        <w:t xml:space="preserve"> Malmquist指数及其分解项年度趋势图</w:t>
      </w:r>
      <w:bookmarkEnd w:id="45"/>
    </w:p>
    <w:p w14:paraId="7FCFE3CD">
      <w:pPr>
        <w:pStyle w:val="4"/>
        <w:jc w:val="both"/>
        <w:rPr>
          <w:rFonts w:ascii="楷体" w:hAnsi="楷体"/>
          <w:color w:val="auto"/>
          <w:lang w:eastAsia="zh-CN"/>
        </w:rPr>
      </w:pPr>
      <w:bookmarkStart w:id="46" w:name="_Toc29636"/>
      <w:r>
        <w:rPr>
          <w:rFonts w:ascii="Times New Roman" w:hAnsi="Times New Roman" w:eastAsia="SimSun"/>
          <w:b w:val="0"/>
          <w:color w:val="auto"/>
          <w:sz w:val="21"/>
          <w:lang w:eastAsia="zh-CN"/>
        </w:rPr>
        <w:t>（</w:t>
      </w:r>
      <w:r>
        <w:rPr>
          <w:rFonts w:hint="eastAsia" w:ascii="Times New Roman" w:hAnsi="Times New Roman" w:eastAsia="SimSun"/>
          <w:b w:val="0"/>
          <w:color w:val="auto"/>
          <w:sz w:val="21"/>
          <w:lang w:val="en-US" w:eastAsia="zh-CN"/>
        </w:rPr>
        <w:t>三</w:t>
      </w:r>
      <w:r>
        <w:rPr>
          <w:rFonts w:ascii="Times New Roman" w:hAnsi="Times New Roman" w:eastAsia="SimSun"/>
          <w:b w:val="0"/>
          <w:color w:val="auto"/>
          <w:sz w:val="21"/>
          <w:lang w:eastAsia="zh-CN"/>
        </w:rPr>
        <w:t>）效率分解与成因讨论</w:t>
      </w:r>
      <w:bookmarkEnd w:id="46"/>
    </w:p>
    <w:p w14:paraId="65633990">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pPr>
        <w:spacing w:after="0" w:line="480" w:lineRule="exact"/>
        <w:ind w:firstLine="480" w:firstLineChars="200"/>
        <w:jc w:val="both"/>
        <w:rPr>
          <w:sz w:val="22"/>
          <w:lang w:eastAsia="zh-CN"/>
        </w:rPr>
      </w:pPr>
      <w:r>
        <w:rPr>
          <w:rFonts w:ascii="Times New Roman" w:hAnsi="Times New Roman" w:eastAsia="SimSun"/>
          <w:b w:val="0"/>
          <w:sz w:val="21"/>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但规模效率明显偏低，说明其在高强度经济活动下仍面临生产组织规模、要素配置结构和能源利用方式不够协调的问题。</w:t>
      </w:r>
    </w:p>
    <w:p w14:paraId="7A4C2E24">
      <w:pPr>
        <w:pStyle w:val="3"/>
        <w:jc w:val="both"/>
        <w:rPr>
          <w:color w:val="auto"/>
          <w:szCs w:val="30"/>
          <w:lang w:eastAsia="zh-CN"/>
        </w:rPr>
      </w:pPr>
      <w:bookmarkStart w:id="47" w:name="_Toc28897"/>
      <w:r>
        <w:rPr>
          <w:rFonts w:ascii="Times New Roman" w:hAnsi="Times New Roman" w:eastAsia="SimSun"/>
          <w:b w:val="0"/>
          <w:color w:val="auto"/>
          <w:sz w:val="21"/>
          <w:szCs w:val="30"/>
          <w:lang w:eastAsia="zh-CN"/>
        </w:rPr>
        <w:t>六、</w:t>
      </w:r>
      <w:r>
        <w:rPr>
          <w:rFonts w:hint="eastAsia" w:ascii="Times New Roman" w:hAnsi="Times New Roman" w:eastAsia="SimSun"/>
          <w:b w:val="0"/>
          <w:color w:val="auto"/>
          <w:sz w:val="21"/>
          <w:szCs w:val="30"/>
          <w:lang w:eastAsia="zh-CN"/>
        </w:rPr>
        <w:t>夜间灯光强度</w:t>
      </w:r>
      <w:r>
        <w:rPr>
          <w:rFonts w:ascii="Times New Roman" w:hAnsi="Times New Roman" w:eastAsia="SimSun"/>
          <w:b w:val="0"/>
          <w:color w:val="auto"/>
          <w:sz w:val="21"/>
          <w:szCs w:val="30"/>
          <w:lang w:eastAsia="zh-CN"/>
        </w:rPr>
        <w:t>对碳排放效率的影响</w:t>
      </w:r>
      <w:bookmarkEnd w:id="47"/>
    </w:p>
    <w:p w14:paraId="579316A2">
      <w:pPr>
        <w:pStyle w:val="4"/>
        <w:jc w:val="both"/>
        <w:rPr>
          <w:rFonts w:ascii="楷体" w:hAnsi="楷体"/>
          <w:color w:val="auto"/>
          <w:lang w:eastAsia="zh-CN"/>
        </w:rPr>
      </w:pPr>
      <w:bookmarkStart w:id="48" w:name="_Toc24790"/>
      <w:r>
        <w:rPr>
          <w:rFonts w:ascii="Times New Roman" w:hAnsi="Times New Roman" w:eastAsia="SimSun"/>
          <w:b w:val="0"/>
          <w:color w:val="auto"/>
          <w:sz w:val="21"/>
          <w:lang w:eastAsia="zh-CN"/>
        </w:rPr>
        <w:t>（一）基准模型设定与估计思路</w:t>
      </w:r>
      <w:bookmarkEnd w:id="48"/>
    </w:p>
    <w:p w14:paraId="441AA8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在进行基准回归估计前，本文对面板模型设定与误差结构进行了系统检验。具体而言，先后开展了 Pooled F 检验、Time Effects Wald 检验和 Hausman 检验，以判断应采用混合回归、随机效应还是双向固定效应模型；同时，结合 Pesaran CD 检验、Modified Wald 检验和 Wooldridge 检验识别截面相关、异方差和序列相关问题。检验结果表明，本文后续采用双向固定效应模型，并使用 Driscoll-Kraay 稳健标准误进行估计是合适的。除此之外，本文还对主要变量进行了面板单位根检验，以增强回归设定的规范性。相关统计结果置于附录。</w:t>
      </w:r>
    </w:p>
    <w:p w14:paraId="40D832E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前述超效率SBM和Malmquist指数主要回答“碳排放效率是多少、如何变化”的问题，但并不能解释“为什么不同地区存在差异”。因此，本文进一步构建面板回归模型，以碳排放效率为被解释变量，以</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对数项为核心解释变量，并引入产业结构、城镇化率、研发投入、对外开放和能源结构等控制变量，以尽可能减少遗漏变量偏误。</w:t>
      </w:r>
    </w:p>
    <w:p w14:paraId="77800153">
      <w:pPr>
        <w:pStyle w:val="4"/>
        <w:jc w:val="both"/>
        <w:rPr>
          <w:rFonts w:ascii="楷体" w:hAnsi="楷体"/>
          <w:color w:val="auto"/>
          <w:lang w:eastAsia="zh-CN"/>
        </w:rPr>
      </w:pPr>
      <w:bookmarkStart w:id="49" w:name="_Toc24900"/>
      <w:r>
        <w:rPr>
          <w:rFonts w:ascii="Times New Roman" w:hAnsi="Times New Roman" w:eastAsia="SimSun"/>
          <w:b w:val="0"/>
          <w:color w:val="auto"/>
          <w:sz w:val="21"/>
          <w:lang w:eastAsia="zh-CN"/>
        </w:rPr>
        <w:t>（二）影响因素分析</w:t>
      </w:r>
      <w:bookmarkEnd w:id="49"/>
    </w:p>
    <w:p w14:paraId="04BFB3CF">
      <w:pPr>
        <w:spacing w:after="0" w:line="480" w:lineRule="exact"/>
        <w:ind w:firstLine="480" w:firstLineChars="200"/>
        <w:jc w:val="both"/>
        <w:rPr>
          <w:rFonts w:ascii="宋体" w:hAnsi="宋体"/>
          <w:lang w:eastAsia="zh-CN"/>
        </w:rPr>
      </w:pPr>
      <w:r>
        <w:rPr>
          <w:rStyle w:val="143"/>
          <w:rFonts w:ascii="Times New Roman" w:hAnsi="Times New Roman" w:eastAsia="SimSun"/>
          <w:b w:val="0"/>
          <w:sz w:val="21"/>
          <w:szCs w:val="22"/>
          <w:lang w:eastAsia="zh-CN"/>
        </w:rPr>
        <w:t>结合修正后的基准回归结果可知，夜间灯光强度（NTL）的回归系数为 0.1725，并在 10% 显著性水平上呈现边际显著的正向影响，表明夜间灯光所反映的经济活跃程度、基础设施条件和要素集聚水平，可能在一定程度上能提升区域资源配置效率和绿色生产能力，进而推动区域碳排放效率提高。该结果说明，夜间灯光遥感数据作为区域发展活力的代理变量，对解释绿色发展差异具有一定的经验支持。</w:t>
      </w:r>
    </w:p>
    <w:p w14:paraId="4961B9FB">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w:t>
      </w:r>
      <w:r>
        <w:rPr>
          <w:rFonts w:hint="eastAsia" w:ascii="Times New Roman" w:hAnsi="Times New Roman" w:eastAsia="SimSun"/>
          <w:b w:val="0"/>
          <w:sz w:val="21"/>
          <w:lang w:eastAsia="zh-CN"/>
        </w:rPr>
        <w:t>。</w:t>
      </w:r>
    </w:p>
    <w:p w14:paraId="44425504">
      <w:pPr>
        <w:pStyle w:val="4"/>
        <w:jc w:val="both"/>
        <w:rPr>
          <w:rFonts w:ascii="楷体" w:hAnsi="楷体"/>
          <w:color w:val="auto"/>
          <w:lang w:eastAsia="zh-CN"/>
        </w:rPr>
      </w:pPr>
      <w:bookmarkStart w:id="50" w:name="_Toc7302"/>
      <w:r>
        <w:rPr>
          <w:rFonts w:ascii="Times New Roman" w:hAnsi="Times New Roman" w:eastAsia="SimSun"/>
          <w:b w:val="0"/>
          <w:color w:val="auto"/>
          <w:sz w:val="21"/>
          <w:lang w:eastAsia="zh-CN"/>
        </w:rPr>
        <w:t>（三）基准回归结果与可视化表达</w:t>
      </w:r>
      <w:bookmarkEnd w:id="50"/>
    </w:p>
    <w:p w14:paraId="3FC45292">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7</w:t>
      </w:r>
      <w:r>
        <w:rPr>
          <w:rFonts w:ascii="Times New Roman" w:hAnsi="Times New Roman" w:eastAsia="SimSun"/>
          <w:b w:val="0"/>
          <w:sz w:val="21"/>
        </w:rPr>
        <w:fldChar w:fldCharType="end"/>
      </w:r>
      <w:bookmarkStart w:id="51" w:name="_Toc13931"/>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双向固定效应基准回归结果</w:t>
      </w:r>
      <w:bookmarkEnd w:id="51"/>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68"/>
        <w:gridCol w:w="1786"/>
        <w:gridCol w:w="1769"/>
        <w:gridCol w:w="1769"/>
        <w:gridCol w:w="1770"/>
      </w:tblGrid>
      <w:tr w14:paraId="6A95F0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12" w:space="0"/>
              <w:bottom w:val="single" w:color="000000" w:sz="4" w:space="0"/>
              <w:tl2br w:val="nil"/>
            </w:tcBorders>
            <w:shd w:val="clear" w:color="auto" w:fill="FFFFFF"/>
          </w:tcPr>
          <w:p w14:paraId="69A075E4">
            <w:pPr>
              <w:spacing w:after="0"/>
              <w:jc w:val="both"/>
              <w:rPr>
                <w:rFonts w:ascii="宋体" w:hAnsi="宋体"/>
                <w:color w:val="000000"/>
                <w:szCs w:val="24"/>
              </w:rPr>
            </w:pPr>
            <w:r>
              <w:rPr>
                <w:rFonts w:ascii="宋体" w:hAnsi="宋体"/>
                <w:color w:val="000000"/>
                <w:szCs w:val="24"/>
              </w:rPr>
              <w:t>变量</w:t>
            </w:r>
          </w:p>
        </w:tc>
        <w:tc>
          <w:tcPr>
            <w:tcW w:w="1813" w:type="dxa"/>
            <w:tcBorders>
              <w:top w:val="single" w:color="000000" w:sz="12" w:space="0"/>
              <w:bottom w:val="single" w:color="000000" w:sz="4" w:space="0"/>
            </w:tcBorders>
            <w:shd w:val="clear" w:color="auto" w:fill="FFFFFF"/>
          </w:tcPr>
          <w:p w14:paraId="4BD79746">
            <w:pPr>
              <w:spacing w:after="0"/>
              <w:jc w:val="both"/>
              <w:rPr>
                <w:rFonts w:ascii="宋体" w:hAnsi="宋体"/>
                <w:color w:val="000000"/>
                <w:szCs w:val="24"/>
              </w:rPr>
            </w:pPr>
            <w:r>
              <w:rPr>
                <w:rFonts w:ascii="宋体" w:hAnsi="宋体"/>
                <w:color w:val="000000"/>
                <w:szCs w:val="24"/>
              </w:rPr>
              <w:t>系数</w:t>
            </w:r>
          </w:p>
        </w:tc>
        <w:tc>
          <w:tcPr>
            <w:tcW w:w="1813" w:type="dxa"/>
            <w:tcBorders>
              <w:top w:val="single" w:color="000000" w:sz="12" w:space="0"/>
              <w:bottom w:val="single" w:color="000000" w:sz="4" w:space="0"/>
            </w:tcBorders>
            <w:shd w:val="clear" w:color="auto" w:fill="FFFFFF"/>
          </w:tcPr>
          <w:p w14:paraId="28D34467">
            <w:pPr>
              <w:spacing w:after="0"/>
              <w:jc w:val="both"/>
              <w:rPr>
                <w:rFonts w:ascii="宋体" w:hAnsi="宋体"/>
                <w:color w:val="000000"/>
                <w:szCs w:val="24"/>
              </w:rPr>
            </w:pPr>
            <w:r>
              <w:rPr>
                <w:rFonts w:ascii="宋体" w:hAnsi="宋体"/>
                <w:color w:val="000000"/>
                <w:szCs w:val="24"/>
              </w:rPr>
              <w:t>标准误</w:t>
            </w:r>
          </w:p>
        </w:tc>
        <w:tc>
          <w:tcPr>
            <w:tcW w:w="1813" w:type="dxa"/>
            <w:tcBorders>
              <w:top w:val="single" w:color="000000" w:sz="12" w:space="0"/>
              <w:bottom w:val="single" w:color="000000" w:sz="4" w:space="0"/>
            </w:tcBorders>
            <w:shd w:val="clear" w:color="auto" w:fill="FFFFFF"/>
          </w:tcPr>
          <w:p w14:paraId="4BF3F371">
            <w:pPr>
              <w:spacing w:after="0"/>
              <w:jc w:val="both"/>
              <w:rPr>
                <w:rFonts w:ascii="宋体" w:hAnsi="宋体"/>
                <w:color w:val="000000"/>
                <w:szCs w:val="24"/>
              </w:rPr>
            </w:pPr>
            <w:r>
              <w:rPr>
                <w:rFonts w:ascii="宋体" w:hAnsi="宋体"/>
                <w:color w:val="000000"/>
                <w:szCs w:val="24"/>
              </w:rPr>
              <w:t>t值</w:t>
            </w:r>
          </w:p>
        </w:tc>
        <w:tc>
          <w:tcPr>
            <w:tcW w:w="1813" w:type="dxa"/>
            <w:tcBorders>
              <w:top w:val="single" w:color="000000" w:sz="12" w:space="0"/>
              <w:bottom w:val="single" w:color="000000" w:sz="4" w:space="0"/>
            </w:tcBorders>
            <w:shd w:val="clear" w:color="auto" w:fill="FFFFFF"/>
          </w:tcPr>
          <w:p w14:paraId="68CF0F97">
            <w:pPr>
              <w:spacing w:after="0"/>
              <w:jc w:val="both"/>
              <w:rPr>
                <w:rFonts w:ascii="宋体" w:hAnsi="宋体"/>
                <w:color w:val="000000"/>
                <w:szCs w:val="24"/>
              </w:rPr>
            </w:pPr>
            <w:r>
              <w:rPr>
                <w:rFonts w:ascii="宋体" w:hAnsi="宋体"/>
                <w:color w:val="000000"/>
                <w:szCs w:val="24"/>
              </w:rPr>
              <w:t>p值</w:t>
            </w:r>
          </w:p>
        </w:tc>
      </w:tr>
      <w:tr w14:paraId="229523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single" w:color="000000" w:sz="4" w:space="0"/>
              <w:bottom w:val="nil"/>
            </w:tcBorders>
            <w:shd w:val="clear" w:color="auto" w:fill="FFFFFF"/>
          </w:tcPr>
          <w:p w14:paraId="1525B354">
            <w:pPr>
              <w:spacing w:after="0"/>
              <w:rPr>
                <w:color w:val="000000"/>
              </w:rPr>
            </w:pPr>
            <w:r>
              <w:rPr>
                <w:color w:val="000000"/>
              </w:rPr>
              <w:t>NTL</w:t>
            </w:r>
          </w:p>
        </w:tc>
        <w:tc>
          <w:tcPr>
            <w:tcW w:w="1813" w:type="dxa"/>
            <w:tcBorders>
              <w:top w:val="single" w:color="000000" w:sz="4" w:space="0"/>
              <w:bottom w:val="nil"/>
            </w:tcBorders>
            <w:shd w:val="clear" w:color="auto" w:fill="FFFFFF"/>
          </w:tcPr>
          <w:p w14:paraId="625D6A3E">
            <w:pPr>
              <w:spacing w:after="0"/>
              <w:rPr>
                <w:color w:val="000000"/>
              </w:rPr>
            </w:pPr>
            <w:r>
              <w:rPr>
                <w:color w:val="000000"/>
              </w:rPr>
              <w:t>0.1725*</w:t>
            </w:r>
          </w:p>
        </w:tc>
        <w:tc>
          <w:tcPr>
            <w:tcW w:w="1813" w:type="dxa"/>
            <w:tcBorders>
              <w:top w:val="single" w:color="000000" w:sz="4" w:space="0"/>
              <w:bottom w:val="nil"/>
            </w:tcBorders>
            <w:shd w:val="clear" w:color="auto" w:fill="FFFFFF"/>
          </w:tcPr>
          <w:p w14:paraId="34C1A65D">
            <w:pPr>
              <w:spacing w:after="0"/>
              <w:rPr>
                <w:color w:val="000000"/>
              </w:rPr>
            </w:pPr>
            <w:r>
              <w:rPr>
                <w:color w:val="000000"/>
              </w:rPr>
              <w:t>0.0876</w:t>
            </w:r>
          </w:p>
        </w:tc>
        <w:tc>
          <w:tcPr>
            <w:tcW w:w="1813" w:type="dxa"/>
            <w:tcBorders>
              <w:top w:val="single" w:color="000000" w:sz="4" w:space="0"/>
              <w:bottom w:val="nil"/>
            </w:tcBorders>
            <w:shd w:val="clear" w:color="auto" w:fill="FFFFFF"/>
          </w:tcPr>
          <w:p w14:paraId="04180F76">
            <w:pPr>
              <w:spacing w:after="0"/>
              <w:rPr>
                <w:color w:val="000000"/>
              </w:rPr>
            </w:pPr>
            <w:r>
              <w:rPr>
                <w:color w:val="000000"/>
              </w:rPr>
              <w:t>1.9686</w:t>
            </w:r>
          </w:p>
        </w:tc>
        <w:tc>
          <w:tcPr>
            <w:tcW w:w="1813" w:type="dxa"/>
            <w:tcBorders>
              <w:top w:val="single" w:color="000000" w:sz="4" w:space="0"/>
              <w:bottom w:val="nil"/>
            </w:tcBorders>
            <w:shd w:val="clear" w:color="auto" w:fill="FFFFFF"/>
          </w:tcPr>
          <w:p w14:paraId="2A15D4E5">
            <w:pPr>
              <w:spacing w:after="0"/>
              <w:rPr>
                <w:color w:val="000000"/>
              </w:rPr>
            </w:pPr>
            <w:r>
              <w:rPr>
                <w:color w:val="000000"/>
              </w:rPr>
              <w:t>0.0504</w:t>
            </w:r>
          </w:p>
        </w:tc>
      </w:tr>
      <w:tr w14:paraId="0C32C8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4E7C8B9F">
            <w:pPr>
              <w:spacing w:after="0"/>
              <w:rPr>
                <w:color w:val="000000"/>
              </w:rPr>
            </w:pPr>
            <w:r>
              <w:rPr>
                <w:color w:val="000000"/>
              </w:rPr>
              <w:t>IND</w:t>
            </w:r>
          </w:p>
        </w:tc>
        <w:tc>
          <w:tcPr>
            <w:tcW w:w="1813" w:type="dxa"/>
            <w:tcBorders>
              <w:top w:val="nil"/>
              <w:bottom w:val="nil"/>
            </w:tcBorders>
            <w:shd w:val="clear" w:color="auto" w:fill="FFFFFF"/>
          </w:tcPr>
          <w:p w14:paraId="1B05451B">
            <w:pPr>
              <w:spacing w:after="0"/>
              <w:rPr>
                <w:color w:val="000000"/>
              </w:rPr>
            </w:pPr>
            <w:r>
              <w:rPr>
                <w:color w:val="000000"/>
              </w:rPr>
              <w:t>0.0828</w:t>
            </w:r>
          </w:p>
        </w:tc>
        <w:tc>
          <w:tcPr>
            <w:tcW w:w="1813" w:type="dxa"/>
            <w:tcBorders>
              <w:top w:val="nil"/>
              <w:bottom w:val="nil"/>
            </w:tcBorders>
            <w:shd w:val="clear" w:color="auto" w:fill="FFFFFF"/>
          </w:tcPr>
          <w:p w14:paraId="3438D754">
            <w:pPr>
              <w:spacing w:after="0"/>
              <w:rPr>
                <w:color w:val="000000"/>
              </w:rPr>
            </w:pPr>
            <w:r>
              <w:rPr>
                <w:color w:val="000000"/>
              </w:rPr>
              <w:t>0.0729</w:t>
            </w:r>
          </w:p>
        </w:tc>
        <w:tc>
          <w:tcPr>
            <w:tcW w:w="1813" w:type="dxa"/>
            <w:tcBorders>
              <w:top w:val="nil"/>
              <w:bottom w:val="nil"/>
            </w:tcBorders>
            <w:shd w:val="clear" w:color="auto" w:fill="FFFFFF"/>
          </w:tcPr>
          <w:p w14:paraId="03A9860A">
            <w:pPr>
              <w:spacing w:after="0"/>
              <w:rPr>
                <w:color w:val="000000"/>
              </w:rPr>
            </w:pPr>
            <w:r>
              <w:rPr>
                <w:color w:val="000000"/>
              </w:rPr>
              <w:t>1.1362</w:t>
            </w:r>
          </w:p>
        </w:tc>
        <w:tc>
          <w:tcPr>
            <w:tcW w:w="1813" w:type="dxa"/>
            <w:tcBorders>
              <w:top w:val="nil"/>
              <w:bottom w:val="nil"/>
            </w:tcBorders>
            <w:shd w:val="clear" w:color="auto" w:fill="FFFFFF"/>
          </w:tcPr>
          <w:p w14:paraId="1987DCEA">
            <w:pPr>
              <w:spacing w:after="0"/>
              <w:rPr>
                <w:color w:val="000000"/>
              </w:rPr>
            </w:pPr>
            <w:r>
              <w:rPr>
                <w:color w:val="000000"/>
              </w:rPr>
              <w:t>0.2572</w:t>
            </w:r>
          </w:p>
        </w:tc>
      </w:tr>
      <w:tr w14:paraId="7F1F8C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332CDFC">
            <w:pPr>
              <w:spacing w:after="0"/>
              <w:rPr>
                <w:color w:val="000000"/>
              </w:rPr>
            </w:pPr>
            <w:r>
              <w:rPr>
                <w:color w:val="000000"/>
              </w:rPr>
              <w:t>URB</w:t>
            </w:r>
          </w:p>
        </w:tc>
        <w:tc>
          <w:tcPr>
            <w:tcW w:w="1813" w:type="dxa"/>
            <w:tcBorders>
              <w:top w:val="nil"/>
              <w:bottom w:val="nil"/>
            </w:tcBorders>
            <w:shd w:val="clear" w:color="auto" w:fill="FFFFFF"/>
          </w:tcPr>
          <w:p w14:paraId="1F14F5CB">
            <w:pPr>
              <w:spacing w:after="0"/>
              <w:rPr>
                <w:color w:val="000000"/>
              </w:rPr>
            </w:pPr>
            <w:r>
              <w:rPr>
                <w:color w:val="000000"/>
              </w:rPr>
              <w:t>-1.9282***</w:t>
            </w:r>
          </w:p>
        </w:tc>
        <w:tc>
          <w:tcPr>
            <w:tcW w:w="1813" w:type="dxa"/>
            <w:tcBorders>
              <w:top w:val="nil"/>
              <w:bottom w:val="nil"/>
            </w:tcBorders>
            <w:shd w:val="clear" w:color="auto" w:fill="FFFFFF"/>
          </w:tcPr>
          <w:p w14:paraId="02263DE6">
            <w:pPr>
              <w:spacing w:after="0"/>
              <w:rPr>
                <w:color w:val="000000"/>
              </w:rPr>
            </w:pPr>
            <w:r>
              <w:rPr>
                <w:color w:val="000000"/>
              </w:rPr>
              <w:t>0.3816</w:t>
            </w:r>
          </w:p>
        </w:tc>
        <w:tc>
          <w:tcPr>
            <w:tcW w:w="1813" w:type="dxa"/>
            <w:tcBorders>
              <w:top w:val="nil"/>
              <w:bottom w:val="nil"/>
            </w:tcBorders>
            <w:shd w:val="clear" w:color="auto" w:fill="FFFFFF"/>
          </w:tcPr>
          <w:p w14:paraId="1021492B">
            <w:pPr>
              <w:spacing w:after="0"/>
              <w:rPr>
                <w:color w:val="000000"/>
              </w:rPr>
            </w:pPr>
            <w:r>
              <w:rPr>
                <w:color w:val="000000"/>
              </w:rPr>
              <w:t>-5.0533</w:t>
            </w:r>
          </w:p>
        </w:tc>
        <w:tc>
          <w:tcPr>
            <w:tcW w:w="1813" w:type="dxa"/>
            <w:tcBorders>
              <w:top w:val="nil"/>
              <w:bottom w:val="nil"/>
            </w:tcBorders>
            <w:shd w:val="clear" w:color="auto" w:fill="FFFFFF"/>
          </w:tcPr>
          <w:p w14:paraId="6800BB55">
            <w:pPr>
              <w:spacing w:after="0"/>
              <w:rPr>
                <w:color w:val="000000"/>
              </w:rPr>
            </w:pPr>
            <w:r>
              <w:rPr>
                <w:color w:val="000000"/>
              </w:rPr>
              <w:t>0.0000</w:t>
            </w:r>
          </w:p>
        </w:tc>
      </w:tr>
      <w:tr w14:paraId="2CC80D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784B2AA6">
            <w:pPr>
              <w:spacing w:after="0"/>
              <w:rPr>
                <w:color w:val="000000"/>
              </w:rPr>
            </w:pPr>
            <w:r>
              <w:rPr>
                <w:color w:val="000000"/>
              </w:rPr>
              <w:t>RD</w:t>
            </w:r>
          </w:p>
        </w:tc>
        <w:tc>
          <w:tcPr>
            <w:tcW w:w="1813" w:type="dxa"/>
            <w:tcBorders>
              <w:top w:val="nil"/>
              <w:bottom w:val="nil"/>
            </w:tcBorders>
            <w:shd w:val="clear" w:color="auto" w:fill="FFFFFF"/>
          </w:tcPr>
          <w:p w14:paraId="76B0214E">
            <w:pPr>
              <w:spacing w:after="0"/>
              <w:rPr>
                <w:color w:val="000000"/>
              </w:rPr>
            </w:pPr>
            <w:r>
              <w:rPr>
                <w:color w:val="000000"/>
              </w:rPr>
              <w:t>6.5889*</w:t>
            </w:r>
          </w:p>
        </w:tc>
        <w:tc>
          <w:tcPr>
            <w:tcW w:w="1813" w:type="dxa"/>
            <w:tcBorders>
              <w:top w:val="nil"/>
              <w:bottom w:val="nil"/>
            </w:tcBorders>
            <w:shd w:val="clear" w:color="auto" w:fill="FFFFFF"/>
          </w:tcPr>
          <w:p w14:paraId="5DFAA90B">
            <w:pPr>
              <w:spacing w:after="0"/>
              <w:rPr>
                <w:color w:val="000000"/>
              </w:rPr>
            </w:pPr>
            <w:r>
              <w:rPr>
                <w:color w:val="000000"/>
              </w:rPr>
              <w:t>3.4404</w:t>
            </w:r>
          </w:p>
        </w:tc>
        <w:tc>
          <w:tcPr>
            <w:tcW w:w="1813" w:type="dxa"/>
            <w:tcBorders>
              <w:top w:val="nil"/>
              <w:bottom w:val="nil"/>
            </w:tcBorders>
            <w:shd w:val="clear" w:color="auto" w:fill="FFFFFF"/>
          </w:tcPr>
          <w:p w14:paraId="7433E0A3">
            <w:pPr>
              <w:spacing w:after="0"/>
              <w:rPr>
                <w:color w:val="000000"/>
              </w:rPr>
            </w:pPr>
            <w:r>
              <w:rPr>
                <w:color w:val="000000"/>
              </w:rPr>
              <w:t>1.9151</w:t>
            </w:r>
          </w:p>
        </w:tc>
        <w:tc>
          <w:tcPr>
            <w:tcW w:w="1813" w:type="dxa"/>
            <w:tcBorders>
              <w:top w:val="nil"/>
              <w:bottom w:val="nil"/>
            </w:tcBorders>
            <w:shd w:val="clear" w:color="auto" w:fill="FFFFFF"/>
          </w:tcPr>
          <w:p w14:paraId="053DBEA9">
            <w:pPr>
              <w:spacing w:after="0"/>
              <w:rPr>
                <w:color w:val="000000"/>
              </w:rPr>
            </w:pPr>
            <w:r>
              <w:rPr>
                <w:color w:val="000000"/>
              </w:rPr>
              <w:t>0.0569</w:t>
            </w:r>
          </w:p>
        </w:tc>
      </w:tr>
      <w:tr w14:paraId="65FF7AA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nil"/>
            </w:tcBorders>
            <w:shd w:val="clear" w:color="auto" w:fill="FFFFFF"/>
          </w:tcPr>
          <w:p w14:paraId="11AE182B">
            <w:pPr>
              <w:spacing w:after="0"/>
              <w:rPr>
                <w:color w:val="000000"/>
              </w:rPr>
            </w:pPr>
            <w:r>
              <w:rPr>
                <w:color w:val="000000"/>
              </w:rPr>
              <w:t>OPEN</w:t>
            </w:r>
          </w:p>
        </w:tc>
        <w:tc>
          <w:tcPr>
            <w:tcW w:w="1813" w:type="dxa"/>
            <w:tcBorders>
              <w:top w:val="nil"/>
              <w:bottom w:val="nil"/>
            </w:tcBorders>
            <w:shd w:val="clear" w:color="auto" w:fill="FFFFFF"/>
          </w:tcPr>
          <w:p w14:paraId="5EE1F286">
            <w:pPr>
              <w:spacing w:after="0"/>
              <w:rPr>
                <w:color w:val="000000"/>
              </w:rPr>
            </w:pPr>
            <w:r>
              <w:rPr>
                <w:color w:val="000000"/>
              </w:rPr>
              <w:t>0.4522**</w:t>
            </w:r>
          </w:p>
        </w:tc>
        <w:tc>
          <w:tcPr>
            <w:tcW w:w="1813" w:type="dxa"/>
            <w:tcBorders>
              <w:top w:val="nil"/>
              <w:bottom w:val="nil"/>
            </w:tcBorders>
            <w:shd w:val="clear" w:color="auto" w:fill="FFFFFF"/>
          </w:tcPr>
          <w:p w14:paraId="1D21F4C5">
            <w:pPr>
              <w:spacing w:after="0"/>
              <w:rPr>
                <w:color w:val="000000"/>
              </w:rPr>
            </w:pPr>
            <w:r>
              <w:rPr>
                <w:color w:val="000000"/>
              </w:rPr>
              <w:t>0.2236</w:t>
            </w:r>
          </w:p>
        </w:tc>
        <w:tc>
          <w:tcPr>
            <w:tcW w:w="1813" w:type="dxa"/>
            <w:tcBorders>
              <w:top w:val="nil"/>
              <w:bottom w:val="nil"/>
            </w:tcBorders>
            <w:shd w:val="clear" w:color="auto" w:fill="FFFFFF"/>
          </w:tcPr>
          <w:p w14:paraId="3AB7E73C">
            <w:pPr>
              <w:spacing w:after="0"/>
              <w:rPr>
                <w:color w:val="000000"/>
              </w:rPr>
            </w:pPr>
            <w:r>
              <w:rPr>
                <w:color w:val="000000"/>
              </w:rPr>
              <w:t>2.0219</w:t>
            </w:r>
          </w:p>
        </w:tc>
        <w:tc>
          <w:tcPr>
            <w:tcW w:w="1813" w:type="dxa"/>
            <w:tcBorders>
              <w:top w:val="nil"/>
              <w:bottom w:val="nil"/>
            </w:tcBorders>
            <w:shd w:val="clear" w:color="auto" w:fill="FFFFFF"/>
          </w:tcPr>
          <w:p w14:paraId="3C2EAF15">
            <w:pPr>
              <w:spacing w:after="0"/>
              <w:rPr>
                <w:color w:val="000000"/>
              </w:rPr>
            </w:pPr>
            <w:r>
              <w:rPr>
                <w:color w:val="000000"/>
              </w:rPr>
              <w:t>0.0445</w:t>
            </w:r>
          </w:p>
        </w:tc>
      </w:tr>
      <w:tr w14:paraId="1D5B24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13" w:type="dxa"/>
            <w:tcBorders>
              <w:top w:val="nil"/>
              <w:bottom w:val="single" w:color="000000" w:sz="12" w:space="0"/>
            </w:tcBorders>
            <w:shd w:val="clear" w:color="auto" w:fill="FFFFFF"/>
          </w:tcPr>
          <w:p w14:paraId="1510C065">
            <w:pPr>
              <w:spacing w:after="0"/>
              <w:rPr>
                <w:color w:val="000000"/>
              </w:rPr>
            </w:pPr>
            <w:r>
              <w:rPr>
                <w:color w:val="000000"/>
              </w:rPr>
              <w:t>ES</w:t>
            </w:r>
          </w:p>
        </w:tc>
        <w:tc>
          <w:tcPr>
            <w:tcW w:w="1813" w:type="dxa"/>
            <w:tcBorders>
              <w:top w:val="nil"/>
              <w:bottom w:val="single" w:color="000000" w:sz="12" w:space="0"/>
            </w:tcBorders>
            <w:shd w:val="clear" w:color="auto" w:fill="FFFFFF"/>
          </w:tcPr>
          <w:p w14:paraId="3EB19BDD">
            <w:pPr>
              <w:spacing w:after="0"/>
              <w:rPr>
                <w:color w:val="000000"/>
              </w:rPr>
            </w:pPr>
            <w:r>
              <w:rPr>
                <w:color w:val="000000"/>
              </w:rPr>
              <w:t>-0.1386</w:t>
            </w:r>
          </w:p>
        </w:tc>
        <w:tc>
          <w:tcPr>
            <w:tcW w:w="1813" w:type="dxa"/>
            <w:tcBorders>
              <w:top w:val="nil"/>
              <w:bottom w:val="single" w:color="000000" w:sz="12" w:space="0"/>
            </w:tcBorders>
            <w:shd w:val="clear" w:color="auto" w:fill="FFFFFF"/>
          </w:tcPr>
          <w:p w14:paraId="3EB53777">
            <w:pPr>
              <w:spacing w:after="0"/>
              <w:rPr>
                <w:color w:val="000000"/>
              </w:rPr>
            </w:pPr>
            <w:r>
              <w:rPr>
                <w:color w:val="000000"/>
              </w:rPr>
              <w:t>0.1116</w:t>
            </w:r>
          </w:p>
        </w:tc>
        <w:tc>
          <w:tcPr>
            <w:tcW w:w="1813" w:type="dxa"/>
            <w:tcBorders>
              <w:top w:val="nil"/>
              <w:bottom w:val="single" w:color="000000" w:sz="12" w:space="0"/>
            </w:tcBorders>
            <w:shd w:val="clear" w:color="auto" w:fill="FFFFFF"/>
          </w:tcPr>
          <w:p w14:paraId="491DA353">
            <w:pPr>
              <w:spacing w:after="0"/>
              <w:rPr>
                <w:color w:val="000000"/>
              </w:rPr>
            </w:pPr>
            <w:r>
              <w:rPr>
                <w:color w:val="000000"/>
              </w:rPr>
              <w:t>-1.2418</w:t>
            </w:r>
          </w:p>
        </w:tc>
        <w:tc>
          <w:tcPr>
            <w:tcW w:w="1813" w:type="dxa"/>
            <w:tcBorders>
              <w:top w:val="nil"/>
              <w:bottom w:val="single" w:color="000000" w:sz="12" w:space="0"/>
            </w:tcBorders>
            <w:shd w:val="clear" w:color="auto" w:fill="FFFFFF"/>
          </w:tcPr>
          <w:p w14:paraId="110F91DA">
            <w:pPr>
              <w:spacing w:after="0"/>
              <w:rPr>
                <w:color w:val="000000"/>
              </w:rPr>
            </w:pPr>
            <w:r>
              <w:rPr>
                <w:color w:val="000000"/>
              </w:rPr>
              <w:t>0.2158</w:t>
            </w:r>
          </w:p>
        </w:tc>
      </w:tr>
    </w:tbl>
    <w:p w14:paraId="4CA16BB4">
      <w:pPr>
        <w:jc w:val="both"/>
        <w:rPr>
          <w:lang w:eastAsia="zh-CN"/>
        </w:rPr>
      </w:pPr>
      <w:r>
        <w:rPr>
          <w:rFonts w:ascii="Times New Roman" w:hAnsi="Times New Roman" w:eastAsia="SimSun"/>
          <w:b w:val="0"/>
          <w:sz w:val="21"/>
          <w:lang w:eastAsia="zh-CN"/>
        </w:rPr>
        <w:t>注：样本量N=240；控制省份和年份固定效应；协方差估计采用Driscoll-Kraay稳健标准误；***、**、*分别表示在1%、5%、10%水平上显著。</w:t>
      </w:r>
    </w:p>
    <w:p w14:paraId="327F1DF5">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995545" cy="3684270"/>
            <wp:effectExtent l="0" t="0" r="8255" b="11430"/>
            <wp:docPr id="20" name="图片 20"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3_预测值与真实值散点图"/>
                    <pic:cNvPicPr>
                      <a:picLocks noChangeAspect="1"/>
                    </pic:cNvPicPr>
                  </pic:nvPicPr>
                  <pic:blipFill>
                    <a:blip r:embed="rId23"/>
                    <a:srcRect t="4890"/>
                    <a:stretch>
                      <a:fillRect/>
                    </a:stretch>
                  </pic:blipFill>
                  <pic:spPr>
                    <a:xfrm>
                      <a:off x="0" y="0"/>
                      <a:ext cx="4995545" cy="3684270"/>
                    </a:xfrm>
                    <a:prstGeom prst="rect">
                      <a:avLst/>
                    </a:prstGeom>
                  </pic:spPr>
                </pic:pic>
              </a:graphicData>
            </a:graphic>
          </wp:inline>
        </w:drawing>
      </w:r>
    </w:p>
    <w:p w14:paraId="4E896940">
      <w:pPr>
        <w:pStyle w:val="15"/>
        <w:jc w:val="center"/>
        <w:rPr>
          <w:rFonts w:hint="default" w:eastAsia="宋体"/>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16</w:t>
      </w:r>
      <w:r>
        <w:rPr>
          <w:rFonts w:ascii="Times New Roman" w:hAnsi="Times New Roman" w:eastAsia="SimSun"/>
          <w:b w:val="0"/>
          <w:sz w:val="21"/>
        </w:rPr>
        <w:fldChar w:fldCharType="end"/>
      </w:r>
      <w:bookmarkStart w:id="52" w:name="_Toc28831"/>
      <w:r>
        <w:rPr>
          <w:rFonts w:hint="eastAsia" w:ascii="Times New Roman" w:hAnsi="Times New Roman" w:eastAsia="SimSun"/>
          <w:b w:val="0"/>
          <w:sz w:val="21"/>
          <w:lang w:val="en-US" w:eastAsia="zh-CN"/>
        </w:rPr>
        <w:t xml:space="preserve"> 预测值-真实值散点图</w:t>
      </w:r>
      <w:bookmarkEnd w:id="52"/>
    </w:p>
    <w:p w14:paraId="67ADAE2E">
      <w:pPr>
        <w:jc w:val="center"/>
        <w:rPr>
          <w:rFonts w:hint="eastAsia"/>
          <w:lang w:eastAsia="zh-CN"/>
        </w:rPr>
      </w:pPr>
      <w:r>
        <w:rPr>
          <w:rFonts w:hint="eastAsia" w:ascii="Times New Roman" w:hAnsi="Times New Roman" w:eastAsia="SimSun"/>
          <w:b w:val="0"/>
          <w:sz w:val="21"/>
          <w:lang w:eastAsia="zh-CN"/>
        </w:rPr>
        <w:drawing>
          <wp:inline distT="0" distB="0" distL="114300" distR="114300">
            <wp:extent cx="4716780" cy="3337560"/>
            <wp:effectExtent l="0" t="0" r="7620" b="2540"/>
            <wp:docPr id="21" name="图片 21"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7_夜间灯光与效率偏回归关系图"/>
                    <pic:cNvPicPr>
                      <a:picLocks noChangeAspect="1"/>
                    </pic:cNvPicPr>
                  </pic:nvPicPr>
                  <pic:blipFill>
                    <a:blip r:embed="rId24"/>
                    <a:srcRect t="4660"/>
                    <a:stretch>
                      <a:fillRect/>
                    </a:stretch>
                  </pic:blipFill>
                  <pic:spPr>
                    <a:xfrm>
                      <a:off x="0" y="0"/>
                      <a:ext cx="4716780" cy="3337560"/>
                    </a:xfrm>
                    <a:prstGeom prst="rect">
                      <a:avLst/>
                    </a:prstGeom>
                  </pic:spPr>
                </pic:pic>
              </a:graphicData>
            </a:graphic>
          </wp:inline>
        </w:drawing>
      </w:r>
    </w:p>
    <w:p w14:paraId="0D001A18">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17</w:t>
      </w:r>
      <w:r>
        <w:rPr>
          <w:rFonts w:ascii="Times New Roman" w:hAnsi="Times New Roman" w:eastAsia="SimSun"/>
          <w:b w:val="0"/>
          <w:sz w:val="21"/>
        </w:rPr>
        <w:fldChar w:fldCharType="end"/>
      </w:r>
      <w:bookmarkStart w:id="53" w:name="_Toc2315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控制双向固定效应后的</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与碳排放效率净关系图</w:t>
      </w:r>
      <w:bookmarkEnd w:id="53"/>
    </w:p>
    <w:p w14:paraId="57F5B61A">
      <w:pPr>
        <w:ind w:firstLine="720"/>
        <w:rPr>
          <w:lang w:eastAsia="zh-CN"/>
        </w:rPr>
      </w:pPr>
      <w:r>
        <w:rPr>
          <w:rFonts w:ascii="Times New Roman" w:hAnsi="Times New Roman" w:eastAsia="SimSun"/>
          <w:b w:val="0"/>
          <w:sz w:val="21"/>
          <w:lang w:eastAsia="zh-CN"/>
        </w:rPr>
        <w:t>图中在两端区间出现轻微弯曲，主要是因为极端样本较少且不同地区异质性更强，导致局部平滑曲线在边界位置对个别观测更为敏感；就整体而言，中部样本区间仍以弱正向关系为主。</w:t>
      </w:r>
    </w:p>
    <w:p w14:paraId="0857E3CF">
      <w:pPr>
        <w:jc w:val="center"/>
        <w:rPr>
          <w:lang w:eastAsia="zh-CN"/>
        </w:rPr>
      </w:pPr>
      <w:r>
        <w:rPr>
          <w:rFonts w:ascii="Times New Roman" w:hAnsi="Times New Roman" w:eastAsia="SimSun"/>
          <w:b w:val="0"/>
          <w:sz w:val="21"/>
          <w:lang w:eastAsia="zh-CN"/>
        </w:rPr>
        <w:drawing>
          <wp:inline distT="0" distB="0" distL="114300" distR="114300">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5"/>
                    <a:stretch>
                      <a:fillRect/>
                    </a:stretch>
                  </pic:blipFill>
                  <pic:spPr>
                    <a:xfrm>
                      <a:off x="0" y="0"/>
                      <a:ext cx="4365625" cy="2793365"/>
                    </a:xfrm>
                    <a:prstGeom prst="rect">
                      <a:avLst/>
                    </a:prstGeom>
                  </pic:spPr>
                </pic:pic>
              </a:graphicData>
            </a:graphic>
          </wp:inline>
        </w:drawing>
      </w:r>
    </w:p>
    <w:p w14:paraId="2ECB1FF1">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18</w:t>
      </w:r>
      <w:r>
        <w:rPr>
          <w:rFonts w:ascii="Times New Roman" w:hAnsi="Times New Roman" w:eastAsia="SimSun"/>
          <w:b w:val="0"/>
          <w:sz w:val="21"/>
        </w:rPr>
        <w:fldChar w:fldCharType="end"/>
      </w:r>
      <w:bookmarkStart w:id="54" w:name="_Toc6514"/>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基准回归结果可视化（系数森林图）</w:t>
      </w:r>
      <w:bookmarkEnd w:id="54"/>
    </w:p>
    <w:p w14:paraId="41952CAE">
      <w:pPr>
        <w:ind w:firstLine="720"/>
        <w:rPr>
          <w:lang w:eastAsia="zh-CN"/>
        </w:rPr>
      </w:pPr>
      <w:r>
        <w:rPr>
          <w:rFonts w:ascii="Times New Roman" w:hAnsi="Times New Roman" w:eastAsia="SimSun"/>
          <w:b w:val="0"/>
          <w:sz w:val="21"/>
          <w:lang w:eastAsia="zh-CN"/>
        </w:rPr>
        <w:t>系数森林图直观展示了各解释变量影响方向、估计区间和显著性差异。其中，</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、研发投入和对外开放水平表现为正向影响，城镇化率表现为显著负向影响，而产业结构和能源结构在基准模型中未通过显著性检验，与表</w:t>
      </w:r>
      <w:r>
        <w:rPr>
          <w:rFonts w:hint="eastAsia" w:ascii="Times New Roman" w:hAnsi="Times New Roman" w:eastAsia="SimSun"/>
          <w:b w:val="0"/>
          <w:sz w:val="21"/>
          <w:lang w:val="en-US" w:eastAsia="zh-CN"/>
        </w:rPr>
        <w:t>7</w:t>
      </w:r>
      <w:r>
        <w:rPr>
          <w:rFonts w:ascii="Times New Roman" w:hAnsi="Times New Roman" w:eastAsia="SimSun"/>
          <w:b w:val="0"/>
          <w:sz w:val="21"/>
          <w:lang w:eastAsia="zh-CN"/>
        </w:rPr>
        <w:t>结论一致。</w:t>
      </w:r>
    </w:p>
    <w:p w14:paraId="12DFD7AB">
      <w:pPr>
        <w:pStyle w:val="3"/>
        <w:jc w:val="both"/>
        <w:rPr>
          <w:color w:val="auto"/>
          <w:szCs w:val="30"/>
          <w:lang w:eastAsia="zh-CN"/>
        </w:rPr>
      </w:pPr>
      <w:bookmarkStart w:id="55" w:name="_Toc27857"/>
      <w:r>
        <w:rPr>
          <w:rFonts w:ascii="Times New Roman" w:hAnsi="Times New Roman" w:eastAsia="SimSun"/>
          <w:b w:val="0"/>
          <w:color w:val="auto"/>
          <w:sz w:val="21"/>
          <w:szCs w:val="30"/>
          <w:lang w:eastAsia="zh-CN"/>
        </w:rPr>
        <w:t>七、空间相关性与空间溢出分析</w:t>
      </w:r>
      <w:bookmarkEnd w:id="55"/>
    </w:p>
    <w:p w14:paraId="30618766">
      <w:pPr>
        <w:pStyle w:val="4"/>
        <w:jc w:val="both"/>
        <w:rPr>
          <w:rFonts w:ascii="楷体" w:hAnsi="楷体"/>
          <w:color w:val="auto"/>
          <w:lang w:eastAsia="zh-CN"/>
        </w:rPr>
      </w:pPr>
      <w:bookmarkStart w:id="56" w:name="_Toc3754"/>
      <w:r>
        <w:rPr>
          <w:rFonts w:ascii="Times New Roman" w:hAnsi="Times New Roman" w:eastAsia="SimSun"/>
          <w:b w:val="0"/>
          <w:color w:val="auto"/>
          <w:sz w:val="21"/>
          <w:lang w:eastAsia="zh-CN"/>
        </w:rPr>
        <w:t>（一）Global Moran’s I 检验结果</w:t>
      </w:r>
      <w:bookmarkEnd w:id="56"/>
    </w:p>
    <w:p w14:paraId="28942A7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7FCBC787">
      <w:pPr>
        <w:spacing w:after="0" w:line="480" w:lineRule="exact"/>
        <w:ind w:firstLine="480" w:firstLineChars="200"/>
        <w:jc w:val="both"/>
        <w:rPr>
          <w:rFonts w:ascii="宋体" w:hAnsi="宋体"/>
          <w:lang w:eastAsia="zh-CN"/>
        </w:rPr>
      </w:pPr>
      <w:r>
        <w:rPr>
          <w:rFonts w:ascii="Times New Roman" w:hAnsi="Times New Roman" w:eastAsia="SimSun" w:cs="宋体"/>
          <w:b w:val="0"/>
          <w:sz w:val="21"/>
          <w:szCs w:val="24"/>
        </w:rPr>
        <w:t>本文在空间相关性检验中采用</w:t>
      </w:r>
      <w:r>
        <w:rPr>
          <w:rStyle w:val="140"/>
          <w:rFonts w:ascii="Times New Roman" w:hAnsi="Times New Roman" w:eastAsia="SimSun" w:cs="宋体"/>
          <w:b w:val="0"/>
          <w:sz w:val="21"/>
          <w:szCs w:val="24"/>
        </w:rPr>
        <w:t>经济距离倒数空间权重矩阵</w:t>
      </w:r>
      <w:r>
        <w:rPr>
          <w:rFonts w:ascii="Times New Roman" w:hAnsi="Times New Roman" w:eastAsia="SimSun" w:cs="宋体"/>
          <w:b w:val="0"/>
          <w:sz w:val="21"/>
          <w:szCs w:val="24"/>
        </w:rPr>
        <w:t>并进行标准化处理，以刻画</w:t>
      </w:r>
      <w:r>
        <w:rPr>
          <w:rFonts w:hint="eastAsia" w:ascii="Times New Roman" w:hAnsi="Times New Roman" w:cs="宋体" w:eastAsia="SimSun"/>
          <w:b w:val="0"/>
          <w:sz w:val="21"/>
          <w:szCs w:val="24"/>
          <w:lang w:eastAsia="zh-CN"/>
        </w:rPr>
        <w:t>省域</w:t>
      </w:r>
      <w:r>
        <w:rPr>
          <w:rFonts w:ascii="Times New Roman" w:hAnsi="Times New Roman" w:eastAsia="SimSun" w:cs="宋体"/>
          <w:b w:val="0"/>
          <w:sz w:val="21"/>
          <w:szCs w:val="24"/>
        </w:rPr>
        <w:t>之间经济联系强弱对碳排放效率空间关联的影响。经济距离倒数权重矩阵的结构特征见附录图D</w:t>
      </w:r>
      <w:r>
        <w:rPr>
          <w:rFonts w:hint="eastAsia" w:ascii="Times New Roman" w:hAnsi="Times New Roman" w:cs="宋体" w:eastAsia="SimSun"/>
          <w:b w:val="0"/>
          <w:sz w:val="21"/>
          <w:szCs w:val="24"/>
          <w:lang w:val="en-US" w:eastAsia="zh-CN"/>
        </w:rPr>
        <w:t>4</w:t>
      </w:r>
      <w:r>
        <w:rPr>
          <w:rFonts w:ascii="Times New Roman" w:hAnsi="Times New Roman" w:eastAsia="SimSun" w:cs="宋体"/>
          <w:b w:val="0"/>
          <w:sz w:val="21"/>
          <w:szCs w:val="24"/>
        </w:rPr>
        <w:t>。</w:t>
      </w:r>
    </w:p>
    <w:p w14:paraId="7E429FB3">
      <w:pPr>
        <w:jc w:val="center"/>
        <w:rPr>
          <w:lang w:eastAsia="zh-CN"/>
        </w:rPr>
      </w:pPr>
      <w:r>
        <w:rPr>
          <w:rFonts w:ascii="Times New Roman" w:hAnsi="Times New Roman" w:eastAsia="SimSun"/>
          <w:b w:val="0"/>
          <w:sz w:val="21"/>
          <w:lang w:eastAsia="zh-CN"/>
        </w:rPr>
        <w:drawing>
          <wp:inline distT="0" distB="0" distL="114300" distR="114300">
            <wp:extent cx="5432425" cy="2999105"/>
            <wp:effectExtent l="0" t="0" r="0" b="0"/>
            <wp:docPr id="22" name="图片 22"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8_全局莫兰指数_2015_2022"/>
                    <pic:cNvPicPr>
                      <a:picLocks noChangeAspect="1"/>
                    </pic:cNvPicPr>
                  </pic:nvPicPr>
                  <pic:blipFill>
                    <a:blip r:embed="rId26"/>
                    <a:srcRect r="2872"/>
                    <a:stretch>
                      <a:fillRect/>
                    </a:stretch>
                  </pic:blipFill>
                  <pic:spPr>
                    <a:xfrm>
                      <a:off x="0" y="0"/>
                      <a:ext cx="5432425" cy="2999105"/>
                    </a:xfrm>
                    <a:prstGeom prst="rect">
                      <a:avLst/>
                    </a:prstGeom>
                  </pic:spPr>
                </pic:pic>
              </a:graphicData>
            </a:graphic>
          </wp:inline>
        </w:drawing>
      </w:r>
    </w:p>
    <w:p w14:paraId="5CF59FBE">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19</w:t>
      </w:r>
      <w:r>
        <w:rPr>
          <w:rFonts w:ascii="Times New Roman" w:hAnsi="Times New Roman" w:eastAsia="SimSun"/>
          <w:b w:val="0"/>
          <w:sz w:val="21"/>
        </w:rPr>
        <w:fldChar w:fldCharType="end"/>
      </w:r>
      <w:bookmarkStart w:id="57" w:name="_Toc21876"/>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2015—2022年省域碳排放效率全局 Moran’s I 变化趋势</w:t>
      </w:r>
      <w:bookmarkEnd w:id="57"/>
    </w:p>
    <w:p w14:paraId="55FE36D4">
      <w:pPr>
        <w:ind w:firstLine="720"/>
        <w:rPr>
          <w:lang w:eastAsia="zh-CN"/>
        </w:rPr>
      </w:pPr>
      <w:r>
        <w:rPr>
          <w:rFonts w:hint="eastAsia" w:ascii="Times New Roman" w:hAnsi="Times New Roman" w:eastAsia="SimSun"/>
          <w:b w:val="0"/>
          <w:sz w:val="21"/>
          <w:lang w:val="en-US" w:eastAsia="zh-CN"/>
        </w:rPr>
        <w:t>上图</w:t>
      </w:r>
      <w:r>
        <w:rPr>
          <w:rFonts w:ascii="Times New Roman" w:hAnsi="Times New Roman" w:eastAsia="SimSun"/>
          <w:b w:val="0"/>
          <w:sz w:val="21"/>
          <w:lang w:eastAsia="zh-CN"/>
        </w:rPr>
        <w:t>反映了2015—2022年</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碳排放效率全局 Moran’s I 的变化特征。结果显示，各年份 Moran’s I 均处于正区间，说明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碳排放效率存在稳定的正向空间相关性，即空间上联系更紧密的地区在效率水平上更可能呈现相似分布。进一步结合 p 值与 z 值可知，多数年份该相关关系通过显著性检验，表明我国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碳排放效率的空间集聚特征并非偶然现象，而具有一定持续性。这一结果为后续局部空间聚集识别和空间计量模型估计提供了基础。</w:t>
      </w:r>
    </w:p>
    <w:p w14:paraId="148A580E">
      <w:pPr>
        <w:pStyle w:val="4"/>
        <w:jc w:val="both"/>
        <w:rPr>
          <w:lang w:eastAsia="zh-CN"/>
        </w:rPr>
      </w:pPr>
      <w:bookmarkStart w:id="58" w:name="_Toc26141"/>
      <w:r>
        <w:rPr>
          <w:rFonts w:ascii="Times New Roman" w:hAnsi="Times New Roman" w:eastAsia="SimSun"/>
          <w:b w:val="0"/>
          <w:color w:val="auto"/>
          <w:sz w:val="21"/>
          <w:lang w:eastAsia="zh-CN"/>
        </w:rPr>
        <w:t>（二）局部空间聚集与可能的溢出路径</w:t>
      </w:r>
      <w:bookmarkEnd w:id="58"/>
    </w:p>
    <w:p w14:paraId="1A60E04A">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碳排放效率的空间关联更多体现为整体性相关，局部板块性虽不强，但沿海高效率地区的示范扩散效应已开始显现。</w:t>
      </w:r>
    </w:p>
    <w:p w14:paraId="11892A23">
      <w:pPr>
        <w:jc w:val="center"/>
        <w:rPr>
          <w:lang w:eastAsia="zh-CN"/>
        </w:rPr>
      </w:pPr>
      <w:r>
        <w:rPr>
          <w:rFonts w:ascii="Times New Roman" w:hAnsi="Times New Roman" w:eastAsia="SimSun"/>
          <w:b w:val="0"/>
          <w:sz w:val="21"/>
          <w:lang w:eastAsia="zh-CN"/>
        </w:rPr>
        <w:drawing>
          <wp:inline distT="0" distB="0" distL="114300" distR="114300">
            <wp:extent cx="5149850" cy="3760470"/>
            <wp:effectExtent l="0" t="0" r="6350" b="11430"/>
            <wp:docPr id="23" name="图片 2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4_效率莫兰散点图_2015_2018_2022"/>
                    <pic:cNvPicPr>
                      <a:picLocks noChangeAspect="1"/>
                    </pic:cNvPicPr>
                  </pic:nvPicPr>
                  <pic:blipFill>
                    <a:blip r:embed="rId27"/>
                    <a:srcRect t="3381"/>
                    <a:stretch>
                      <a:fillRect/>
                    </a:stretch>
                  </pic:blipFill>
                  <pic:spPr>
                    <a:xfrm>
                      <a:off x="0" y="0"/>
                      <a:ext cx="5149850" cy="3760470"/>
                    </a:xfrm>
                    <a:prstGeom prst="rect">
                      <a:avLst/>
                    </a:prstGeom>
                  </pic:spPr>
                </pic:pic>
              </a:graphicData>
            </a:graphic>
          </wp:inline>
        </w:drawing>
      </w:r>
    </w:p>
    <w:p w14:paraId="56223D7B">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20</w:t>
      </w:r>
      <w:r>
        <w:rPr>
          <w:rFonts w:ascii="Times New Roman" w:hAnsi="Times New Roman" w:eastAsia="SimSun"/>
          <w:b w:val="0"/>
          <w:sz w:val="21"/>
        </w:rPr>
        <w:fldChar w:fldCharType="end"/>
      </w:r>
      <w:bookmarkStart w:id="59" w:name="_Toc15836"/>
      <w:r>
        <w:rPr>
          <w:rFonts w:hint="eastAsia" w:ascii="Times New Roman" w:hAnsi="Times New Roman" w:eastAsia="SimSun"/>
          <w:b w:val="0"/>
          <w:sz w:val="21"/>
          <w:lang w:eastAsia="zh-CN"/>
        </w:rPr>
        <w:t xml:space="preserve"> 2015-2018-2022年</w:t>
      </w:r>
      <w:r>
        <w:rPr>
          <w:rFonts w:ascii="Times New Roman" w:hAnsi="Times New Roman" w:eastAsia="SimSun"/>
          <w:b w:val="0"/>
          <w:sz w:val="21"/>
          <w:lang w:eastAsia="zh-CN"/>
        </w:rPr>
        <w:t>Moran散点图</w:t>
      </w:r>
      <w:bookmarkEnd w:id="59"/>
    </w:p>
    <w:p w14:paraId="7A9D7D6F">
      <w:pPr>
        <w:ind w:firstLine="720"/>
        <w:jc w:val="both"/>
        <w:rPr>
          <w:lang w:eastAsia="zh-CN"/>
        </w:rPr>
      </w:pPr>
      <w:r>
        <w:rPr>
          <w:rFonts w:ascii="Times New Roman" w:hAnsi="Times New Roman" w:eastAsia="SimSun"/>
          <w:b w:val="0"/>
          <w:sz w:val="21"/>
          <w:lang w:eastAsia="zh-CN"/>
        </w:rPr>
        <w:t>Moran散点图中回归线斜率为正，进一步说明样本地区碳排放效率存在正向空间相关。结合象限分布可以看出，高值与高值相邻、低值与低值相邻的现象在局部范围内均有体现，这与全局 Moran’s I 的检验结果相互印证。</w:t>
      </w:r>
    </w:p>
    <w:p w14:paraId="06E1FECB">
      <w:pPr>
        <w:jc w:val="center"/>
        <w:rPr>
          <w:lang w:eastAsia="zh-CN"/>
        </w:rPr>
      </w:pPr>
      <w:r>
        <w:rPr>
          <w:rFonts w:ascii="Times New Roman" w:hAnsi="Times New Roman" w:eastAsia="SimSun"/>
          <w:b w:val="0"/>
          <w:sz w:val="21"/>
          <w:lang w:eastAsia="zh-CN"/>
        </w:rPr>
        <w:drawing>
          <wp:inline distT="0" distB="0" distL="114300" distR="114300">
            <wp:extent cx="5101590" cy="4051300"/>
            <wp:effectExtent l="0" t="0" r="3810" b="0"/>
            <wp:docPr id="8" name="图片 8" descr="20ed37a7828e132e49748e5eb2b3c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ed37a7828e132e49748e5eb2b3c9f2"/>
                    <pic:cNvPicPr>
                      <a:picLocks noChangeAspect="1"/>
                    </pic:cNvPicPr>
                  </pic:nvPicPr>
                  <pic:blipFill>
                    <a:blip r:embed="rId28"/>
                    <a:stretch>
                      <a:fillRect/>
                    </a:stretch>
                  </pic:blipFill>
                  <pic:spPr>
                    <a:xfrm>
                      <a:off x="0" y="0"/>
                      <a:ext cx="5101590" cy="4051300"/>
                    </a:xfrm>
                    <a:prstGeom prst="rect">
                      <a:avLst/>
                    </a:prstGeom>
                  </pic:spPr>
                </pic:pic>
              </a:graphicData>
            </a:graphic>
          </wp:inline>
        </w:drawing>
      </w:r>
    </w:p>
    <w:p w14:paraId="26F861C7">
      <w:pPr>
        <w:pStyle w:val="15"/>
        <w:spacing w:after="0"/>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21</w:t>
      </w:r>
      <w:r>
        <w:rPr>
          <w:rFonts w:ascii="Times New Roman" w:hAnsi="Times New Roman" w:eastAsia="SimSun"/>
          <w:b w:val="0"/>
          <w:sz w:val="21"/>
        </w:rPr>
        <w:fldChar w:fldCharType="end"/>
      </w:r>
      <w:bookmarkStart w:id="60" w:name="_Toc10959"/>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LISA聚类图</w:t>
      </w:r>
      <w:bookmarkEnd w:id="60"/>
    </w:p>
    <w:p w14:paraId="21CBD354">
      <w:pPr>
        <w:ind w:firstLine="720"/>
        <w:rPr>
          <w:lang w:eastAsia="zh-CN"/>
        </w:rPr>
      </w:pPr>
      <w:r>
        <w:rPr>
          <w:rFonts w:hint="eastAsia" w:ascii="Times New Roman" w:hAnsi="Times New Roman" w:eastAsia="SimSun"/>
          <w:b w:val="0"/>
          <w:sz w:val="21"/>
          <w:lang w:val="en-US" w:eastAsia="zh-CN"/>
        </w:rPr>
        <w:t>上</w:t>
      </w:r>
      <w:r>
        <w:rPr>
          <w:rFonts w:ascii="Times New Roman" w:hAnsi="Times New Roman" w:eastAsia="SimSun"/>
          <w:b w:val="0"/>
          <w:sz w:val="21"/>
          <w:lang w:eastAsia="zh-CN"/>
        </w:rPr>
        <w:t>图在LISA局部空间集聚识别的基础上，进一步叠加了省域碳排放效率节点大小以及夜间灯光强度的空间溢出方向与符号。结果表明，省域碳排放效率的局部空间集聚现象并非普遍存在，仅在少数地区表现出较为明确的“高—高”或“低—低”集聚特征，大部分地区仍以不显著类型为主。与此同时，图中橙色连线表示正向溢出，蓝色连线表示负向溢出，说明夜间灯光强度对省域碳排放效率的空间影响具有明显的跨区域传导特征，且不同地区之间存在方向和强度上的差异。结合模型结果可知，夜间灯光强度的间接效应显著，表明区域经济活跃度变化不仅影响本地碳排放效率，也会通过空间关联对其他地区产生外部影响。总体来看，该图进一步说明了省域碳排放效率不仅具有一定的局部集聚特征，还存在较为复杂的空间溢出联系。</w:t>
      </w:r>
    </w:p>
    <w:p w14:paraId="4B8D2052">
      <w:pPr>
        <w:pStyle w:val="4"/>
        <w:numPr>
          <w:ilvl w:val="0"/>
          <w:numId w:val="7"/>
        </w:numPr>
        <w:bidi w:val="0"/>
        <w:rPr>
          <w:rFonts w:hint="default"/>
          <w:lang w:val="en-US" w:eastAsia="zh-CN"/>
        </w:rPr>
      </w:pPr>
      <w:r>
        <w:rPr>
          <w:rFonts w:ascii="Times New Roman" w:hAnsi="Times New Roman" w:eastAsia="SimSun"/>
          <w:b w:val="0"/>
          <w:sz w:val="21"/>
        </w:rPr>
        <w:t>（三）空间杜宾模型结果与效应分解</w:t>
      </w:r>
    </w:p>
    <w:p w14:paraId="752972ED">
      <w:pPr>
        <w:ind w:firstLine="720" w:firstLineChars="0"/>
        <w:rPr>
          <w:rFonts w:hint="default"/>
          <w:lang w:val="en-US" w:eastAsia="zh-CN"/>
        </w:rPr>
      </w:pPr>
      <w:r>
        <w:rPr>
          <w:rFonts w:ascii="Times New Roman" w:hAnsi="Times New Roman" w:eastAsia="SimSun"/>
          <w:b w:val="0"/>
          <w:sz w:val="21"/>
        </w:rPr>
        <w:t>空间模型选择与权重矩阵确定的详细检验结果见附录表D1。为进一步识别夜间灯光强度对碳排放效率的空间传导机制，本文在经济距离倒数空间权重矩阵下构建空间杜宾模型（SDM），并对核心解释变量及控制变量的直接效应、间接效应和总效应进行分解。与 Global Moran’s I 仅用于检验整体空间相关性不同，空间杜宾模型能够进一步回答“某一地区变量变化是否会通过空间联系影响周边地区”的问题，从而更适合分析夜间灯光强度对碳排放效率的空间溢出效应。主要变量的直接效应、间接效应和总效应的直观对比见附录图D2。</w:t>
      </w:r>
    </w:p>
    <w:p w14:paraId="0A506BD9">
      <w:pPr>
        <w:rPr>
          <w:rFonts w:hint="default"/>
          <w:lang w:val="en-US" w:eastAsia="zh-CN"/>
        </w:rPr>
      </w:pPr>
      <w:r>
        <w:rPr>
          <w:rFonts w:hint="default" w:ascii="Times New Roman" w:hAnsi="Times New Roman" w:eastAsia="SimSun"/>
          <w:b w:val="0"/>
          <w:sz w:val="21"/>
          <w:lang w:val="en-US" w:eastAsia="zh-CN"/>
        </w:rPr>
        <w:drawing>
          <wp:inline distT="0" distB="0" distL="114300" distR="114300">
            <wp:extent cx="5480685" cy="3326130"/>
            <wp:effectExtent l="0" t="0" r="5715" b="1270"/>
            <wp:docPr id="11" name="图片 11" descr="50_核心解释变量空间效应森林图_economic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0_核心解释变量空间效应森林图_economic_inv"/>
                    <pic:cNvPicPr>
                      <a:picLocks noChangeAspect="1"/>
                    </pic:cNvPicPr>
                  </pic:nvPicPr>
                  <pic:blipFill>
                    <a:blip r:embed="rId29"/>
                    <a:stretch>
                      <a:fillRect/>
                    </a:stretch>
                  </pic:blipFill>
                  <pic:spPr>
                    <a:xfrm>
                      <a:off x="0" y="0"/>
                      <a:ext cx="5480685" cy="3326130"/>
                    </a:xfrm>
                    <a:prstGeom prst="rect">
                      <a:avLst/>
                    </a:prstGeom>
                  </pic:spPr>
                </pic:pic>
              </a:graphicData>
            </a:graphic>
          </wp:inline>
        </w:drawing>
      </w:r>
    </w:p>
    <w:p w14:paraId="5A587810">
      <w:pPr>
        <w:pStyle w:val="15"/>
        <w:rPr>
          <w:rFonts w:hint="eastAsia"/>
          <w:lang w:val="en-US" w:eastAsia="zh-CN"/>
        </w:rPr>
      </w:pPr>
      <w:r>
        <w:rPr>
          <w:rFonts w:ascii="Times New Roman" w:hAnsi="Times New Roman" w:eastAsia="SimSun"/>
          <w:b w:val="0"/>
          <w:sz w:val="21"/>
        </w:rPr>
        <w:t xml:space="preserve">图 </w:t>
      </w:r>
      <w:r>
        <w:rPr>
          <w:rFonts w:ascii="Times New Roman" w:hAnsi="Times New Roman" w:eastAsia="SimSun"/>
          <w:b w:val="0"/>
          <w:sz w:val="21"/>
        </w:rPr>
        <w:fldChar w:fldCharType="begin"/>
      </w:r>
      <w:r>
        <w:rPr>
          <w:rFonts w:ascii="Times New Roman" w:hAnsi="Times New Roman" w:eastAsia="SimSun"/>
          <w:b w:val="0"/>
          <w:sz w:val="21"/>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rPr>
        <w:t>22</w:t>
      </w:r>
      <w:r>
        <w:rPr>
          <w:rFonts w:ascii="Times New Roman" w:hAnsi="Times New Roman" w:eastAsia="SimSun"/>
          <w:b w:val="0"/>
          <w:sz w:val="21"/>
        </w:rPr>
        <w:fldChar w:fldCharType="end"/>
      </w:r>
      <w:bookmarkStart w:id="62" w:name="_Toc29064"/>
      <w:r>
        <w:rPr>
          <w:rFonts w:hint="eastAsia" w:ascii="Times New Roman" w:hAnsi="Times New Roman" w:eastAsia="SimSun"/>
          <w:b w:val="0"/>
          <w:sz w:val="21"/>
          <w:lang w:val="en-US" w:eastAsia="zh-CN"/>
        </w:rPr>
        <w:t xml:space="preserve"> SDM空间效应森林图</w:t>
      </w:r>
      <w:bookmarkEnd w:id="62"/>
    </w:p>
    <w:p w14:paraId="52508687">
      <w:pPr>
        <w:ind w:firstLine="720" w:firstLineChars="0"/>
        <w:rPr>
          <w:rFonts w:hint="default"/>
          <w:lang w:val="en-US" w:eastAsia="zh-CN"/>
        </w:rPr>
      </w:pPr>
      <w:r>
        <w:rPr>
          <w:rFonts w:hint="default" w:ascii="Times New Roman" w:hAnsi="Times New Roman" w:eastAsia="SimSun"/>
          <w:b w:val="0"/>
          <w:sz w:val="21"/>
          <w:lang w:val="en-US" w:eastAsia="zh-CN"/>
        </w:rPr>
        <w:t>由图22可知，夜间灯光强度的直接效应为 0.0161，未通过显著性检验，而其间接效应为 0.6830，在 1% 水平上显著为正，总效应为 0.6990，同样在 1% 水平上显著为正。这表明，夜间灯光强度对本地区碳排放效率的当期直接促进作用并不显著，但其跨区域传导效应较为明显，即某一地区经济活跃度、基础设施运行和要素集聚水平的提升，可能通过产业联系、技术扩散和资源流动对周边地区碳排放效率产生显著正向影响。换言之，夜间灯光强度对碳排放效率的作用不仅具有本地属性，更具有明显的空间外部性，这也验证了前文关于空间溢出的研究假设。</w:t>
      </w:r>
      <w:r>
        <w:rPr>
          <w:rFonts w:ascii="Times New Roman" w:hAnsi="Times New Roman" w:eastAsia="SimSun" w:cs="宋体"/>
          <w:b w:val="0"/>
          <w:sz w:val="21"/>
          <w:szCs w:val="24"/>
        </w:rPr>
        <w:t>夜间灯光强度在不同时点上的空间传导关系见附录图D3。</w:t>
      </w:r>
    </w:p>
    <w:p w14:paraId="3AA196E9">
      <w:pPr>
        <w:ind w:firstLine="720" w:firstLineChars="0"/>
        <w:rPr>
          <w:rFonts w:hint="default"/>
          <w:lang w:val="en-US" w:eastAsia="zh-CN"/>
        </w:rPr>
      </w:pPr>
      <w:r>
        <w:rPr>
          <w:rFonts w:hint="default" w:ascii="Times New Roman" w:hAnsi="Times New Roman" w:eastAsia="SimSun"/>
          <w:b w:val="0"/>
          <w:sz w:val="21"/>
          <w:lang w:val="en-US" w:eastAsia="zh-CN"/>
        </w:rPr>
        <w:t>从控制变量看，对外开放水平的直接效应为 0.4291，并在 1% 水平上显著为正，但其间接效应和总效应均未通过显著性检验，说明开放水平对碳排放效率的促进作用主要体现在本地区，而跨区域扩散效应相对有限。研发投入的直接效应为 5.1231，在 5% 水平上显著为正，但其间接效应和总效应不显著，表明创新投入更多体现为本地效应。城镇化水平的直接效应为 -2.0083，在 1% 水平上显著为负，总效应为 -1.5906，在 5% 水平上显著为负，说明当前样本期内城镇化扩张对碳排放效率仍表现出较强的抑制作用。能源结构的直接效应不显著，但其间接效应和总效应分别为 -1.0566 和 -1.0787，均在 1% 水平上显著为负，表明高煤炭依赖不仅不利于本地区绿色发展，也可能通过空间联系对周边地区产生负向外部影响。相比之下，产业结构变量的直接效应、间接效应和总效应均未通过显著性检验，说明其作用方向在当前设定下尚不稳定。</w:t>
      </w:r>
    </w:p>
    <w:p w14:paraId="7582E702">
      <w:pPr>
        <w:ind w:firstLine="720" w:firstLineChars="0"/>
        <w:rPr>
          <w:rFonts w:hint="default"/>
          <w:lang w:val="en-US" w:eastAsia="zh-CN"/>
        </w:rPr>
      </w:pPr>
      <w:r>
        <w:rPr>
          <w:rFonts w:hint="default" w:ascii="Times New Roman" w:hAnsi="Times New Roman" w:eastAsia="SimSun"/>
          <w:b w:val="0"/>
          <w:sz w:val="21"/>
          <w:lang w:val="en-US" w:eastAsia="zh-CN"/>
        </w:rPr>
        <w:t>总体来看，空间杜宾模型结果表明，省际碳排放效率不仅具有整体空间相关性，还存在较为明显的空间溢出机制。其中，夜间灯光强度的正向溢出效应最为突出，说明区域发展活力、基础设施条件和经济联系的增强，有助于通过跨区域传导带动周边地区绿色发展效率提升。这意味着，低碳治理不应仅停留在单一地区内部，而应更加重视跨区域协同、要素流动和技术扩散所带来的联动效应。</w:t>
      </w:r>
    </w:p>
    <w:p w14:paraId="237714A9">
      <w:pPr>
        <w:pStyle w:val="3"/>
        <w:jc w:val="both"/>
        <w:rPr>
          <w:color w:val="auto"/>
          <w:szCs w:val="30"/>
          <w:lang w:eastAsia="zh-CN"/>
        </w:rPr>
      </w:pPr>
      <w:bookmarkStart w:id="63" w:name="_Toc16931"/>
      <w:r>
        <w:rPr>
          <w:rFonts w:ascii="Times New Roman" w:hAnsi="Times New Roman" w:eastAsia="SimSun"/>
          <w:b w:val="0"/>
          <w:color w:val="auto"/>
          <w:sz w:val="21"/>
          <w:szCs w:val="30"/>
          <w:lang w:eastAsia="zh-CN"/>
        </w:rPr>
        <w:t>八、面板回归模型诊断与稳健性检验</w:t>
      </w:r>
      <w:bookmarkEnd w:id="63"/>
    </w:p>
    <w:p w14:paraId="2A605463">
      <w:pPr>
        <w:pStyle w:val="4"/>
        <w:jc w:val="both"/>
        <w:rPr>
          <w:rFonts w:ascii="楷体" w:hAnsi="楷体"/>
          <w:color w:val="auto"/>
          <w:lang w:eastAsia="zh-CN"/>
        </w:rPr>
      </w:pPr>
      <w:bookmarkStart w:id="64" w:name="_Toc5259"/>
      <w:r>
        <w:rPr>
          <w:rFonts w:ascii="Times New Roman" w:hAnsi="Times New Roman" w:eastAsia="SimSun"/>
          <w:b w:val="0"/>
          <w:color w:val="auto"/>
          <w:sz w:val="21"/>
          <w:lang w:eastAsia="zh-CN"/>
        </w:rPr>
        <w:t>（一）模型诊断</w:t>
      </w:r>
      <w:bookmarkEnd w:id="64"/>
    </w:p>
    <w:p w14:paraId="1F05811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 xml:space="preserve">本节主要针对第二阶段面板回归模型开展诊断分析，以检验基准设定的合理性和估计结果的可靠性。由表10可知，样本量为240，覆盖30个省级地区和8个年份。模型的 </w:t>
      </w:r>
      <w:r>
        <w:rPr>
          <w:rFonts w:hint="eastAsia" w:ascii="Times New Roman" w:hAnsi="Times New Roman" w:eastAsia="SimSun"/>
          <w:b w:val="0"/>
          <w:sz w:val="21"/>
          <w:lang w:val="en-US" w:eastAsia="zh-CN"/>
        </w:rPr>
        <w:t>R</w:t>
      </w:r>
      <w:r>
        <w:rPr>
          <w:rFonts w:hint="eastAsia" w:ascii="Times New Roman" w:hAnsi="Times New Roman" w:eastAsia="SimSun"/>
          <w:b w:val="0"/>
          <w:sz w:val="21"/>
          <w:vertAlign w:val="superscript"/>
          <w:lang w:val="en-US" w:eastAsia="zh-CN"/>
        </w:rPr>
        <w:t>2</w:t>
      </w:r>
      <w:r>
        <w:rPr>
          <w:rFonts w:ascii="Times New Roman" w:hAnsi="Times New Roman" w:eastAsia="SimSun"/>
          <w:b w:val="0"/>
          <w:sz w:val="21"/>
          <w:lang w:eastAsia="zh-CN"/>
        </w:rPr>
        <w:t xml:space="preserve"> 为0.2647，表明在控制省份固定效应和年份固定效应后，核心解释变量及控制变量仍能够解释约26.47%的</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碳排放效率变动。与此同时，F统计量和稳健F统计量对应的检验 p 值均小于0.001，说明模型整体具有较好的统计显著性；Poolability检验同样显著，进一步支持采用固定效应设定而非简单混合回归。总体来看，基准面板模型在统计检验意义上具有较好的可用性，为后续系数解释、残差诊断和稳健性检验提供了基础。</w:t>
      </w:r>
    </w:p>
    <w:p w14:paraId="3135B3B5">
      <w:pPr>
        <w:pStyle w:val="15"/>
        <w:rPr>
          <w:lang w:eastAsia="zh-CN"/>
        </w:rPr>
      </w:pPr>
      <w:r>
        <w:rPr>
          <w:rFonts w:ascii="Times New Roman" w:hAnsi="Times New Roman" w:eastAsia="SimSun"/>
          <w:b w:val="0"/>
          <w:sz w:val="21"/>
          <w:lang w:eastAsia="zh-CN"/>
        </w:rPr>
        <w:t xml:space="preserve">表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表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8</w:t>
      </w:r>
      <w:r>
        <w:rPr>
          <w:rFonts w:ascii="Times New Roman" w:hAnsi="Times New Roman" w:eastAsia="SimSun"/>
          <w:b w:val="0"/>
          <w:sz w:val="21"/>
        </w:rPr>
        <w:fldChar w:fldCharType="end"/>
      </w:r>
      <w:bookmarkStart w:id="65" w:name="_Toc5007"/>
      <w:r>
        <w:rPr>
          <w:rFonts w:hint="eastAsia" w:ascii="Times New Roman" w:hAnsi="Times New Roman" w:eastAsia="SimSun"/>
          <w:b w:val="0"/>
          <w:sz w:val="21"/>
          <w:lang w:eastAsia="zh-CN"/>
        </w:rPr>
        <w:t xml:space="preserve"> </w:t>
      </w:r>
      <w:r>
        <w:rPr>
          <w:rFonts w:ascii="Times New Roman" w:hAnsi="Times New Roman" w:eastAsia="SimSun"/>
          <w:b w:val="0"/>
          <w:sz w:val="21"/>
          <w:lang w:eastAsia="zh-CN"/>
        </w:rPr>
        <w:t>基准面板回归模型拟合统计量与诊断摘要</w:t>
      </w:r>
      <w:bookmarkEnd w:id="65"/>
    </w:p>
    <w:tbl>
      <w:tblPr>
        <w:tblStyle w:val="4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26"/>
        <w:gridCol w:w="2214"/>
        <w:gridCol w:w="2227"/>
        <w:gridCol w:w="2195"/>
      </w:tblGrid>
      <w:tr w14:paraId="60A96C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12" w:space="0"/>
              <w:bottom w:val="single" w:color="000000" w:sz="4" w:space="0"/>
              <w:tl2br w:val="nil"/>
            </w:tcBorders>
            <w:shd w:val="clear" w:color="auto" w:fill="FFFFFF"/>
          </w:tcPr>
          <w:p w14:paraId="743BFF9E">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3CCA3A93">
            <w:pPr>
              <w:spacing w:after="0"/>
              <w:jc w:val="center"/>
              <w:rPr>
                <w:color w:val="000000"/>
                <w:szCs w:val="24"/>
              </w:rPr>
            </w:pPr>
            <w:r>
              <w:rPr>
                <w:rFonts w:ascii="宋体" w:hAnsi="宋体"/>
                <w:color w:val="000000"/>
                <w:szCs w:val="24"/>
              </w:rPr>
              <w:t>值</w:t>
            </w:r>
          </w:p>
        </w:tc>
        <w:tc>
          <w:tcPr>
            <w:tcW w:w="2266" w:type="dxa"/>
            <w:tcBorders>
              <w:top w:val="single" w:color="000000" w:sz="12" w:space="0"/>
              <w:bottom w:val="single" w:color="000000" w:sz="4" w:space="0"/>
            </w:tcBorders>
            <w:shd w:val="clear" w:color="auto" w:fill="FFFFFF"/>
          </w:tcPr>
          <w:p w14:paraId="3535DBB7">
            <w:pPr>
              <w:spacing w:after="0"/>
              <w:jc w:val="center"/>
              <w:rPr>
                <w:color w:val="000000"/>
                <w:szCs w:val="24"/>
              </w:rPr>
            </w:pPr>
            <w:r>
              <w:rPr>
                <w:rFonts w:ascii="宋体" w:hAnsi="宋体"/>
                <w:color w:val="000000"/>
                <w:szCs w:val="24"/>
              </w:rPr>
              <w:t>指标</w:t>
            </w:r>
          </w:p>
        </w:tc>
        <w:tc>
          <w:tcPr>
            <w:tcW w:w="2266" w:type="dxa"/>
            <w:tcBorders>
              <w:top w:val="single" w:color="000000" w:sz="12" w:space="0"/>
              <w:bottom w:val="single" w:color="000000" w:sz="4" w:space="0"/>
            </w:tcBorders>
            <w:shd w:val="clear" w:color="auto" w:fill="FFFFFF"/>
          </w:tcPr>
          <w:p w14:paraId="6E3ACBCD">
            <w:pPr>
              <w:spacing w:after="0"/>
              <w:jc w:val="center"/>
              <w:rPr>
                <w:color w:val="000000"/>
                <w:szCs w:val="24"/>
              </w:rPr>
            </w:pPr>
            <w:r>
              <w:rPr>
                <w:rFonts w:ascii="宋体" w:hAnsi="宋体"/>
                <w:color w:val="000000"/>
                <w:szCs w:val="24"/>
              </w:rPr>
              <w:t>值</w:t>
            </w:r>
          </w:p>
        </w:tc>
      </w:tr>
      <w:tr w14:paraId="5FD6E0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single" w:color="000000" w:sz="4" w:space="0"/>
              <w:bottom w:val="nil"/>
            </w:tcBorders>
            <w:shd w:val="clear" w:color="auto" w:fill="FFFFFF"/>
          </w:tcPr>
          <w:p w14:paraId="5EC30C37">
            <w:pPr>
              <w:spacing w:after="0"/>
              <w:jc w:val="center"/>
              <w:rPr>
                <w:color w:val="000000"/>
                <w:szCs w:val="24"/>
              </w:rPr>
            </w:pPr>
            <w:r>
              <w:rPr>
                <w:rFonts w:ascii="宋体" w:hAnsi="宋体"/>
                <w:color w:val="000000"/>
                <w:szCs w:val="24"/>
              </w:rPr>
              <w:t>样本量（N）</w:t>
            </w:r>
          </w:p>
        </w:tc>
        <w:tc>
          <w:tcPr>
            <w:tcW w:w="2266" w:type="dxa"/>
            <w:tcBorders>
              <w:top w:val="single" w:color="000000" w:sz="4" w:space="0"/>
              <w:bottom w:val="nil"/>
            </w:tcBorders>
            <w:shd w:val="clear" w:color="auto" w:fill="FFFFFF"/>
          </w:tcPr>
          <w:p w14:paraId="7BB88C51">
            <w:pPr>
              <w:spacing w:after="0"/>
              <w:jc w:val="center"/>
              <w:rPr>
                <w:color w:val="000000"/>
                <w:szCs w:val="24"/>
              </w:rPr>
            </w:pPr>
            <w:r>
              <w:rPr>
                <w:rFonts w:ascii="宋体" w:hAnsi="宋体"/>
                <w:color w:val="000000"/>
                <w:szCs w:val="24"/>
              </w:rPr>
              <w:t>240</w:t>
            </w:r>
          </w:p>
        </w:tc>
        <w:tc>
          <w:tcPr>
            <w:tcW w:w="2266" w:type="dxa"/>
            <w:tcBorders>
              <w:top w:val="single" w:color="000000" w:sz="4" w:space="0"/>
              <w:bottom w:val="nil"/>
            </w:tcBorders>
            <w:shd w:val="clear" w:color="auto" w:fill="FFFFFF"/>
          </w:tcPr>
          <w:p w14:paraId="71EC06AB">
            <w:pPr>
              <w:spacing w:after="0"/>
              <w:jc w:val="center"/>
              <w:rPr>
                <w:color w:val="000000"/>
                <w:szCs w:val="24"/>
              </w:rPr>
            </w:pPr>
            <w:r>
              <w:rPr>
                <w:rFonts w:ascii="宋体" w:hAnsi="宋体"/>
                <w:color w:val="000000"/>
                <w:szCs w:val="24"/>
              </w:rPr>
              <w:t>省份数量</w:t>
            </w:r>
          </w:p>
        </w:tc>
        <w:tc>
          <w:tcPr>
            <w:tcW w:w="2266" w:type="dxa"/>
            <w:tcBorders>
              <w:top w:val="single" w:color="000000" w:sz="4" w:space="0"/>
              <w:bottom w:val="nil"/>
            </w:tcBorders>
            <w:shd w:val="clear" w:color="auto" w:fill="FFFFFF"/>
          </w:tcPr>
          <w:p w14:paraId="06C8C915">
            <w:pPr>
              <w:spacing w:after="0"/>
              <w:jc w:val="center"/>
              <w:rPr>
                <w:color w:val="000000"/>
                <w:szCs w:val="24"/>
              </w:rPr>
            </w:pPr>
            <w:r>
              <w:rPr>
                <w:rFonts w:ascii="宋体" w:hAnsi="宋体"/>
                <w:color w:val="000000"/>
                <w:szCs w:val="24"/>
              </w:rPr>
              <w:t>30</w:t>
            </w:r>
          </w:p>
        </w:tc>
      </w:tr>
      <w:tr w14:paraId="72EB567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180BE91">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pPr>
              <w:spacing w:after="0"/>
              <w:jc w:val="center"/>
              <w:rPr>
                <w:color w:val="000000"/>
                <w:szCs w:val="24"/>
              </w:rPr>
            </w:pPr>
            <w:r>
              <w:rPr>
                <w:rFonts w:ascii="宋体" w:hAnsi="宋体"/>
                <w:color w:val="000000"/>
                <w:szCs w:val="24"/>
              </w:rPr>
              <w:t>0.2647</w:t>
            </w:r>
          </w:p>
        </w:tc>
      </w:tr>
      <w:tr w14:paraId="228B8B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602EC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pPr>
              <w:spacing w:after="0"/>
              <w:jc w:val="center"/>
              <w:rPr>
                <w:color w:val="000000"/>
                <w:szCs w:val="24"/>
              </w:rPr>
            </w:pPr>
            <w:r>
              <w:rPr>
                <w:rFonts w:ascii="宋体" w:hAnsi="宋体"/>
                <w:color w:val="000000"/>
                <w:szCs w:val="24"/>
              </w:rPr>
              <w:t>&lt;0.001</w:t>
            </w:r>
          </w:p>
        </w:tc>
      </w:tr>
      <w:tr w14:paraId="5E06E4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5E6DA7AD">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pPr>
              <w:spacing w:after="0"/>
              <w:jc w:val="center"/>
              <w:rPr>
                <w:color w:val="000000"/>
                <w:szCs w:val="24"/>
              </w:rPr>
            </w:pPr>
            <w:r>
              <w:rPr>
                <w:rFonts w:ascii="宋体" w:hAnsi="宋体"/>
                <w:color w:val="000000"/>
                <w:szCs w:val="24"/>
              </w:rPr>
              <w:t>&lt;0.001</w:t>
            </w:r>
          </w:p>
        </w:tc>
      </w:tr>
      <w:tr w14:paraId="1BB729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nil"/>
            </w:tcBorders>
            <w:shd w:val="clear" w:color="auto" w:fill="FFFFFF"/>
          </w:tcPr>
          <w:p w14:paraId="49814E18">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pPr>
              <w:spacing w:after="0"/>
              <w:jc w:val="center"/>
              <w:rPr>
                <w:color w:val="000000"/>
                <w:szCs w:val="24"/>
              </w:rPr>
            </w:pPr>
            <w:r>
              <w:rPr>
                <w:rFonts w:ascii="宋体" w:hAnsi="宋体"/>
                <w:color w:val="000000"/>
                <w:szCs w:val="24"/>
              </w:rPr>
              <w:t>&lt;0.001</w:t>
            </w:r>
          </w:p>
        </w:tc>
      </w:tr>
      <w:tr w14:paraId="6A35C7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266" w:type="dxa"/>
            <w:tcBorders>
              <w:top w:val="nil"/>
              <w:bottom w:val="single" w:color="000000" w:sz="12" w:space="0"/>
            </w:tcBorders>
            <w:shd w:val="clear" w:color="auto" w:fill="FFFFFF"/>
          </w:tcPr>
          <w:p w14:paraId="5CAFEF7B">
            <w:pPr>
              <w:spacing w:after="0"/>
              <w:jc w:val="center"/>
              <w:rPr>
                <w:color w:val="000000"/>
                <w:szCs w:val="24"/>
              </w:rPr>
            </w:pPr>
            <w:r>
              <w:rPr>
                <w:rFonts w:ascii="宋体" w:hAnsi="宋体"/>
                <w:color w:val="000000"/>
                <w:szCs w:val="24"/>
              </w:rPr>
              <w:t>协方差估计方法</w:t>
            </w:r>
          </w:p>
        </w:tc>
        <w:tc>
          <w:tcPr>
            <w:tcW w:w="2266" w:type="dxa"/>
            <w:tcBorders>
              <w:top w:val="nil"/>
              <w:bottom w:val="single" w:color="000000" w:sz="12" w:space="0"/>
            </w:tcBorders>
            <w:shd w:val="clear" w:color="auto" w:fill="FFFFFF"/>
          </w:tcPr>
          <w:p w14:paraId="64832E41">
            <w:pPr>
              <w:spacing w:after="0"/>
              <w:jc w:val="center"/>
              <w:rPr>
                <w:color w:val="000000"/>
                <w:szCs w:val="24"/>
              </w:rPr>
            </w:pPr>
            <w:r>
              <w:rPr>
                <w:rFonts w:ascii="宋体" w:hAnsi="宋体"/>
                <w:color w:val="000000"/>
                <w:szCs w:val="24"/>
              </w:rPr>
              <w:t>Driscoll-Kraay</w:t>
            </w:r>
          </w:p>
        </w:tc>
        <w:tc>
          <w:tcPr>
            <w:tcW w:w="2266" w:type="dxa"/>
            <w:tcBorders>
              <w:top w:val="nil"/>
              <w:bottom w:val="single" w:color="000000" w:sz="12" w:space="0"/>
            </w:tcBorders>
            <w:shd w:val="clear" w:color="auto" w:fill="FFFFFF"/>
          </w:tcPr>
          <w:p w14:paraId="17925506">
            <w:pPr>
              <w:spacing w:after="0"/>
              <w:jc w:val="center"/>
              <w:rPr>
                <w:color w:val="000000"/>
                <w:szCs w:val="24"/>
              </w:rPr>
            </w:pPr>
            <w:r>
              <w:rPr>
                <w:rFonts w:ascii="宋体" w:hAnsi="宋体"/>
                <w:color w:val="000000"/>
                <w:szCs w:val="24"/>
              </w:rPr>
              <w:t>参数个数</w:t>
            </w:r>
          </w:p>
        </w:tc>
        <w:tc>
          <w:tcPr>
            <w:tcW w:w="2266" w:type="dxa"/>
            <w:tcBorders>
              <w:top w:val="nil"/>
              <w:bottom w:val="single" w:color="000000" w:sz="12" w:space="0"/>
            </w:tcBorders>
            <w:shd w:val="clear" w:color="auto" w:fill="FFFFFF"/>
          </w:tcPr>
          <w:p w14:paraId="63D47FC0">
            <w:pPr>
              <w:spacing w:after="0"/>
              <w:jc w:val="center"/>
              <w:rPr>
                <w:color w:val="000000"/>
                <w:szCs w:val="24"/>
              </w:rPr>
            </w:pPr>
            <w:r>
              <w:rPr>
                <w:rFonts w:ascii="宋体" w:hAnsi="宋体"/>
                <w:color w:val="000000"/>
                <w:szCs w:val="24"/>
              </w:rPr>
              <w:t>6</w:t>
            </w:r>
          </w:p>
        </w:tc>
      </w:tr>
    </w:tbl>
    <w:p w14:paraId="0A56D84B">
      <w:pPr>
        <w:bidi w:val="0"/>
        <w:jc w:val="center"/>
        <w:rPr>
          <w:lang w:eastAsia="zh-CN"/>
        </w:rPr>
      </w:pPr>
      <w:r>
        <w:rPr>
          <w:rFonts w:ascii="Times New Roman" w:hAnsi="Times New Roman" w:eastAsia="SimSun"/>
          <w:b w:val="0"/>
          <w:sz w:val="21"/>
          <w:lang w:eastAsia="zh-CN"/>
        </w:rPr>
        <w:drawing>
          <wp:inline distT="0" distB="0" distL="114300" distR="114300">
            <wp:extent cx="5779135" cy="2789555"/>
            <wp:effectExtent l="0" t="0" r="0" b="0"/>
            <wp:docPr id="26" name="图片 26" descr="08_诊断图组后二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诊断图组后二联图"/>
                    <pic:cNvPicPr>
                      <a:picLocks noChangeAspect="1"/>
                    </pic:cNvPicPr>
                  </pic:nvPicPr>
                  <pic:blipFill>
                    <a:blip r:embed="rId30"/>
                    <a:srcRect t="10566"/>
                    <a:stretch>
                      <a:fillRect/>
                    </a:stretch>
                  </pic:blipFill>
                  <pic:spPr>
                    <a:xfrm>
                      <a:off x="0" y="0"/>
                      <a:ext cx="5779135" cy="2789555"/>
                    </a:xfrm>
                    <a:prstGeom prst="rect">
                      <a:avLst/>
                    </a:prstGeom>
                  </pic:spPr>
                </pic:pic>
              </a:graphicData>
            </a:graphic>
          </wp:inline>
        </w:drawing>
      </w:r>
    </w:p>
    <w:p w14:paraId="21E42EAC">
      <w:pPr>
        <w:pStyle w:val="15"/>
        <w:rPr>
          <w:lang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23</w:t>
      </w:r>
      <w:r>
        <w:rPr>
          <w:rFonts w:ascii="Times New Roman" w:hAnsi="Times New Roman" w:eastAsia="SimSun"/>
          <w:b w:val="0"/>
          <w:sz w:val="21"/>
        </w:rPr>
        <w:fldChar w:fldCharType="end"/>
      </w:r>
      <w:bookmarkStart w:id="66" w:name="_Toc19481"/>
      <w:r>
        <w:rPr>
          <w:rFonts w:hint="eastAsia" w:ascii="Times New Roman" w:hAnsi="Times New Roman" w:eastAsia="SimSun"/>
          <w:b w:val="0"/>
          <w:sz w:val="21"/>
          <w:lang w:eastAsia="zh-CN"/>
        </w:rPr>
        <w:t xml:space="preserve"> 基准模型拟合与残差诊断图</w:t>
      </w:r>
      <w:bookmarkEnd w:id="66"/>
    </w:p>
    <w:p w14:paraId="09E22AB3">
      <w:pPr>
        <w:ind w:firstLine="720"/>
        <w:rPr>
          <w:lang w:eastAsia="zh-CN"/>
        </w:rPr>
      </w:pPr>
      <w:r>
        <w:rPr>
          <w:rStyle w:val="143"/>
          <w:rFonts w:hint="eastAsia" w:ascii="Times New Roman" w:hAnsi="Times New Roman" w:eastAsia="SimSun"/>
          <w:b w:val="0"/>
          <w:sz w:val="21"/>
          <w:szCs w:val="22"/>
          <w:lang w:val="en-US" w:eastAsia="zh-CN"/>
        </w:rPr>
        <w:t>上图</w:t>
      </w:r>
      <w:r>
        <w:rPr>
          <w:rStyle w:val="143"/>
          <w:rFonts w:hint="eastAsia" w:ascii="Times New Roman" w:hAnsi="Times New Roman" w:eastAsia="SimSun"/>
          <w:b w:val="0"/>
          <w:sz w:val="21"/>
          <w:szCs w:val="22"/>
          <w:lang w:eastAsia="zh-CN"/>
        </w:rPr>
        <w:t>为基准回归残差诊断图组，包含拟合值—残差图和标准化残差 Q-Q 图。整体来看，残差大体对称分布在零值附近，未见显著的系统性异常，Q-Q 图中样本点整体贴近参考线，仅在尾部存在一定偏离。这表明基准模型的残差特征总体稳定，图形诊断结果与表</w:t>
      </w:r>
      <w:r>
        <w:rPr>
          <w:rStyle w:val="143"/>
          <w:rFonts w:hint="eastAsia" w:ascii="Times New Roman" w:hAnsi="Times New Roman" w:eastAsia="SimSun"/>
          <w:b w:val="0"/>
          <w:sz w:val="21"/>
          <w:szCs w:val="22"/>
          <w:lang w:val="en-US" w:eastAsia="zh-CN"/>
        </w:rPr>
        <w:t>8</w:t>
      </w:r>
      <w:r>
        <w:rPr>
          <w:rStyle w:val="143"/>
          <w:rFonts w:hint="eastAsia" w:ascii="Times New Roman" w:hAnsi="Times New Roman" w:eastAsia="SimSun"/>
          <w:b w:val="0"/>
          <w:sz w:val="21"/>
          <w:szCs w:val="22"/>
          <w:lang w:eastAsia="zh-CN"/>
        </w:rPr>
        <w:t>中的统计结果基本一致。</w:t>
      </w:r>
    </w:p>
    <w:p w14:paraId="147EA82D">
      <w:pPr>
        <w:pStyle w:val="4"/>
        <w:jc w:val="both"/>
        <w:rPr>
          <w:rFonts w:ascii="楷体" w:hAnsi="楷体"/>
          <w:color w:val="auto"/>
          <w:lang w:eastAsia="zh-CN"/>
        </w:rPr>
      </w:pPr>
      <w:bookmarkStart w:id="67" w:name="_Toc14908"/>
      <w:r>
        <w:rPr>
          <w:rFonts w:ascii="Times New Roman" w:hAnsi="Times New Roman" w:eastAsia="SimSun"/>
          <w:b w:val="0"/>
          <w:color w:val="auto"/>
          <w:sz w:val="21"/>
          <w:lang w:eastAsia="zh-CN"/>
        </w:rPr>
        <w:t>（二）</w:t>
      </w:r>
      <w:r>
        <w:rPr>
          <w:rFonts w:hint="eastAsia" w:ascii="Times New Roman" w:hAnsi="Times New Roman" w:eastAsia="SimSun"/>
          <w:b w:val="0"/>
          <w:color w:val="auto"/>
          <w:sz w:val="21"/>
          <w:lang w:eastAsia="zh-CN"/>
        </w:rPr>
        <w:t>稳健性检验</w:t>
      </w:r>
      <w:bookmarkEnd w:id="67"/>
    </w:p>
    <w:p w14:paraId="486203F5">
      <w:pPr>
        <w:jc w:val="center"/>
        <w:rPr>
          <w:lang w:eastAsia="zh-CN"/>
        </w:rPr>
      </w:pPr>
      <w:r>
        <w:rPr>
          <w:rFonts w:ascii="Times New Roman" w:hAnsi="Times New Roman" w:eastAsia="SimSun"/>
          <w:b w:val="0"/>
          <w:sz w:val="21"/>
          <w:lang w:eastAsia="zh-CN"/>
        </w:rPr>
        <w:drawing>
          <wp:inline distT="0" distB="0" distL="114300" distR="114300">
            <wp:extent cx="5482590" cy="3080385"/>
            <wp:effectExtent l="0" t="0" r="3810" b="5715"/>
            <wp:docPr id="10" name="图片 10"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稳健性核心森林图"/>
                    <pic:cNvPicPr>
                      <a:picLocks noChangeAspect="1"/>
                    </pic:cNvPicPr>
                  </pic:nvPicPr>
                  <pic:blipFill>
                    <a:blip r:embed="rId31"/>
                    <a:stretch>
                      <a:fillRect/>
                    </a:stretch>
                  </pic:blipFill>
                  <pic:spPr>
                    <a:xfrm>
                      <a:off x="0" y="0"/>
                      <a:ext cx="5482590" cy="3080385"/>
                    </a:xfrm>
                    <a:prstGeom prst="rect">
                      <a:avLst/>
                    </a:prstGeom>
                  </pic:spPr>
                </pic:pic>
              </a:graphicData>
            </a:graphic>
          </wp:inline>
        </w:drawing>
      </w:r>
    </w:p>
    <w:p w14:paraId="733EB255">
      <w:pPr>
        <w:pStyle w:val="15"/>
        <w:rPr>
          <w:rFonts w:hint="default"/>
          <w:lang w:val="en-US" w:eastAsia="zh-CN"/>
        </w:rPr>
      </w:pPr>
      <w:r>
        <w:rPr>
          <w:rFonts w:ascii="Times New Roman" w:hAnsi="Times New Roman" w:eastAsia="SimSun"/>
          <w:b w:val="0"/>
          <w:sz w:val="21"/>
          <w:lang w:eastAsia="zh-CN"/>
        </w:rPr>
        <w:t xml:space="preserve">图 </w:t>
      </w:r>
      <w:r>
        <w:rPr>
          <w:rFonts w:ascii="Times New Roman" w:hAnsi="Times New Roman" w:eastAsia="SimSun"/>
          <w:b w:val="0"/>
          <w:sz w:val="21"/>
        </w:rPr>
        <w:fldChar w:fldCharType="begin"/>
      </w:r>
      <w:r>
        <w:rPr>
          <w:rFonts w:ascii="Times New Roman" w:hAnsi="Times New Roman" w:eastAsia="SimSun"/>
          <w:b w:val="0"/>
          <w:sz w:val="21"/>
          <w:lang w:eastAsia="zh-CN"/>
        </w:rPr>
        <w:instrText xml:space="preserve"> SEQ 图 \* ARABIC </w:instrText>
      </w:r>
      <w:r>
        <w:rPr>
          <w:rFonts w:ascii="Times New Roman" w:hAnsi="Times New Roman" w:eastAsia="SimSun"/>
          <w:b w:val="0"/>
          <w:sz w:val="21"/>
        </w:rPr>
        <w:fldChar w:fldCharType="separate"/>
      </w:r>
      <w:r>
        <w:rPr>
          <w:rFonts w:ascii="Times New Roman" w:hAnsi="Times New Roman" w:eastAsia="SimSun"/>
          <w:b w:val="0"/>
          <w:sz w:val="21"/>
          <w:lang w:eastAsia="zh-CN"/>
        </w:rPr>
        <w:t>24</w:t>
      </w:r>
      <w:r>
        <w:rPr>
          <w:rFonts w:ascii="Times New Roman" w:hAnsi="Times New Roman" w:eastAsia="SimSun"/>
          <w:b w:val="0"/>
          <w:sz w:val="21"/>
        </w:rPr>
        <w:fldChar w:fldCharType="end"/>
      </w:r>
      <w:bookmarkStart w:id="68" w:name="_Toc30798"/>
      <w:r>
        <w:rPr>
          <w:rFonts w:hint="eastAsia" w:ascii="Times New Roman" w:hAnsi="Times New Roman" w:eastAsia="SimSun"/>
          <w:b w:val="0"/>
          <w:sz w:val="21"/>
          <w:lang w:eastAsia="zh-CN"/>
        </w:rPr>
        <w:t xml:space="preserve"> </w:t>
      </w:r>
      <w:r>
        <w:rPr>
          <w:rFonts w:hint="eastAsia" w:ascii="Times New Roman" w:hAnsi="Times New Roman" w:eastAsia="SimSun"/>
          <w:b w:val="0"/>
          <w:sz w:val="21"/>
          <w:lang w:val="en-US" w:eastAsia="zh-CN"/>
        </w:rPr>
        <w:t>稳健性检验核心系数森林图</w:t>
      </w:r>
      <w:bookmarkEnd w:id="68"/>
    </w:p>
    <w:p w14:paraId="474C4909">
      <w:pPr>
        <w:ind w:firstLine="720"/>
        <w:rPr>
          <w:lang w:eastAsia="zh-CN"/>
        </w:rPr>
      </w:pPr>
      <w:r>
        <w:rPr>
          <w:rFonts w:ascii="Times New Roman" w:hAnsi="Times New Roman" w:eastAsia="SimSun"/>
          <w:b w:val="0"/>
          <w:sz w:val="21"/>
        </w:rPr>
        <w:t>上图展示了核心解释变量在基准模型、1%缩尾、5%缩尾和滞后一期设定下的稳健性检验结果。整体来看，夜间灯光强度系数方向保持一致，且均为正值，说明基准结论并非由个别极端样本或单一模型设定所驱动，具有较好的稳定性。进一步看，在1%缩尾和5%缩尾处理后，系数分别为0.1758和0.1703，且均在5%水平上显著，表明极端观测值并未改变夜间灯光强度对碳排放效率的正向影响。将核心解释变量滞后一期后，系数上升至0.2215，并在1%水平上显著，说明夜间灯光强度对碳排放效率的影响并非完全在当期即时体现，而更可能通过基础设施完善、产业结构调整、技术扩散和资源重新配置等过程逐步传导，因此具有一定的滞后效应。与此同时，城镇化率在稳健性设定下仍保持显著负向影响，对外开放变量总体维持正向作用，进一步说明基准回归结果具有较强一致性。 空间SDM在不同权重矩阵及滞后一期设定下的稳健性对比见附录表D2。</w:t>
      </w:r>
    </w:p>
    <w:p w14:paraId="549AB64F">
      <w:pPr>
        <w:pStyle w:val="4"/>
        <w:jc w:val="both"/>
        <w:rPr>
          <w:rFonts w:ascii="楷体" w:hAnsi="楷体"/>
          <w:color w:val="auto"/>
          <w:lang w:eastAsia="zh-CN"/>
        </w:rPr>
      </w:pPr>
      <w:r>
        <w:rPr>
          <w:rFonts w:ascii="Times New Roman" w:hAnsi="Times New Roman" w:eastAsia="SimSun"/>
          <w:b w:val="0"/>
          <w:sz w:val="21"/>
        </w:rPr>
        <w:t>（三）区域异质性的补充说明</w:t>
      </w:r>
    </w:p>
    <w:p w14:paraId="0F85D97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考虑到中国不同区域在资源禀赋、产业结构和经济发展阶段方面存在明显差异，本文曾尝试按东部、中部、西部和东北地区进行分组比较。但受分组后样本量有限及结果稳定性不足影响，当前异质性分析结果尚不够稳健，因此本文暂不将其作为正式结论展开讨论，仅将其作为后续深化研究的方向之一。未来可在扩展样本、改进分组方法并结合空间计量结果的基础上，进一步识别夜间灯光强度作用的区域差异。</w:t>
      </w:r>
    </w:p>
    <w:p w14:paraId="33645C8B">
      <w:pPr>
        <w:pStyle w:val="3"/>
        <w:jc w:val="both"/>
        <w:rPr>
          <w:color w:val="auto"/>
          <w:szCs w:val="30"/>
          <w:lang w:eastAsia="zh-CN"/>
        </w:rPr>
      </w:pPr>
      <w:bookmarkStart w:id="70" w:name="_Toc29333"/>
      <w:r>
        <w:rPr>
          <w:rFonts w:ascii="Times New Roman" w:hAnsi="Times New Roman" w:eastAsia="SimSun"/>
          <w:b w:val="0"/>
          <w:color w:val="auto"/>
          <w:sz w:val="21"/>
          <w:szCs w:val="30"/>
          <w:lang w:eastAsia="zh-CN"/>
        </w:rPr>
        <w:t>九、研究结论与政策建议</w:t>
      </w:r>
      <w:bookmarkEnd w:id="70"/>
    </w:p>
    <w:p w14:paraId="2C3F0E7F">
      <w:pPr>
        <w:pStyle w:val="4"/>
        <w:jc w:val="both"/>
        <w:rPr>
          <w:rFonts w:ascii="楷体" w:hAnsi="楷体"/>
          <w:color w:val="auto"/>
          <w:lang w:eastAsia="zh-CN"/>
        </w:rPr>
      </w:pPr>
      <w:bookmarkStart w:id="71" w:name="_Toc3210"/>
      <w:r>
        <w:rPr>
          <w:rFonts w:ascii="Times New Roman" w:hAnsi="Times New Roman" w:eastAsia="SimSun"/>
          <w:b w:val="0"/>
          <w:color w:val="auto"/>
          <w:sz w:val="21"/>
          <w:lang w:eastAsia="zh-CN"/>
        </w:rPr>
        <w:t>（一）研究结论</w:t>
      </w:r>
      <w:bookmarkEnd w:id="71"/>
    </w:p>
    <w:p w14:paraId="6E865DAC">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本文以我国30个省级地区为研究对象，基于2015—2022年省级面板数据，构建了静态效率测度—动态演进分析—影响因素识别—空间相关性检验—空间溢出分析的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w:t>
      </w:r>
      <w:r>
        <w:rPr>
          <w:rFonts w:hint="eastAsia" w:ascii="Times New Roman" w:hAnsi="Times New Roman" w:eastAsia="SimSun"/>
          <w:b w:val="0"/>
          <w:sz w:val="21"/>
          <w:lang w:eastAsia="zh-CN"/>
        </w:rPr>
        <w:t>省域</w:t>
      </w:r>
      <w:r>
        <w:rPr>
          <w:rFonts w:ascii="Times New Roman" w:hAnsi="Times New Roman" w:eastAsia="SimSun"/>
          <w:b w:val="0"/>
          <w:sz w:val="21"/>
          <w:lang w:eastAsia="zh-CN"/>
        </w:rPr>
        <w:t>分化特征明显；第三，从动态演进看，Malmquist指数均值为1.0637，技术进步指数明显高于1，而技术效率变化指数略低于1，说明效率提升主要来源于技术进步驱动。第四，从空间相关性看，2015—2022年全局Moran’s I均为正值，且大多数年份在5%水平上显著，说明</w:t>
      </w:r>
      <w:r>
        <w:rPr>
          <w:rFonts w:hint="eastAsia" w:ascii="Times New Roman" w:hAnsi="Times New Roman" w:eastAsia="SimSun"/>
          <w:b w:val="0"/>
          <w:sz w:val="21"/>
          <w:lang w:eastAsia="zh-CN"/>
        </w:rPr>
        <w:t>省域</w:t>
      </w:r>
      <w:r>
        <w:rPr>
          <w:rFonts w:ascii="Times New Roman" w:hAnsi="Times New Roman" w:eastAsia="SimSun"/>
          <w:b w:val="0"/>
          <w:sz w:val="21"/>
          <w:lang w:eastAsia="zh-CN"/>
        </w:rPr>
        <w:t>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呈边际显著正向影响，城镇化率显著为负，对外开放水平显著为正，研发投入表现为边际显著促进作用。此外，空间杜宾模型结果表明，夜间灯光强度的间接效应和总效应显著为正，说明区域经济活跃度变化不仅影响本地碳排放效率，也会通过空间联系对周边地区产生正向外部影响。</w:t>
      </w:r>
    </w:p>
    <w:p w14:paraId="33C46F3E">
      <w:pPr>
        <w:pStyle w:val="4"/>
        <w:jc w:val="both"/>
        <w:rPr>
          <w:rFonts w:ascii="楷体" w:hAnsi="楷体"/>
          <w:color w:val="auto"/>
          <w:lang w:eastAsia="zh-CN"/>
        </w:rPr>
      </w:pPr>
      <w:bookmarkStart w:id="72" w:name="_Toc29053"/>
      <w:r>
        <w:rPr>
          <w:rFonts w:ascii="Times New Roman" w:hAnsi="Times New Roman" w:eastAsia="SimSun"/>
          <w:b w:val="0"/>
          <w:color w:val="auto"/>
          <w:sz w:val="21"/>
          <w:lang w:eastAsia="zh-CN"/>
        </w:rPr>
        <w:t>（二）政策建议</w:t>
      </w:r>
      <w:bookmarkEnd w:id="72"/>
    </w:p>
    <w:p w14:paraId="11EC7CC3">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一，因地制宜推进低碳治理。应根据不同地区碳排放效率水平、产业基础和资源禀赋，实施差异化低碳发展政策。对高效率地区，要进一步发挥技术创新和制度示范效应；对低效率地区，则应围绕落后产能退出、节能改造和绿色投资支持开展重点治理。</w:t>
      </w:r>
    </w:p>
    <w:p w14:paraId="387AF32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pPr>
        <w:spacing w:after="0" w:line="480" w:lineRule="exact"/>
        <w:ind w:firstLine="480" w:firstLineChars="200"/>
        <w:jc w:val="both"/>
        <w:rPr>
          <w:rFonts w:ascii="宋体" w:hAnsi="宋体"/>
          <w:lang w:eastAsia="zh-CN"/>
        </w:rPr>
      </w:pPr>
      <w:r>
        <w:rPr>
          <w:rFonts w:ascii="Times New Roman" w:hAnsi="Times New Roman" w:eastAsia="SimSun"/>
          <w:b w:val="0"/>
          <w:sz w:val="21"/>
          <w:lang w:eastAsia="zh-CN"/>
        </w:rPr>
        <w:t>第四，加强</w:t>
      </w:r>
      <w:r>
        <w:rPr>
          <w:rFonts w:hint="eastAsia" w:ascii="Times New Roman" w:hAnsi="Times New Roman" w:eastAsia="SimSun"/>
          <w:b w:val="0"/>
          <w:sz w:val="21"/>
          <w:lang w:eastAsia="zh-CN"/>
        </w:rPr>
        <w:t>省域</w:t>
      </w:r>
      <w:r>
        <w:rPr>
          <w:rFonts w:ascii="Times New Roman" w:hAnsi="Times New Roman" w:eastAsia="SimSun"/>
          <w:b w:val="0"/>
          <w:sz w:val="21"/>
          <w:lang w:eastAsia="zh-CN"/>
        </w:rPr>
        <w:t>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pPr>
        <w:pStyle w:val="3"/>
        <w:pageBreakBefore/>
        <w:spacing w:before="0" w:after="120" w:afterLines="50" w:line="480" w:lineRule="exact"/>
        <w:jc w:val="both"/>
        <w:rPr>
          <w:sz w:val="28"/>
        </w:rPr>
      </w:pPr>
      <w:bookmarkStart w:id="73" w:name="_Toc16541"/>
      <w:r>
        <w:rPr>
          <w:rFonts w:ascii="Times New Roman" w:hAnsi="Times New Roman" w:eastAsia="SimSun"/>
          <w:b w:val="0"/>
          <w:color w:val="auto"/>
          <w:sz w:val="21"/>
        </w:rPr>
        <w:t>参考文献</w:t>
      </w:r>
      <w:bookmarkEnd w:id="73"/>
    </w:p>
    <w:p w14:paraId="37E7935E">
      <w:pPr>
        <w:pStyle w:val="152"/>
        <w:numPr>
          <w:ilvl w:val="0"/>
          <w:numId w:val="8"/>
        </w:numPr>
        <w:autoSpaceDE w:val="0"/>
        <w:jc w:val="both"/>
      </w:pPr>
      <w:r>
        <w:rPr>
          <w:rFonts w:ascii="Times New Roman" w:hAnsi="Times New Roman" w:eastAsia="SimSun"/>
          <w:b w:val="0"/>
          <w:sz w:val="21"/>
        </w:rPr>
        <w:t>Charnes A, Cooper W W, Rhodes E. Measuring the efficiency of decision making units[J]. European Journal of Operational Research, 1978, 2(6): 429-444.</w:t>
      </w:r>
    </w:p>
    <w:p w14:paraId="4A0D4B73">
      <w:pPr>
        <w:pStyle w:val="152"/>
        <w:numPr>
          <w:ilvl w:val="0"/>
          <w:numId w:val="8"/>
        </w:numPr>
        <w:autoSpaceDE w:val="0"/>
        <w:jc w:val="both"/>
      </w:pPr>
      <w:r>
        <w:rPr>
          <w:rFonts w:ascii="Times New Roman" w:hAnsi="Times New Roman" w:eastAsia="SimSun"/>
          <w:b w:val="0"/>
          <w:sz w:val="21"/>
        </w:rPr>
        <w:t>Banker R D, Charnes A, Cooper W W. Some models for estimating technical and scale inefficiencies in data envelopment analysis[J]. Management Science, 1984, 30(9): 1078-1092.</w:t>
      </w:r>
    </w:p>
    <w:p w14:paraId="7B144D7F">
      <w:pPr>
        <w:pStyle w:val="152"/>
        <w:numPr>
          <w:ilvl w:val="0"/>
          <w:numId w:val="8"/>
        </w:numPr>
        <w:autoSpaceDE w:val="0"/>
        <w:jc w:val="both"/>
      </w:pPr>
      <w:r>
        <w:rPr>
          <w:rFonts w:ascii="Times New Roman" w:hAnsi="Times New Roman" w:eastAsia="SimSun"/>
          <w:b w:val="0"/>
          <w:sz w:val="21"/>
        </w:rPr>
        <w:t>Tone K. A slacks-based measure of efficiency in data envelopment analysis[J]. European Journal of Operational Research, 2001, 130(3): 498-509.</w:t>
      </w:r>
    </w:p>
    <w:p w14:paraId="54EDEF5B">
      <w:pPr>
        <w:pStyle w:val="152"/>
        <w:numPr>
          <w:ilvl w:val="0"/>
          <w:numId w:val="8"/>
        </w:numPr>
        <w:autoSpaceDE w:val="0"/>
        <w:jc w:val="both"/>
      </w:pPr>
      <w:r>
        <w:rPr>
          <w:rFonts w:ascii="Times New Roman" w:hAnsi="Times New Roman" w:eastAsia="SimSun"/>
          <w:b w:val="0"/>
          <w:sz w:val="21"/>
        </w:rPr>
        <w:t>Tone K. A slacks-based measure of super-efficiency in data envelopment analysis[J]. European Journal of Operational Research, 2002, 143(1): 32-41.</w:t>
      </w:r>
    </w:p>
    <w:p w14:paraId="47045764">
      <w:pPr>
        <w:pStyle w:val="152"/>
        <w:numPr>
          <w:ilvl w:val="0"/>
          <w:numId w:val="8"/>
        </w:numPr>
        <w:autoSpaceDE w:val="0"/>
        <w:jc w:val="both"/>
      </w:pPr>
      <w:r>
        <w:rPr>
          <w:rFonts w:ascii="Times New Roman" w:hAnsi="Times New Roman" w:eastAsia="SimSun"/>
          <w:b w:val="0"/>
          <w:sz w:val="21"/>
        </w:rPr>
        <w:t>Chung Y H, Färe R, Grosskopf S. Productivity and undesirable outputs: a directional distance function approach[J]. Journal of Environmental Management, 1997, 51(3): 229-240.</w:t>
      </w:r>
    </w:p>
    <w:p w14:paraId="0C996F4C">
      <w:pPr>
        <w:pStyle w:val="152"/>
        <w:numPr>
          <w:ilvl w:val="0"/>
          <w:numId w:val="8"/>
        </w:numPr>
        <w:autoSpaceDE w:val="0"/>
        <w:jc w:val="both"/>
      </w:pPr>
      <w:r>
        <w:rPr>
          <w:rFonts w:ascii="Times New Roman" w:hAnsi="Times New Roman" w:eastAsia="SimSun"/>
          <w:b w:val="0"/>
          <w:sz w:val="21"/>
        </w:rPr>
        <w:t>Henderson J V, Storeygard A, Weil D N. Measuring economic growth from outer space[J]. American Economic Review, 2012, 102(2): 994-1028.</w:t>
      </w:r>
    </w:p>
    <w:p w14:paraId="754F7386">
      <w:pPr>
        <w:pStyle w:val="152"/>
        <w:numPr>
          <w:ilvl w:val="0"/>
          <w:numId w:val="8"/>
        </w:numPr>
        <w:autoSpaceDE w:val="0"/>
        <w:jc w:val="both"/>
      </w:pPr>
      <w:r>
        <w:rPr>
          <w:rFonts w:ascii="Times New Roman" w:hAnsi="Times New Roman" w:eastAsia="SimSun"/>
          <w:b w:val="0"/>
          <w:sz w:val="21"/>
        </w:rPr>
        <w:t>Román M O, Wang Z, Sun Q, et al. NASA's Black Marble nighttime lights product suite[J]. Remote Sensing of Environment, 2018, 210: 113-143.</w:t>
      </w:r>
    </w:p>
    <w:p w14:paraId="040FCF5F">
      <w:pPr>
        <w:pStyle w:val="152"/>
        <w:numPr>
          <w:ilvl w:val="0"/>
          <w:numId w:val="8"/>
        </w:numPr>
        <w:autoSpaceDE w:val="0"/>
        <w:jc w:val="both"/>
        <w:rPr>
          <w:lang w:eastAsia="zh-CN"/>
        </w:rPr>
      </w:pPr>
      <w:r>
        <w:rPr>
          <w:rFonts w:ascii="Times New Roman" w:hAnsi="Times New Roman" w:eastAsia="SimSun"/>
          <w:b w:val="0"/>
          <w:sz w:val="21"/>
        </w:rPr>
        <w:t xml:space="preserve">Elvidge C D, Zhizhin M, Ghosh T, et al. Annual time series of global VIIRS nighttime lights derived from monthly averages: 2012 to 2019[J]. </w:t>
      </w:r>
      <w:r>
        <w:rPr>
          <w:rFonts w:ascii="Times New Roman" w:hAnsi="Times New Roman" w:eastAsia="SimSun"/>
          <w:b w:val="0"/>
          <w:sz w:val="21"/>
          <w:lang w:eastAsia="zh-CN"/>
        </w:rPr>
        <w:t>Remote Sensing, 2021, 13(5): 922.</w:t>
      </w:r>
    </w:p>
    <w:p w14:paraId="6D93345E">
      <w:pPr>
        <w:pStyle w:val="152"/>
        <w:numPr>
          <w:ilvl w:val="0"/>
          <w:numId w:val="8"/>
        </w:numPr>
        <w:autoSpaceDE w:val="0"/>
        <w:jc w:val="both"/>
        <w:rPr>
          <w:lang w:eastAsia="zh-CN"/>
        </w:rPr>
      </w:pPr>
      <w:r>
        <w:rPr>
          <w:rFonts w:ascii="Times New Roman" w:hAnsi="Times New Roman" w:eastAsia="SimSun"/>
          <w:b w:val="0"/>
          <w:sz w:val="21"/>
          <w:lang w:eastAsia="zh-CN"/>
        </w:rPr>
        <w:t>国家统计局. 中国统计年鉴[M]. 北京: 中国统计出版社, 各年版.</w:t>
      </w:r>
    </w:p>
    <w:p w14:paraId="434CF794">
      <w:pPr>
        <w:pStyle w:val="152"/>
        <w:numPr>
          <w:ilvl w:val="0"/>
          <w:numId w:val="8"/>
        </w:numPr>
        <w:autoSpaceDE w:val="0"/>
        <w:jc w:val="both"/>
        <w:rPr>
          <w:lang w:eastAsia="zh-CN"/>
        </w:rPr>
      </w:pPr>
      <w:r>
        <w:rPr>
          <w:rFonts w:ascii="Times New Roman" w:hAnsi="Times New Roman" w:eastAsia="SimSun"/>
          <w:b w:val="0"/>
          <w:sz w:val="21"/>
          <w:lang w:eastAsia="zh-CN"/>
        </w:rPr>
        <w:t>国家统计局能源统计司. 中国能源统计年鉴[M]. 北京: 中国统计出版社, 各年版.</w:t>
      </w:r>
    </w:p>
    <w:p w14:paraId="7AC2C54C">
      <w:pPr>
        <w:pStyle w:val="152"/>
        <w:numPr>
          <w:ilvl w:val="0"/>
          <w:numId w:val="8"/>
        </w:numPr>
        <w:autoSpaceDE w:val="0"/>
        <w:jc w:val="both"/>
      </w:pPr>
      <w:r>
        <w:rPr>
          <w:rFonts w:ascii="Times New Roman" w:hAnsi="Times New Roman" w:eastAsia="SimSun"/>
          <w:b w:val="0"/>
          <w:sz w:val="21"/>
        </w:rPr>
        <w:t>IPCC. 2006 IPCC Guidelines for National Greenhouse Gas Inventories[M]. Hayama: Institute for Global Environmental Strategies, 2006.</w:t>
      </w:r>
    </w:p>
    <w:p w14:paraId="1D180154">
      <w:pPr>
        <w:pStyle w:val="152"/>
        <w:numPr>
          <w:ilvl w:val="0"/>
          <w:numId w:val="8"/>
        </w:numPr>
        <w:autoSpaceDE w:val="0"/>
        <w:jc w:val="both"/>
      </w:pPr>
      <w:r>
        <w:rPr>
          <w:rFonts w:ascii="Times New Roman" w:hAnsi="Times New Roman" w:eastAsia="SimSun"/>
          <w:b w:val="0"/>
          <w:sz w:val="21"/>
        </w:rPr>
        <w:t>Färe R, Grosskopf S, Norris M, Zhang Z. Productivity growth, technical progress, and efficiency change in industrialized countries[J]. American Economic Review, 1994, 84(1): 66-83.</w:t>
      </w:r>
    </w:p>
    <w:p w14:paraId="3CF7ABCA">
      <w:pPr>
        <w:pStyle w:val="152"/>
        <w:numPr>
          <w:ilvl w:val="0"/>
          <w:numId w:val="8"/>
        </w:numPr>
        <w:autoSpaceDE w:val="0"/>
        <w:jc w:val="both"/>
      </w:pPr>
      <w:r>
        <w:rPr>
          <w:rFonts w:ascii="Times New Roman" w:hAnsi="Times New Roman" w:eastAsia="SimSun"/>
          <w:b w:val="0"/>
          <w:sz w:val="21"/>
        </w:rPr>
        <w:t>Zhou P, Ang B W, Poh K L. A survey of data envelopment analysis in energy and environmental studies[J]. European Journal of Operational Research, 2008, 189(1): 1-18.</w:t>
      </w:r>
    </w:p>
    <w:p w14:paraId="048627AC">
      <w:pPr>
        <w:pStyle w:val="152"/>
        <w:numPr>
          <w:ilvl w:val="0"/>
          <w:numId w:val="8"/>
        </w:numPr>
        <w:autoSpaceDE w:val="0"/>
        <w:jc w:val="both"/>
      </w:pPr>
      <w:r>
        <w:rPr>
          <w:rFonts w:ascii="Times New Roman" w:hAnsi="Times New Roman" w:eastAsia="SimSun"/>
          <w:b w:val="0"/>
          <w:sz w:val="21"/>
        </w:rPr>
        <w:t>Li H, Fang K, Yang W, Wang D, Hong X. Regional environmental efficiency evaluation in China: Analysis based on the Super-SBM model with undesirable outputs[J]. Mathematical and Computer Modelling, 2013, 58(5-6): 1018-1031.</w:t>
      </w:r>
    </w:p>
    <w:p w14:paraId="29ACA94F">
      <w:pPr>
        <w:pStyle w:val="152"/>
        <w:numPr>
          <w:ilvl w:val="0"/>
          <w:numId w:val="8"/>
        </w:numPr>
        <w:autoSpaceDE w:val="0"/>
        <w:jc w:val="both"/>
      </w:pPr>
      <w:r>
        <w:rPr>
          <w:rFonts w:ascii="Times New Roman" w:hAnsi="Times New Roman" w:eastAsia="SimSun"/>
          <w:b w:val="0"/>
          <w:sz w:val="21"/>
        </w:rPr>
        <w:t>Zhou Y, Xing X, Fang K, Liang D, Xu C. Environmental efficiency analysis of power industry in China based on an entropy SBM model[J]. Energy Policy, 2013, 57: 68-75.</w:t>
      </w:r>
    </w:p>
    <w:p w14:paraId="5FE7FB89">
      <w:pPr>
        <w:pStyle w:val="152"/>
        <w:numPr>
          <w:ilvl w:val="0"/>
          <w:numId w:val="8"/>
        </w:numPr>
        <w:autoSpaceDE w:val="0"/>
        <w:jc w:val="both"/>
      </w:pPr>
      <w:r>
        <w:rPr>
          <w:rFonts w:ascii="Times New Roman" w:hAnsi="Times New Roman" w:eastAsia="SimSun"/>
          <w:b w:val="0"/>
          <w:sz w:val="21"/>
        </w:rPr>
        <w:t>Zhang J, Zeng W, Wang J, Yang F, Jiang H. Regional low-carbon economy efficiency in China: analysis based on the Super-SBM model with CO2 emissions[J]. Journal of Cleaner Production, 2017, 163: 202-211.</w:t>
      </w:r>
    </w:p>
    <w:p w14:paraId="61A9ADAE">
      <w:pPr>
        <w:pStyle w:val="152"/>
        <w:numPr>
          <w:ilvl w:val="0"/>
          <w:numId w:val="8"/>
        </w:numPr>
        <w:autoSpaceDE w:val="0"/>
        <w:jc w:val="both"/>
      </w:pPr>
      <w:r>
        <w:rPr>
          <w:rFonts w:ascii="Times New Roman" w:hAnsi="Times New Roman" w:eastAsia="SimSun"/>
          <w:b w:val="0"/>
          <w:sz w:val="21"/>
        </w:rPr>
        <w:t>Yan D, Lei Y, Li L, Song W. Carbon emission efficiency and spatial clustering analyses in China’s thermal power industry: Evidence from the provincial level[J]. Journal of Cleaner Production, 2017, 156: 518-527.</w:t>
      </w:r>
    </w:p>
    <w:p w14:paraId="4578D02A">
      <w:pPr>
        <w:pStyle w:val="152"/>
        <w:numPr>
          <w:ilvl w:val="0"/>
          <w:numId w:val="8"/>
        </w:numPr>
        <w:autoSpaceDE w:val="0"/>
        <w:jc w:val="both"/>
      </w:pPr>
      <w:r>
        <w:rPr>
          <w:rFonts w:ascii="Times New Roman" w:hAnsi="Times New Roman" w:eastAsia="SimSun"/>
          <w:b w:val="0"/>
          <w:sz w:val="21"/>
        </w:rPr>
        <w:t>Yang T, Liu J, Mi H, Cao Z, Wang Y, Han H, Luan J, Wang Z. An estimating method for carbon emissions of China based on nighttime lights remote sensing satellite images[J]. Sustainability, 2022, 14(4): 2269.</w:t>
      </w:r>
    </w:p>
    <w:p w14:paraId="46D6C0EF">
      <w:pPr>
        <w:pStyle w:val="152"/>
        <w:numPr>
          <w:ilvl w:val="0"/>
          <w:numId w:val="8"/>
        </w:numPr>
        <w:autoSpaceDE w:val="0"/>
        <w:jc w:val="both"/>
        <w:rPr>
          <w:lang w:eastAsia="zh-CN"/>
        </w:rPr>
      </w:pPr>
      <w:r>
        <w:rPr>
          <w:rFonts w:ascii="Times New Roman" w:hAnsi="Times New Roman" w:eastAsia="SimSun"/>
          <w:b w:val="0"/>
          <w:sz w:val="21"/>
          <w:lang w:eastAsia="zh-CN"/>
        </w:rPr>
        <w:t>张军, 吴桂英, 张吉鹏. 中国</w:t>
      </w:r>
      <w:r>
        <w:rPr>
          <w:rFonts w:hint="eastAsia" w:ascii="Times New Roman" w:hAnsi="Times New Roman" w:eastAsia="SimSun"/>
          <w:b w:val="0"/>
          <w:sz w:val="21"/>
          <w:lang w:eastAsia="zh-CN"/>
        </w:rPr>
        <w:t>省域</w:t>
      </w:r>
      <w:r>
        <w:rPr>
          <w:rFonts w:ascii="Times New Roman" w:hAnsi="Times New Roman" w:eastAsia="SimSun"/>
          <w:b w:val="0"/>
          <w:sz w:val="21"/>
          <w:lang w:eastAsia="zh-CN"/>
        </w:rPr>
        <w:t>物质资本存量估算: 1952—2000[J]. 经济研究, 2004(10): 35-44.</w:t>
      </w:r>
    </w:p>
    <w:p w14:paraId="37B47D52">
      <w:pPr>
        <w:pStyle w:val="152"/>
        <w:numPr>
          <w:ilvl w:val="0"/>
          <w:numId w:val="8"/>
        </w:numPr>
        <w:autoSpaceDE w:val="0"/>
      </w:pPr>
      <w:r>
        <w:rPr>
          <w:rFonts w:ascii="Times New Roman" w:hAnsi="Times New Roman" w:eastAsia="SimSun"/>
          <w:b w:val="0"/>
          <w:sz w:val="21"/>
        </w:rPr>
        <w:t>Xing P, Wang Y, Ye T, Sun Y, Li Q, Li X, Li M, Chen W. Carbon emission efficiency of 284 cities in China based on machine learning approach: Driving factors and regional heterogeneity[J]. Energy Economics, 2024, 129: 107222.</w:t>
      </w:r>
    </w:p>
    <w:p w14:paraId="22388D3B">
      <w:pPr>
        <w:pStyle w:val="152"/>
        <w:numPr>
          <w:ilvl w:val="0"/>
          <w:numId w:val="8"/>
        </w:numPr>
        <w:autoSpaceDE w:val="0"/>
      </w:pPr>
      <w:r>
        <w:rPr>
          <w:rFonts w:ascii="Times New Roman" w:hAnsi="Times New Roman" w:eastAsia="SimSun"/>
          <w:b w:val="0"/>
          <w:sz w:val="21"/>
        </w:rPr>
        <w:t>Wei W, Du H, Ma L, Liu C, Zhou J. Spatiotemporal dynamics of CO2 emissions using nighttime light data: a comparative analysis between the Yellow and Yangtze River Basins in China[J]. Environment, Development and Sustainability, 2024, 26(1): 1081-1102.</w:t>
      </w:r>
    </w:p>
    <w:p w14:paraId="6E8ECD1F">
      <w:pPr>
        <w:pStyle w:val="152"/>
        <w:numPr>
          <w:ilvl w:val="0"/>
          <w:numId w:val="8"/>
        </w:numPr>
        <w:autoSpaceDE w:val="0"/>
      </w:pPr>
      <w:r>
        <w:rPr>
          <w:rFonts w:ascii="Times New Roman" w:hAnsi="Times New Roman" w:eastAsia="SimSun"/>
          <w:b w:val="0"/>
          <w:sz w:val="21"/>
        </w:rPr>
        <w:t>Jiang J. Spatiotemporal evolution and analysis of influencing factors of low-carbon economy in China's Yangtze River Delta based on nighttime light remote sensing data[J]. Carbon Balance and Management, 2025, 20(1).</w:t>
      </w:r>
    </w:p>
    <w:p w14:paraId="77602368">
      <w:pPr>
        <w:pStyle w:val="152"/>
        <w:numPr>
          <w:ilvl w:val="0"/>
          <w:numId w:val="8"/>
        </w:numPr>
        <w:autoSpaceDE w:val="0"/>
      </w:pPr>
      <w:r>
        <w:rPr>
          <w:rFonts w:ascii="Times New Roman" w:hAnsi="Times New Roman" w:eastAsia="SimSun"/>
          <w:b w:val="0"/>
          <w:sz w:val="21"/>
        </w:rPr>
        <w:t>Shen Y, Li H. Carbon Emission Efficiency in China (2010-2025): Dual-Scale Analysis, Drivers, and Forecasts Across the Eight Comprehensive Economic Zones[J]. Sustainability, 2025, 17(22): 10007.</w:t>
      </w:r>
    </w:p>
    <w:p w14:paraId="3E3B4471">
      <w:pPr>
        <w:pStyle w:val="152"/>
        <w:numPr>
          <w:ilvl w:val="0"/>
          <w:numId w:val="8"/>
        </w:numPr>
        <w:autoSpaceDE w:val="0"/>
        <w:jc w:val="both"/>
        <w:rPr>
          <w:lang w:eastAsia="zh-CN"/>
        </w:rPr>
      </w:pPr>
      <w:r>
        <w:rPr>
          <w:rFonts w:ascii="Times New Roman" w:hAnsi="Times New Roman" w:eastAsia="SimSun"/>
          <w:b w:val="0"/>
          <w:sz w:val="21"/>
        </w:rPr>
        <w:t xml:space="preserve">Choi Y, Zhang N, Zhou P. Efficiency and abatement costs of energy-related CO2 emissions in China: a slacks-based efficiency measure[J]. </w:t>
      </w:r>
      <w:r>
        <w:rPr>
          <w:rFonts w:ascii="Times New Roman" w:hAnsi="Times New Roman" w:eastAsia="SimSun"/>
          <w:b w:val="0"/>
          <w:sz w:val="21"/>
          <w:lang w:eastAsia="zh-CN"/>
        </w:rPr>
        <w:t>Applied Energy, 2012, 98: 198-208.</w:t>
      </w:r>
    </w:p>
    <w:p w14:paraId="02BD800A">
      <w:r>
        <w:rPr>
          <w:rFonts w:ascii="Times New Roman" w:hAnsi="Times New Roman" w:eastAsia="SimSun"/>
          <w:b w:val="0"/>
          <w:sz w:val="21"/>
        </w:rPr>
        <w:br w:type="page"/>
      </w:r>
    </w:p>
    <w:p w14:paraId="3AE5C312">
      <w:pPr>
        <w:pStyle w:val="3"/>
        <w:rPr>
          <w:lang w:eastAsia="zh-CN"/>
        </w:rPr>
      </w:pPr>
      <w:bookmarkStart w:id="74" w:name="_Toc22022"/>
      <w:r>
        <w:rPr>
          <w:rFonts w:ascii="Times New Roman" w:hAnsi="Times New Roman" w:eastAsia="SimSun"/>
          <w:b w:val="0"/>
          <w:sz w:val="21"/>
          <w:lang w:eastAsia="zh-CN"/>
        </w:rPr>
        <w:t>附录</w:t>
      </w:r>
      <w:bookmarkEnd w:id="74"/>
    </w:p>
    <w:p w14:paraId="1B794F4D">
      <w:pPr>
        <w:pStyle w:val="4"/>
        <w:bidi w:val="0"/>
        <w:rPr>
          <w:lang w:eastAsia="zh-CN"/>
        </w:rPr>
      </w:pPr>
      <w:bookmarkStart w:id="75" w:name="_Toc22366"/>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 xml:space="preserve"> 核心模型公式</w:t>
      </w:r>
      <w:bookmarkEnd w:id="75"/>
    </w:p>
    <w:p w14:paraId="17E40B93">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A</w:t>
      </w:r>
      <w:r>
        <w:rPr>
          <w:rFonts w:ascii="Times New Roman" w:hAnsi="Times New Roman" w:eastAsia="SimSun"/>
          <w:b w:val="0"/>
          <w:sz w:val="21"/>
          <w:lang w:eastAsia="zh-CN"/>
        </w:rPr>
        <w:t>1 主要模型与用途对照表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14:paraId="61C05F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12" w:space="0"/>
              <w:bottom w:val="single" w:color="000000" w:sz="4" w:space="0"/>
              <w:tl2br w:val="nil"/>
            </w:tcBorders>
            <w:shd w:val="clear" w:color="auto" w:fill="FFFFFF"/>
          </w:tcPr>
          <w:p w14:paraId="229CCEA3">
            <w:pPr>
              <w:rPr>
                <w:b w:val="0"/>
                <w:color w:val="000000"/>
              </w:rPr>
            </w:pPr>
            <w:r>
              <w:rPr>
                <w:b w:val="0"/>
                <w:color w:val="000000"/>
                <w:sz w:val="21"/>
              </w:rPr>
              <w:t>模型名称</w:t>
            </w:r>
          </w:p>
        </w:tc>
        <w:tc>
          <w:tcPr>
            <w:tcW w:w="2161" w:type="dxa"/>
            <w:tcBorders>
              <w:top w:val="single" w:color="000000" w:sz="12" w:space="0"/>
              <w:bottom w:val="single" w:color="000000" w:sz="4" w:space="0"/>
            </w:tcBorders>
            <w:shd w:val="clear" w:color="auto" w:fill="FFFFFF"/>
          </w:tcPr>
          <w:p w14:paraId="74AFFA95">
            <w:pPr>
              <w:rPr>
                <w:b w:val="0"/>
                <w:color w:val="000000"/>
              </w:rPr>
            </w:pPr>
            <w:r>
              <w:rPr>
                <w:b w:val="0"/>
                <w:color w:val="000000"/>
                <w:sz w:val="21"/>
              </w:rPr>
              <w:t>核心表达</w:t>
            </w:r>
          </w:p>
        </w:tc>
        <w:tc>
          <w:tcPr>
            <w:tcW w:w="2161" w:type="dxa"/>
            <w:tcBorders>
              <w:top w:val="single" w:color="000000" w:sz="12" w:space="0"/>
              <w:bottom w:val="single" w:color="000000" w:sz="4" w:space="0"/>
            </w:tcBorders>
            <w:shd w:val="clear" w:color="auto" w:fill="FFFFFF"/>
          </w:tcPr>
          <w:p w14:paraId="1E2D2F40">
            <w:pPr>
              <w:rPr>
                <w:b w:val="0"/>
                <w:color w:val="000000"/>
              </w:rPr>
            </w:pPr>
            <w:r>
              <w:rPr>
                <w:b w:val="0"/>
                <w:color w:val="000000"/>
                <w:sz w:val="21"/>
              </w:rPr>
              <w:t>主要用途</w:t>
            </w:r>
          </w:p>
        </w:tc>
        <w:tc>
          <w:tcPr>
            <w:tcW w:w="2161" w:type="dxa"/>
            <w:tcBorders>
              <w:top w:val="single" w:color="000000" w:sz="12" w:space="0"/>
              <w:bottom w:val="single" w:color="000000" w:sz="4" w:space="0"/>
            </w:tcBorders>
            <w:shd w:val="clear" w:color="auto" w:fill="FFFFFF"/>
          </w:tcPr>
          <w:p w14:paraId="467A6D50">
            <w:pPr>
              <w:rPr>
                <w:b w:val="0"/>
                <w:color w:val="000000"/>
              </w:rPr>
            </w:pPr>
            <w:r>
              <w:rPr>
                <w:b w:val="0"/>
                <w:color w:val="000000"/>
                <w:sz w:val="21"/>
              </w:rPr>
              <w:t>正文对应部分</w:t>
            </w:r>
          </w:p>
        </w:tc>
      </w:tr>
      <w:tr w14:paraId="646E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top w:val="single" w:color="000000" w:sz="4" w:space="0"/>
            </w:tcBorders>
            <w:shd w:val="clear" w:color="auto" w:fill="FFFFFF"/>
          </w:tcPr>
          <w:p w14:paraId="2C167F2C">
            <w:pPr>
              <w:rPr>
                <w:b w:val="0"/>
                <w:color w:val="000000"/>
              </w:rPr>
            </w:pPr>
            <w:r>
              <w:rPr>
                <w:b w:val="0"/>
                <w:color w:val="000000"/>
                <w:sz w:val="21"/>
              </w:rPr>
              <w:t>超效率SBM模型</w:t>
            </w:r>
          </w:p>
        </w:tc>
        <w:tc>
          <w:tcPr>
            <w:tcW w:w="2161" w:type="dxa"/>
            <w:tcBorders>
              <w:top w:val="single" w:color="000000" w:sz="4" w:space="0"/>
            </w:tcBorders>
            <w:shd w:val="clear" w:color="auto" w:fill="FFFFFF"/>
          </w:tcPr>
          <w:p w14:paraId="76198A68">
            <w:pPr>
              <w:rPr>
                <w:b w:val="0"/>
                <w:color w:val="000000"/>
                <w:lang w:eastAsia="zh-CN"/>
              </w:rPr>
            </w:pPr>
            <w:r>
              <w:rPr>
                <w:b w:val="0"/>
                <w:color w:val="000000"/>
                <w:sz w:val="21"/>
                <w:lang w:eastAsia="zh-CN"/>
              </w:rPr>
              <w:t>在VRS假设下测度包含非期望产出的静态碳排放效率</w:t>
            </w:r>
          </w:p>
        </w:tc>
        <w:tc>
          <w:tcPr>
            <w:tcW w:w="2161" w:type="dxa"/>
            <w:tcBorders>
              <w:top w:val="single" w:color="000000" w:sz="4" w:space="0"/>
            </w:tcBorders>
            <w:shd w:val="clear" w:color="auto" w:fill="FFFFFF"/>
          </w:tcPr>
          <w:p w14:paraId="4CDFA64D">
            <w:pPr>
              <w:rPr>
                <w:b w:val="0"/>
                <w:color w:val="000000"/>
                <w:lang w:eastAsia="zh-CN"/>
              </w:rPr>
            </w:pPr>
            <w:r>
              <w:rPr>
                <w:b w:val="0"/>
                <w:color w:val="000000"/>
                <w:sz w:val="21"/>
                <w:lang w:eastAsia="zh-CN"/>
              </w:rPr>
              <w:t>识别各省年度静态效率水平并进行排序</w:t>
            </w:r>
          </w:p>
        </w:tc>
        <w:tc>
          <w:tcPr>
            <w:tcW w:w="2161" w:type="dxa"/>
            <w:tcBorders>
              <w:top w:val="single" w:color="000000" w:sz="4" w:space="0"/>
            </w:tcBorders>
            <w:shd w:val="clear" w:color="auto" w:fill="FFFFFF"/>
          </w:tcPr>
          <w:p w14:paraId="3AFBAED1">
            <w:pPr>
              <w:rPr>
                <w:b w:val="0"/>
                <w:color w:val="000000"/>
              </w:rPr>
            </w:pPr>
            <w:r>
              <w:rPr>
                <w:b w:val="0"/>
                <w:color w:val="000000"/>
                <w:sz w:val="21"/>
              </w:rPr>
              <w:t>第五章（一）</w:t>
            </w:r>
          </w:p>
        </w:tc>
      </w:tr>
      <w:tr w14:paraId="54B25F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76E92D8F">
            <w:pPr>
              <w:rPr>
                <w:b w:val="0"/>
                <w:color w:val="000000"/>
              </w:rPr>
            </w:pPr>
            <w:r>
              <w:rPr>
                <w:b w:val="0"/>
                <w:color w:val="000000"/>
                <w:sz w:val="21"/>
              </w:rPr>
              <w:t>Malmquist指数</w:t>
            </w:r>
          </w:p>
        </w:tc>
        <w:tc>
          <w:tcPr>
            <w:tcW w:w="2161" w:type="dxa"/>
            <w:shd w:val="clear" w:color="auto" w:fill="FFFFFF"/>
          </w:tcPr>
          <w:p w14:paraId="6A85AC8D">
            <w:pPr>
              <w:rPr>
                <w:b w:val="0"/>
                <w:color w:val="000000"/>
              </w:rPr>
            </w:pPr>
            <w:r>
              <w:rPr>
                <w:b w:val="0"/>
                <w:color w:val="000000"/>
                <w:sz w:val="21"/>
              </w:rPr>
              <w:t>tfpch = effch × techch</w:t>
            </w:r>
          </w:p>
        </w:tc>
        <w:tc>
          <w:tcPr>
            <w:tcW w:w="2161" w:type="dxa"/>
            <w:shd w:val="clear" w:color="auto" w:fill="FFFFFF"/>
          </w:tcPr>
          <w:p w14:paraId="253982C1">
            <w:pPr>
              <w:rPr>
                <w:b w:val="0"/>
                <w:color w:val="000000"/>
                <w:lang w:eastAsia="zh-CN"/>
              </w:rPr>
            </w:pPr>
            <w:r>
              <w:rPr>
                <w:b w:val="0"/>
                <w:color w:val="000000"/>
                <w:sz w:val="21"/>
                <w:lang w:eastAsia="zh-CN"/>
              </w:rPr>
              <w:t>刻画跨期全要素生产率变化及其来源分解</w:t>
            </w:r>
          </w:p>
        </w:tc>
        <w:tc>
          <w:tcPr>
            <w:tcW w:w="2161" w:type="dxa"/>
            <w:shd w:val="clear" w:color="auto" w:fill="FFFFFF"/>
          </w:tcPr>
          <w:p w14:paraId="2A59DE50">
            <w:pPr>
              <w:rPr>
                <w:b w:val="0"/>
                <w:color w:val="000000"/>
              </w:rPr>
            </w:pPr>
            <w:r>
              <w:rPr>
                <w:b w:val="0"/>
                <w:color w:val="000000"/>
                <w:sz w:val="21"/>
              </w:rPr>
              <w:t>第五章（三）</w:t>
            </w:r>
          </w:p>
        </w:tc>
      </w:tr>
      <w:tr w14:paraId="78F24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5A01EE8B">
            <w:pPr>
              <w:rPr>
                <w:b w:val="0"/>
                <w:color w:val="000000"/>
              </w:rPr>
            </w:pPr>
            <w:r>
              <w:rPr>
                <w:b w:val="0"/>
                <w:color w:val="000000"/>
                <w:sz w:val="21"/>
              </w:rPr>
              <w:t>双向固定效应模型</w:t>
            </w:r>
          </w:p>
        </w:tc>
        <w:tc>
          <w:tcPr>
            <w:tcW w:w="2161" w:type="dxa"/>
            <w:shd w:val="clear" w:color="auto" w:fill="FFFFFF"/>
          </w:tcPr>
          <w:p w14:paraId="17293054">
            <w:pPr>
              <w:rPr>
                <w:b w:val="0"/>
                <w:color w:val="000000"/>
              </w:rPr>
            </w:pPr>
            <m:oMathPara>
              <m:oMath>
                <m:r>
                  <m:rPr/>
                  <w:rPr>
                    <w:rFonts w:ascii="Cambria Math" w:hAnsi="Cambria Math"/>
                    <w:color w:val="000000"/>
                    <w:sz w:val="21"/>
                  </w:rPr>
                  <m:t>CE</m:t>
                </m:r>
                <m:sSub>
                  <m:sSubPr>
                    <m:ctrlPr>
                      <w:rPr>
                        <w:rFonts w:ascii="Cambria Math" w:hAnsi="Cambria Math"/>
                        <w:b w:val="0"/>
                        <w:i/>
                        <w:color w:val="000000"/>
                        <w:sz w:val="21"/>
                      </w:rPr>
                    </m:ctrlPr>
                  </m:sSubPr>
                  <m:e>
                    <m:r>
                      <m:rPr/>
                      <w:rPr>
                        <w:rFonts w:ascii="Cambria Math" w:hAnsi="Cambria Math"/>
                        <w:color w:val="000000"/>
                        <w:sz w:val="21"/>
                      </w:rPr>
                      <m:t>E</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β0 + β1LNT</m:t>
                </m:r>
                <m:sSub>
                  <m:sSubPr>
                    <m:ctrlPr>
                      <w:rPr>
                        <w:rFonts w:ascii="Cambria Math" w:hAnsi="Cambria Math"/>
                        <w:b w:val="0"/>
                        <w:i/>
                        <w:color w:val="000000"/>
                        <w:sz w:val="21"/>
                      </w:rPr>
                    </m:ctrlPr>
                  </m:sSubPr>
                  <m:e>
                    <m:r>
                      <m:rPr/>
                      <w:rPr>
                        <w:rFonts w:ascii="Cambria Math" w:hAnsi="Cambria Math"/>
                        <w:color w:val="000000"/>
                        <w:sz w:val="21"/>
                      </w:rPr>
                      <m:t>L</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β2</m:t>
                </m:r>
                <m:sSub>
                  <m:sSubPr>
                    <m:ctrlPr>
                      <w:rPr>
                        <w:rFonts w:ascii="Cambria Math" w:hAnsi="Cambria Math"/>
                        <w:b w:val="0"/>
                        <w:i/>
                        <w:color w:val="000000"/>
                        <w:sz w:val="21"/>
                      </w:rPr>
                    </m:ctrlPr>
                  </m:sSubPr>
                  <m:e>
                    <m:r>
                      <m:rPr/>
                      <w:rPr>
                        <w:rFonts w:ascii="Cambria Math" w:hAnsi="Cambria Math"/>
                        <w:color w:val="000000"/>
                        <w:sz w:val="21"/>
                      </w:rPr>
                      <m:t>X</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μ</m:t>
                    </m:r>
                    <m:ctrlPr>
                      <w:rPr>
                        <w:rFonts w:ascii="Cambria Math" w:hAnsi="Cambria Math"/>
                        <w:b w:val="0"/>
                        <w:i/>
                        <w:color w:val="000000"/>
                        <w:sz w:val="21"/>
                      </w:rPr>
                    </m:ctrlPr>
                  </m:e>
                  <m:sub>
                    <m:r>
                      <m:rPr/>
                      <w:rPr>
                        <w:rFonts w:ascii="Cambria Math" w:hAnsi="Cambria Math"/>
                        <w:color w:val="000000"/>
                        <w:sz w:val="21"/>
                      </w:rPr>
                      <m:t>i</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λ</m:t>
                    </m:r>
                    <m:ctrlPr>
                      <w:rPr>
                        <w:rFonts w:ascii="Cambria Math" w:hAnsi="Cambria Math"/>
                        <w:b w:val="0"/>
                        <w:i/>
                        <w:color w:val="000000"/>
                        <w:sz w:val="21"/>
                      </w:rPr>
                    </m:ctrlPr>
                  </m:e>
                  <m:sub>
                    <m:r>
                      <m:rPr/>
                      <w:rPr>
                        <w:rFonts w:ascii="Cambria Math" w:hAnsi="Cambria Math"/>
                        <w:color w:val="000000"/>
                        <w:sz w:val="21"/>
                      </w:rPr>
                      <m:t>t</m:t>
                    </m:r>
                    <m:ctrlPr>
                      <w:rPr>
                        <w:rFonts w:ascii="Cambria Math" w:hAnsi="Cambria Math"/>
                        <w:b w:val="0"/>
                        <w:i/>
                        <w:color w:val="000000"/>
                        <w:sz w:val="21"/>
                      </w:rPr>
                    </m:ctrlPr>
                  </m:sub>
                </m:sSub>
                <m:r>
                  <m:rPr/>
                  <w:rPr>
                    <w:rFonts w:ascii="Cambria Math" w:hAnsi="Cambria Math"/>
                    <w:color w:val="000000"/>
                    <w:sz w:val="21"/>
                  </w:rPr>
                  <m:t xml:space="preserve">+ </m:t>
                </m:r>
                <m:sSub>
                  <m:sSubPr>
                    <m:ctrlPr>
                      <w:rPr>
                        <w:rFonts w:ascii="Cambria Math" w:hAnsi="Cambria Math"/>
                        <w:b w:val="0"/>
                        <w:i/>
                        <w:color w:val="000000"/>
                        <w:sz w:val="21"/>
                      </w:rPr>
                    </m:ctrlPr>
                  </m:sSubPr>
                  <m:e>
                    <m:r>
                      <m:rPr/>
                      <w:rPr>
                        <w:rFonts w:ascii="Cambria Math" w:hAnsi="Cambria Math"/>
                        <w:color w:val="000000"/>
                        <w:sz w:val="21"/>
                      </w:rPr>
                      <m:t>ε</m:t>
                    </m:r>
                    <m:ctrlPr>
                      <w:rPr>
                        <w:rFonts w:ascii="Cambria Math" w:hAnsi="Cambria Math"/>
                        <w:b w:val="0"/>
                        <w:i/>
                        <w:color w:val="000000"/>
                        <w:sz w:val="21"/>
                      </w:rPr>
                    </m:ctrlPr>
                  </m:e>
                  <m:sub>
                    <m:r>
                      <m:rPr/>
                      <w:rPr>
                        <w:rFonts w:ascii="Cambria Math" w:hAnsi="Cambria Math"/>
                        <w:color w:val="000000"/>
                        <w:sz w:val="21"/>
                      </w:rPr>
                      <m:t>it</m:t>
                    </m:r>
                    <m:ctrlPr>
                      <w:rPr>
                        <w:rFonts w:ascii="Cambria Math" w:hAnsi="Cambria Math"/>
                        <w:b w:val="0"/>
                        <w:i/>
                        <w:color w:val="000000"/>
                        <w:sz w:val="21"/>
                      </w:rPr>
                    </m:ctrlPr>
                  </m:sub>
                </m:sSub>
              </m:oMath>
            </m:oMathPara>
          </w:p>
        </w:tc>
        <w:tc>
          <w:tcPr>
            <w:tcW w:w="2161" w:type="dxa"/>
            <w:shd w:val="clear" w:color="auto" w:fill="FFFFFF"/>
          </w:tcPr>
          <w:p w14:paraId="222FB439">
            <w:pPr>
              <w:rPr>
                <w:b w:val="0"/>
                <w:color w:val="000000"/>
                <w:lang w:eastAsia="zh-CN"/>
              </w:rPr>
            </w:pPr>
            <w:r>
              <w:rPr>
                <w:b w:val="0"/>
                <w:color w:val="000000"/>
                <w:sz w:val="21"/>
                <w:lang w:eastAsia="zh-CN"/>
              </w:rPr>
              <w:t>识别</w:t>
            </w:r>
            <w:r>
              <w:rPr>
                <w:rFonts w:hint="eastAsia"/>
                <w:b w:val="0"/>
                <w:color w:val="000000"/>
                <w:sz w:val="21"/>
                <w:lang w:eastAsia="zh-CN"/>
              </w:rPr>
              <w:t>夜间灯光强度</w:t>
            </w:r>
            <w:r>
              <w:rPr>
                <w:b w:val="0"/>
                <w:color w:val="000000"/>
                <w:sz w:val="21"/>
                <w:lang w:eastAsia="zh-CN"/>
              </w:rPr>
              <w:t>及控制变量对碳排放效</w:t>
            </w:r>
            <w:r>
              <w:rPr>
                <w:rFonts w:hint="eastAsia"/>
                <w:b w:val="0"/>
                <w:color w:val="000000"/>
                <w:sz w:val="21"/>
                <w:lang w:eastAsia="zh-CN"/>
              </w:rPr>
              <w:t xml:space="preserve">  </w:t>
            </w:r>
            <w:r>
              <w:rPr>
                <w:b w:val="0"/>
                <w:color w:val="000000"/>
                <w:sz w:val="21"/>
                <w:lang w:eastAsia="zh-CN"/>
              </w:rPr>
              <w:t>率的影响</w:t>
            </w:r>
          </w:p>
        </w:tc>
        <w:tc>
          <w:tcPr>
            <w:tcW w:w="2161" w:type="dxa"/>
            <w:shd w:val="clear" w:color="auto" w:fill="FFFFFF"/>
          </w:tcPr>
          <w:p w14:paraId="1B21C0E8">
            <w:pPr>
              <w:rPr>
                <w:b w:val="0"/>
                <w:color w:val="000000"/>
              </w:rPr>
            </w:pPr>
            <w:r>
              <w:rPr>
                <w:b w:val="0"/>
                <w:color w:val="000000"/>
                <w:sz w:val="21"/>
              </w:rPr>
              <w:t>第六章</w:t>
            </w:r>
          </w:p>
        </w:tc>
      </w:tr>
      <w:tr w14:paraId="008CE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shd w:val="clear" w:color="auto" w:fill="FFFFFF"/>
          </w:tcPr>
          <w:p w14:paraId="00D02DF4">
            <w:pPr>
              <w:rPr>
                <w:b w:val="0"/>
                <w:color w:val="000000"/>
              </w:rPr>
            </w:pPr>
            <w:r>
              <w:rPr>
                <w:b w:val="0"/>
                <w:color w:val="000000"/>
                <w:sz w:val="21"/>
              </w:rPr>
              <w:t>Global Moran’s I</w:t>
            </w:r>
          </w:p>
        </w:tc>
        <w:tc>
          <w:tcPr>
            <w:tcW w:w="2161" w:type="dxa"/>
            <w:shd w:val="clear" w:color="auto" w:fill="FFFFFF"/>
          </w:tcPr>
          <w:p w14:paraId="4D7F91BA">
            <w:pPr>
              <w:rPr>
                <w:b w:val="0"/>
                <w:color w:val="000000"/>
                <w:lang w:eastAsia="zh-CN"/>
              </w:rPr>
            </w:pPr>
            <w:r>
              <w:rPr>
                <w:b w:val="0"/>
                <w:color w:val="000000"/>
                <w:sz w:val="21"/>
                <w:lang w:eastAsia="zh-CN"/>
              </w:rPr>
              <w:t>基于空间权重矩阵衡量整体空间自相关</w:t>
            </w:r>
          </w:p>
        </w:tc>
        <w:tc>
          <w:tcPr>
            <w:tcW w:w="2161" w:type="dxa"/>
            <w:shd w:val="clear" w:color="auto" w:fill="FFFFFF"/>
          </w:tcPr>
          <w:p w14:paraId="32066D3B">
            <w:pPr>
              <w:rPr>
                <w:b w:val="0"/>
                <w:color w:val="000000"/>
                <w:lang w:eastAsia="zh-CN"/>
              </w:rPr>
            </w:pPr>
            <w:r>
              <w:rPr>
                <w:b w:val="0"/>
                <w:color w:val="000000"/>
                <w:sz w:val="21"/>
                <w:lang w:eastAsia="zh-CN"/>
              </w:rPr>
              <w:t>检验省域碳排放效率是否存在空间集聚</w:t>
            </w:r>
          </w:p>
        </w:tc>
        <w:tc>
          <w:tcPr>
            <w:tcW w:w="2161" w:type="dxa"/>
            <w:shd w:val="clear" w:color="auto" w:fill="FFFFFF"/>
          </w:tcPr>
          <w:p w14:paraId="3B993B83">
            <w:pPr>
              <w:rPr>
                <w:b w:val="0"/>
                <w:color w:val="000000"/>
              </w:rPr>
            </w:pPr>
            <w:r>
              <w:rPr>
                <w:b w:val="0"/>
                <w:color w:val="000000"/>
                <w:sz w:val="21"/>
              </w:rPr>
              <w:t>第七章（一）</w:t>
            </w:r>
          </w:p>
        </w:tc>
      </w:tr>
      <w:tr w14:paraId="199F9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1" w:type="dxa"/>
            <w:tcBorders>
              <w:bottom w:val="single" w:color="000000" w:sz="12" w:space="0"/>
            </w:tcBorders>
            <w:shd w:val="clear" w:color="auto" w:fill="FFFFFF"/>
          </w:tcPr>
          <w:p w14:paraId="39100F60">
            <w:pPr>
              <w:rPr>
                <w:b w:val="0"/>
                <w:color w:val="000000"/>
              </w:rPr>
            </w:pPr>
            <w:r>
              <w:rPr>
                <w:b w:val="0"/>
                <w:color w:val="000000"/>
                <w:sz w:val="21"/>
              </w:rPr>
              <w:t>VIF检验</w:t>
            </w:r>
          </w:p>
        </w:tc>
        <w:tc>
          <w:tcPr>
            <w:tcW w:w="2161" w:type="dxa"/>
            <w:tcBorders>
              <w:bottom w:val="single" w:color="000000" w:sz="12" w:space="0"/>
            </w:tcBorders>
            <w:shd w:val="clear" w:color="auto" w:fill="FFFFFF"/>
          </w:tcPr>
          <w:p w14:paraId="382AA706">
            <w:pPr>
              <w:rPr>
                <w:b w:val="0"/>
                <w:color w:val="000000"/>
              </w:rPr>
            </w:pPr>
            <m:oMathPara>
              <m:oMath>
                <m:r>
                  <m:rPr/>
                  <w:rPr>
                    <w:rFonts w:ascii="Cambria Math" w:hAnsi="Cambria Math"/>
                    <w:color w:val="000000"/>
                    <w:sz w:val="21"/>
                  </w:rPr>
                  <m:t>VI</m:t>
                </m:r>
                <m:sSub>
                  <m:sSubPr>
                    <m:ctrlPr>
                      <w:rPr>
                        <w:rFonts w:ascii="Cambria Math" w:hAnsi="Cambria Math"/>
                        <w:b w:val="0"/>
                        <w:i/>
                        <w:color w:val="000000"/>
                        <w:sz w:val="21"/>
                      </w:rPr>
                    </m:ctrlPr>
                  </m:sSubPr>
                  <m:e>
                    <m:r>
                      <m:rPr/>
                      <w:rPr>
                        <w:rFonts w:ascii="Cambria Math" w:hAnsi="Cambria Math"/>
                        <w:color w:val="000000"/>
                        <w:sz w:val="21"/>
                      </w:rPr>
                      <m:t>F</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Sub>
                <m:r>
                  <m:rPr/>
                  <w:rPr>
                    <w:rFonts w:ascii="Cambria Math" w:hAnsi="Cambria Math"/>
                    <w:color w:val="000000"/>
                    <w:sz w:val="21"/>
                  </w:rPr>
                  <m:t>=</m:t>
                </m:r>
                <m:f>
                  <m:fPr>
                    <m:ctrlPr>
                      <w:rPr>
                        <w:rFonts w:ascii="Cambria Math" w:hAnsi="Cambria Math"/>
                        <w:b w:val="0"/>
                        <w:i/>
                        <w:color w:val="000000"/>
                        <w:sz w:val="21"/>
                      </w:rPr>
                    </m:ctrlPr>
                  </m:fPr>
                  <m:num>
                    <m:r>
                      <m:rPr/>
                      <w:rPr>
                        <w:rFonts w:ascii="Cambria Math" w:hAnsi="Cambria Math"/>
                        <w:color w:val="000000"/>
                        <w:sz w:val="21"/>
                      </w:rPr>
                      <m:t>1</m:t>
                    </m:r>
                    <m:ctrlPr>
                      <w:rPr>
                        <w:rFonts w:ascii="Cambria Math" w:hAnsi="Cambria Math"/>
                        <w:b w:val="0"/>
                        <w:i/>
                        <w:color w:val="000000"/>
                        <w:sz w:val="21"/>
                      </w:rPr>
                    </m:ctrlPr>
                  </m:num>
                  <m:den>
                    <m:r>
                      <m:rPr/>
                      <w:rPr>
                        <w:rFonts w:ascii="Cambria Math" w:hAnsi="Cambria Math"/>
                        <w:color w:val="000000"/>
                        <w:sz w:val="21"/>
                      </w:rPr>
                      <m:t>1−</m:t>
                    </m:r>
                    <m:sSubSup>
                      <m:sSubSupPr>
                        <m:ctrlPr>
                          <w:rPr>
                            <w:rFonts w:ascii="Cambria Math" w:hAnsi="Cambria Math"/>
                            <w:b w:val="0"/>
                            <w:i/>
                            <w:color w:val="000000"/>
                            <w:sz w:val="21"/>
                          </w:rPr>
                        </m:ctrlPr>
                      </m:sSubSupPr>
                      <m:e>
                        <m:r>
                          <m:rPr/>
                          <w:rPr>
                            <w:rFonts w:ascii="Cambria Math" w:hAnsi="Cambria Math"/>
                            <w:color w:val="000000"/>
                            <w:sz w:val="21"/>
                          </w:rPr>
                          <m:t>R</m:t>
                        </m:r>
                        <m:ctrlPr>
                          <w:rPr>
                            <w:rFonts w:ascii="Cambria Math" w:hAnsi="Cambria Math"/>
                            <w:b w:val="0"/>
                            <w:i/>
                            <w:color w:val="000000"/>
                            <w:sz w:val="21"/>
                          </w:rPr>
                        </m:ctrlPr>
                      </m:e>
                      <m:sub>
                        <m:r>
                          <m:rPr/>
                          <w:rPr>
                            <w:rFonts w:ascii="Cambria Math" w:hAnsi="Cambria Math"/>
                            <w:color w:val="000000"/>
                            <w:sz w:val="21"/>
                          </w:rPr>
                          <m:t>j</m:t>
                        </m:r>
                        <m:ctrlPr>
                          <w:rPr>
                            <w:rFonts w:ascii="Cambria Math" w:hAnsi="Cambria Math"/>
                            <w:b w:val="0"/>
                            <w:i/>
                            <w:color w:val="000000"/>
                            <w:sz w:val="21"/>
                          </w:rPr>
                        </m:ctrlPr>
                      </m:sub>
                      <m:sup>
                        <m:r>
                          <m:rPr/>
                          <w:rPr>
                            <w:rFonts w:ascii="Cambria Math" w:hAnsi="Cambria Math"/>
                            <w:color w:val="000000"/>
                            <w:sz w:val="21"/>
                          </w:rPr>
                          <m:t>2</m:t>
                        </m:r>
                        <m:ctrlPr>
                          <w:rPr>
                            <w:rFonts w:ascii="Cambria Math" w:hAnsi="Cambria Math"/>
                            <w:b w:val="0"/>
                            <w:i/>
                            <w:color w:val="000000"/>
                            <w:sz w:val="21"/>
                          </w:rPr>
                        </m:ctrlPr>
                      </m:sup>
                    </m:sSubSup>
                    <m:ctrlPr>
                      <w:rPr>
                        <w:rFonts w:ascii="Cambria Math" w:hAnsi="Cambria Math"/>
                        <w:b w:val="0"/>
                        <w:i/>
                        <w:color w:val="000000"/>
                        <w:sz w:val="21"/>
                      </w:rPr>
                    </m:ctrlPr>
                  </m:den>
                </m:f>
              </m:oMath>
            </m:oMathPara>
          </w:p>
        </w:tc>
        <w:tc>
          <w:tcPr>
            <w:tcW w:w="2161" w:type="dxa"/>
            <w:tcBorders>
              <w:bottom w:val="single" w:color="000000" w:sz="12" w:space="0"/>
            </w:tcBorders>
            <w:shd w:val="clear" w:color="auto" w:fill="FFFFFF"/>
          </w:tcPr>
          <w:p w14:paraId="57566B9E">
            <w:pPr>
              <w:rPr>
                <w:b w:val="0"/>
                <w:color w:val="000000"/>
                <w:lang w:eastAsia="zh-CN"/>
              </w:rPr>
            </w:pPr>
            <w:r>
              <w:rPr>
                <w:b w:val="0"/>
                <w:color w:val="000000"/>
                <w:sz w:val="21"/>
                <w:lang w:eastAsia="zh-CN"/>
              </w:rPr>
              <w:t>诊断解释变量之间的多重共线性风险</w:t>
            </w:r>
          </w:p>
        </w:tc>
        <w:tc>
          <w:tcPr>
            <w:tcW w:w="2161" w:type="dxa"/>
            <w:tcBorders>
              <w:bottom w:val="single" w:color="000000" w:sz="12" w:space="0"/>
            </w:tcBorders>
            <w:shd w:val="clear" w:color="auto" w:fill="FFFFFF"/>
          </w:tcPr>
          <w:p w14:paraId="296B6F75">
            <w:pPr>
              <w:rPr>
                <w:b w:val="0"/>
                <w:color w:val="000000"/>
              </w:rPr>
            </w:pPr>
            <w:r>
              <w:rPr>
                <w:b w:val="0"/>
                <w:color w:val="000000"/>
                <w:sz w:val="21"/>
              </w:rPr>
              <w:t>第四章（五）</w:t>
            </w:r>
          </w:p>
        </w:tc>
      </w:tr>
    </w:tbl>
    <w:p w14:paraId="19FABC53">
      <w:pPr>
        <w:pStyle w:val="5"/>
        <w:bidi w:val="0"/>
        <w:rPr>
          <w:lang w:eastAsia="zh-CN"/>
        </w:rPr>
      </w:pPr>
      <w:bookmarkStart w:id="76" w:name="_Toc28877"/>
      <w:r>
        <w:rPr>
          <w:rFonts w:hint="eastAsia" w:ascii="Times New Roman" w:hAnsi="Times New Roman" w:eastAsia="SimSun"/>
          <w:b w:val="0"/>
          <w:sz w:val="21"/>
          <w:lang w:val="en-US" w:eastAsia="zh-CN"/>
        </w:rPr>
        <w:t xml:space="preserve">A1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指标构造</w:t>
      </w:r>
      <w:bookmarkEnd w:id="76"/>
    </w:p>
    <w:p w14:paraId="43176BBB">
      <w:pPr>
        <w:rPr>
          <w:lang w:eastAsia="zh-CN"/>
        </w:rPr>
      </w:pPr>
      <w:r>
        <w:rPr>
          <w:rFonts w:ascii="Times New Roman" w:hAnsi="Times New Roman" w:eastAsia="SimSun"/>
          <w:b w:val="0"/>
          <w:sz w:val="21"/>
          <w:lang w:eastAsia="zh-CN"/>
        </w:rPr>
        <w:t xml:space="preserve">设省域内部共有 </w:t>
      </w:r>
      <m:oMath>
        <m:r>
          <m:rPr/>
          <w:rPr>
            <w:rFonts w:ascii="Cambria Math" w:hAnsi="Cambria Math"/>
            <w:lang w:eastAsia="zh-CN"/>
          </w:rPr>
          <m:t xml:space="preserve">n </m:t>
        </m:r>
      </m:oMath>
      <w:r>
        <w:rPr>
          <w:rFonts w:ascii="Times New Roman" w:hAnsi="Times New Roman" w:eastAsia="SimSun"/>
          <w:b w:val="0"/>
          <w:sz w:val="21"/>
          <w:lang w:eastAsia="zh-CN"/>
        </w:rPr>
        <w:t xml:space="preserve">个灯光栅格，第 </w:t>
      </w:r>
      <m:oMath>
        <m:r>
          <m:rPr/>
          <w:rPr>
            <w:rFonts w:ascii="Cambria Math" w:hAnsi="Cambria Math"/>
            <w:lang w:eastAsia="zh-CN"/>
          </w:rPr>
          <m:t>i</m:t>
        </m:r>
      </m:oMath>
      <w:r>
        <w:rPr>
          <w:rFonts w:ascii="Times New Roman" w:hAnsi="Times New Roman" w:eastAsia="SimSun"/>
          <w:b w:val="0"/>
          <w:sz w:val="21"/>
          <w:lang w:eastAsia="zh-CN"/>
        </w:rPr>
        <w:t xml:space="preserve"> 个栅格亮度值为 </w:t>
      </w:r>
      <m:oMath>
        <m:sSub>
          <m:sSubPr>
            <m:ctrlPr>
              <w:rPr>
                <w:rFonts w:ascii="Cambria Math" w:hAnsi="Cambria Math"/>
                <w:i/>
                <w:lang w:eastAsia="zh-CN"/>
              </w:rPr>
            </m:ctrlPr>
          </m:sSubPr>
          <m:e>
            <m:r>
              <m:rPr/>
              <w:rPr>
                <w:rFonts w:ascii="Cambria Math" w:hAnsi="Cambria Math"/>
                <w:lang w:eastAsia="zh-CN"/>
              </w:rPr>
              <m:t>L</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，则其亮度份额可表示为：</w:t>
      </w:r>
    </w:p>
    <w:p w14:paraId="748CCBE2">
      <w:pPr>
        <w:pStyle w:val="177"/>
      </w:pPr>
      <w:r>
        <w:rPr>
          <w:rFonts w:ascii="Times New Roman" w:hAnsi="Times New Roman" w:eastAsia="SimSun"/>
          <w:b w:val="0"/>
          <w:sz w:val="21"/>
        </w:rPr>
        <w:t xml:space="preserve">公式（A1）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sSubSup>
                  <m:sSubSupPr>
                    <m:ctrlPr>
                      <w:rPr>
                        <w:rFonts w:ascii="Cambria Math" w:hAnsi="Cambria Math"/>
                        <w:i/>
                      </w:rPr>
                    </m:ctrlPr>
                  </m:sSubSupPr>
                  <m:e>
                    <m:d>
                      <m:dPr>
                        <m:begChr m:val="{"/>
                        <m:endChr m:val="}"/>
                        <m:ctrlPr>
                          <w:rPr>
                            <w:rFonts w:ascii="Cambria Math" w:hAnsi="Cambria Math"/>
                            <w:i/>
                          </w:rPr>
                        </m:ctrlPr>
                      </m:dPr>
                      <m:e>
                        <m:r>
                          <m:rPr/>
                          <w:rPr>
                            <w:rFonts w:ascii="Cambria Math" w:hAnsi="Cambria Math"/>
                          </w:rPr>
                          <m:t>i=1</m:t>
                        </m:r>
                        <m:ctrlPr>
                          <w:rPr>
                            <w:rFonts w:ascii="Cambria Math" w:hAnsi="Cambria Math"/>
                            <w:i/>
                          </w:rPr>
                        </m:ctrlPr>
                      </m:e>
                    </m:d>
                    <m:ctrlPr>
                      <w:rPr>
                        <w:rFonts w:ascii="Cambria Math" w:hAnsi="Cambria Math"/>
                        <w:i/>
                      </w:rPr>
                    </m:ctrlPr>
                  </m:e>
                  <m:sub>
                    <m:r>
                      <m:rPr/>
                      <w:rPr>
                        <w:rFonts w:ascii="Cambria Math" w:hAnsi="Cambria Math"/>
                      </w:rPr>
                      <m:t>i</m:t>
                    </m:r>
                    <m:ctrlPr>
                      <w:rPr>
                        <w:rFonts w:ascii="Cambria Math" w:hAnsi="Cambria Math"/>
                        <w:i/>
                      </w:rPr>
                    </m:ctrlPr>
                  </m:sub>
                  <m:sup>
                    <m:d>
                      <m:dPr>
                        <m:begChr m:val="{"/>
                        <m:endChr m:val="}"/>
                        <m:ctrlPr>
                          <w:rPr>
                            <w:rFonts w:ascii="Cambria Math" w:hAnsi="Cambria Math"/>
                            <w:i/>
                          </w:rPr>
                        </m:ctrlPr>
                      </m:dPr>
                      <m:e>
                        <m:r>
                          <m:rPr/>
                          <w:rPr>
                            <w:rFonts w:ascii="Cambria Math" w:hAnsi="Cambria Math"/>
                          </w:rPr>
                          <m:t>n</m:t>
                        </m:r>
                        <m:ctrlPr>
                          <w:rPr>
                            <w:rFonts w:ascii="Cambria Math" w:hAnsi="Cambria Math"/>
                            <w:i/>
                          </w:rPr>
                        </m:ctrlPr>
                      </m:e>
                    </m:d>
                    <m:r>
                      <m:rPr/>
                      <w:rPr>
                        <w:rFonts w:ascii="Cambria Math" w:hAnsi="Cambria Math"/>
                      </w:rPr>
                      <m:t>L</m:t>
                    </m:r>
                    <m:ctrlPr>
                      <w:rPr>
                        <w:rFonts w:ascii="Cambria Math" w:hAnsi="Cambria Math"/>
                        <w:i/>
                      </w:rPr>
                    </m:ctrlPr>
                  </m:sup>
                </m:sSubSup>
                <m:ctrlPr>
                  <w:rPr>
                    <w:rFonts w:ascii="Cambria Math" w:hAnsi="Cambria Math"/>
                    <w:i/>
                  </w:rPr>
                </m:ctrlPr>
              </m:sub>
            </m:sSub>
            <m:ctrlPr>
              <w:rPr>
                <w:rFonts w:ascii="Cambria Math" w:hAnsi="Cambria Math"/>
                <w:i/>
              </w:rPr>
            </m:ctrlPr>
          </m:den>
        </m:f>
      </m:oMath>
    </w:p>
    <w:p w14:paraId="58768CF8">
      <w:pPr>
        <w:rPr>
          <w:lang w:eastAsia="zh-CN"/>
        </w:rPr>
      </w:pPr>
      <w:r>
        <w:rPr>
          <w:rFonts w:ascii="Times New Roman" w:hAnsi="Times New Roman" w:eastAsia="SimSun"/>
          <w:b w:val="0"/>
          <w:sz w:val="21"/>
          <w:lang w:eastAsia="zh-CN"/>
        </w:rPr>
        <w:t>据此构造</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指标：</w:t>
      </w:r>
    </w:p>
    <w:p w14:paraId="570AE746">
      <w:pPr>
        <w:pStyle w:val="177"/>
        <w:rPr>
          <w:lang w:eastAsia="zh-CN"/>
        </w:rPr>
      </w:pPr>
      <w:r>
        <w:rPr>
          <w:rFonts w:ascii="Times New Roman" w:hAnsi="Times New Roman" w:eastAsia="SimSun"/>
          <w:b w:val="0"/>
          <w:sz w:val="21"/>
          <w:lang w:eastAsia="zh-CN"/>
        </w:rPr>
        <w:t xml:space="preserve">公式（A2）  </w:t>
      </w:r>
      <m:oMath>
        <m:r>
          <m:rPr/>
          <w:rPr>
            <w:rFonts w:ascii="Cambria Math" w:hAnsi="Cambria Math"/>
            <w:lang w:eastAsia="zh-CN"/>
          </w:rPr>
          <m:t xml:space="preserve">ntl = </m:t>
        </m:r>
        <m:sSubSup>
          <m:sSubSupPr>
            <m:ctrlPr>
              <w:rPr>
                <w:rFonts w:ascii="Cambria Math" w:hAnsi="Cambria Math"/>
                <w:i/>
              </w:rPr>
            </m:ctrlPr>
          </m:sSubSupPr>
          <m:e>
            <m:r>
              <m:rPr/>
              <w:rPr>
                <w:rFonts w:ascii="Cambria Math" w:hAnsi="Cambria Math"/>
                <w:lang w:eastAsia="zh-CN"/>
              </w:rPr>
              <m:t>Σ</m:t>
            </m:r>
            <m:ctrlPr>
              <w:rPr>
                <w:rFonts w:ascii="Cambria Math" w:hAnsi="Cambria Math"/>
                <w:i/>
              </w:rPr>
            </m:ctrlPr>
          </m:e>
          <m:sub>
            <m:d>
              <m:dPr>
                <m:begChr m:val="{"/>
                <m:endChr m:val="}"/>
                <m:ctrlPr>
                  <w:rPr>
                    <w:rFonts w:ascii="Cambria Math" w:hAnsi="Cambria Math"/>
                    <w:i/>
                  </w:rPr>
                </m:ctrlPr>
              </m:dPr>
              <m:e>
                <m:r>
                  <m:rPr/>
                  <w:rPr>
                    <w:rFonts w:ascii="Cambria Math" w:hAnsi="Cambria Math"/>
                    <w:lang w:eastAsia="zh-CN"/>
                  </w:rPr>
                  <m:t>i=1</m:t>
                </m:r>
                <m:ctrlPr>
                  <w:rPr>
                    <w:rFonts w:ascii="Cambria Math" w:hAnsi="Cambria Math"/>
                    <w:i/>
                  </w:rPr>
                </m:ctrlPr>
              </m:e>
            </m:d>
            <m:ctrlPr>
              <w:rPr>
                <w:rFonts w:ascii="Cambria Math" w:hAnsi="Cambria Math"/>
                <w:i/>
              </w:rPr>
            </m:ctrlPr>
          </m:sub>
          <m:sup>
            <m:d>
              <m:dPr>
                <m:begChr m:val="{"/>
                <m:endChr m:val="}"/>
                <m:ctrlPr>
                  <w:rPr>
                    <w:rFonts w:ascii="Cambria Math" w:hAnsi="Cambria Math"/>
                    <w:i/>
                  </w:rPr>
                </m:ctrlPr>
              </m:dPr>
              <m:e>
                <m:r>
                  <m:rPr/>
                  <w:rPr>
                    <w:rFonts w:ascii="Cambria Math" w:hAnsi="Cambria Math"/>
                    <w:lang w:eastAsia="zh-CN"/>
                  </w:rPr>
                  <m:t>n</m:t>
                </m:r>
                <m:ctrlPr>
                  <w:rPr>
                    <w:rFonts w:ascii="Cambria Math" w:hAnsi="Cambria Math"/>
                    <w:i/>
                  </w:rPr>
                </m:ctrlPr>
              </m:e>
            </m:d>
            <m:sSubSup>
              <m:sSubSupPr>
                <m:ctrlPr>
                  <w:rPr>
                    <w:rFonts w:ascii="Cambria Math" w:hAnsi="Cambria Math"/>
                    <w:i/>
                  </w:rPr>
                </m:ctrlPr>
              </m:sSubSupPr>
              <m:e>
                <m:r>
                  <m:rPr/>
                  <w:rPr>
                    <w:rFonts w:ascii="Cambria Math" w:hAnsi="Cambria Math"/>
                    <w:lang w:eastAsia="zh-CN"/>
                  </w:rPr>
                  <m:t>s</m:t>
                </m:r>
                <m:ctrlPr>
                  <w:rPr>
                    <w:rFonts w:ascii="Cambria Math" w:hAnsi="Cambria Math"/>
                    <w:i/>
                  </w:rPr>
                </m:ctrlPr>
              </m:e>
              <m:sub>
                <m:r>
                  <m:rPr/>
                  <w:rPr>
                    <w:rFonts w:ascii="Cambria Math" w:hAnsi="Cambria Math"/>
                    <w:lang w:eastAsia="zh-CN"/>
                  </w:rPr>
                  <m:t>i</m:t>
                </m:r>
                <m:ctrlPr>
                  <w:rPr>
                    <w:rFonts w:ascii="Cambria Math" w:hAnsi="Cambria Math"/>
                    <w:i/>
                  </w:rPr>
                </m:ctrlPr>
              </m:sub>
              <m:sup>
                <m:r>
                  <m:rPr/>
                  <w:rPr>
                    <w:rFonts w:ascii="Cambria Math" w:hAnsi="Cambria Math"/>
                    <w:lang w:eastAsia="zh-CN"/>
                  </w:rPr>
                  <m:t>2</m:t>
                </m:r>
                <m:ctrlPr>
                  <w:rPr>
                    <w:rFonts w:ascii="Cambria Math" w:hAnsi="Cambria Math"/>
                    <w:i/>
                  </w:rPr>
                </m:ctrlPr>
              </m:sup>
            </m:sSubSup>
            <m:ctrlPr>
              <w:rPr>
                <w:rFonts w:ascii="Cambria Math" w:hAnsi="Cambria Math"/>
                <w:i/>
              </w:rPr>
            </m:ctrlPr>
          </m:sup>
        </m:sSubSup>
      </m:oMath>
    </w:p>
    <w:p w14:paraId="585758D2">
      <w:pPr>
        <w:rPr>
          <w:lang w:eastAsia="zh-CN"/>
        </w:rPr>
      </w:pPr>
      <w:r>
        <w:rPr>
          <w:rFonts w:ascii="Times New Roman" w:hAnsi="Times New Roman" w:eastAsia="SimSun"/>
          <w:b w:val="0"/>
          <w:sz w:val="21"/>
          <w:lang w:eastAsia="zh-CN"/>
        </w:rPr>
        <w:t>为缓解右偏分布并增强可比性，本文进一步取对数形式进入第二阶段回归模型：</w:t>
      </w:r>
    </w:p>
    <w:p w14:paraId="29F75BD0">
      <w:pPr>
        <w:pStyle w:val="177"/>
      </w:pPr>
      <w:r>
        <w:rPr>
          <w:rFonts w:ascii="Times New Roman" w:hAnsi="Times New Roman" w:eastAsia="SimSun"/>
          <w:b w:val="0"/>
          <w:sz w:val="21"/>
        </w:rPr>
        <w:t xml:space="preserve">公式（A3）  </w:t>
      </w:r>
      <m:oMath>
        <m:r>
          <m:rP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m:rPr/>
                  <w:rPr>
                    <w:rFonts w:ascii="Cambria Math" w:hAnsi="Cambria Math"/>
                  </w:rPr>
                  <m:t>ntl + 1</m:t>
                </m:r>
                <m:ctrlPr>
                  <w:rPr>
                    <w:rFonts w:ascii="Cambria Math" w:hAnsi="Cambria Math"/>
                    <w:i/>
                  </w:rPr>
                </m:ctrlPr>
              </m:e>
            </m:d>
            <m:ctrlPr>
              <w:rPr>
                <w:rFonts w:ascii="Cambria Math" w:hAnsi="Cambria Math"/>
              </w:rPr>
            </m:ctrlPr>
          </m:e>
        </m:func>
      </m:oMath>
    </w:p>
    <w:p w14:paraId="118A0724">
      <w:pPr>
        <w:pStyle w:val="5"/>
        <w:bidi w:val="0"/>
      </w:pPr>
      <w:bookmarkStart w:id="77" w:name="_Toc25994"/>
      <w:r>
        <w:rPr>
          <w:rFonts w:hint="eastAsia" w:ascii="Times New Roman" w:hAnsi="Times New Roman" w:eastAsia="SimSun"/>
          <w:b w:val="0"/>
          <w:sz w:val="21"/>
          <w:lang w:val="en-US" w:eastAsia="zh-CN"/>
        </w:rPr>
        <w:t xml:space="preserve">A2 </w:t>
      </w:r>
      <w:r>
        <w:rPr>
          <w:rFonts w:ascii="Times New Roman" w:hAnsi="Times New Roman" w:eastAsia="SimSun"/>
          <w:b w:val="0"/>
          <w:sz w:val="21"/>
        </w:rPr>
        <w:t>超效率SBM模型</w:t>
      </w:r>
      <w:bookmarkEnd w:id="77"/>
    </w:p>
    <w:p w14:paraId="7740BBFA">
      <w:pPr>
        <w:rPr>
          <w:lang w:eastAsia="zh-CN"/>
        </w:rPr>
      </w:pPr>
      <w:r>
        <w:rPr>
          <w:rFonts w:ascii="Times New Roman" w:hAnsi="Times New Roman" w:eastAsia="SimSun"/>
          <w:b w:val="0"/>
          <w:sz w:val="21"/>
          <w:lang w:eastAsia="zh-CN"/>
        </w:rPr>
        <w:t>在规模报酬可变（VRS）假设下，考虑非期望产出的超效率SBM模型可表示为：</w:t>
      </w:r>
    </w:p>
    <w:p w14:paraId="0978661A">
      <w:pPr>
        <w:pStyle w:val="177"/>
      </w:pPr>
      <w:r>
        <w:rPr>
          <w:rFonts w:ascii="Times New Roman" w:hAnsi="Times New Roman" w:eastAsia="SimSun"/>
          <w:b w:val="0"/>
          <w:sz w:val="21"/>
        </w:rPr>
        <w:t xml:space="preserve">公式（A4）  </w:t>
      </w:r>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ρ</m:t>
            </m:r>
            <m:ctrlPr>
              <w:rPr>
                <w:rFonts w:ascii="Cambria Math" w:hAnsi="Cambria Math"/>
              </w:rPr>
            </m:ctrlPr>
          </m:e>
        </m:func>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m</m:t>
                        </m:r>
                        <m:ctrlPr>
                          <w:rPr>
                            <w:rFonts w:ascii="Cambria Math" w:hAnsi="Cambria Math"/>
                            <w:i/>
                          </w:rPr>
                        </m:ctrlPr>
                      </m:den>
                    </m:f>
                    <m:ctrlPr>
                      <w:rPr>
                        <w:rFonts w:ascii="Cambria Math" w:hAnsi="Cambria Math"/>
                        <w:i/>
                      </w:rPr>
                    </m:ctrlPr>
                  </m:e>
                </m:d>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io</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num>
          <m:den>
            <m:d>
              <m:dPr>
                <m:begChr m:val="["/>
                <m:endChr m:val="]"/>
                <m:ctrlPr>
                  <w:rPr>
                    <w:rFonts w:ascii="Cambria Math" w:hAnsi="Cambria Math"/>
                    <w:i/>
                  </w:rPr>
                </m:ctrlPr>
              </m:dPr>
              <m:e>
                <m:r>
                  <m:rPr/>
                  <w:rPr>
                    <w:rFonts w:ascii="Cambria Math" w:hAnsi="Cambria Math"/>
                  </w:rPr>
                  <m:t xml:space="preserve">1 − </m:t>
                </m:r>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den>
                    </m:f>
                    <m:ctrlPr>
                      <w:rPr>
                        <w:rFonts w:ascii="Cambria Math" w:hAnsi="Cambria Math"/>
                        <w:i/>
                      </w:rPr>
                    </m:ctrlPr>
                  </m:e>
                </m:d>
                <m:d>
                  <m:dPr>
                    <m:ctrlPr>
                      <w:rPr>
                        <w:rFonts w:ascii="Cambria Math" w:hAnsi="Cambria Math"/>
                        <w:i/>
                      </w:rPr>
                    </m:ctrlPr>
                  </m:dPr>
                  <m:e>
                    <m:r>
                      <m:rP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r</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ro</m:t>
                                </m:r>
                                <m:ctrlPr>
                                  <w:rPr>
                                    <w:rFonts w:ascii="Cambria Math" w:hAnsi="Cambria Math"/>
                                    <w:i/>
                                  </w:rPr>
                                </m:ctrlPr>
                              </m:sub>
                              <m:sup>
                                <m:r>
                                  <m:rPr/>
                                  <w:rPr>
                                    <w:rFonts w:ascii="Cambria Math" w:hAnsi="Cambria Math"/>
                                  </w:rPr>
                                  <m:t>g</m:t>
                                </m:r>
                                <m:ctrlPr>
                                  <w:rPr>
                                    <w:rFonts w:ascii="Cambria Math" w:hAnsi="Cambria Math"/>
                                    <w:i/>
                                  </w:rPr>
                                </m:ctrlPr>
                              </m:sup>
                            </m:sSubSup>
                            <m:ctrlPr>
                              <w:rPr>
                                <w:rFonts w:ascii="Cambria Math" w:hAnsi="Cambria Math"/>
                                <w:i/>
                              </w:rPr>
                            </m:ctrlPr>
                          </m:den>
                        </m:f>
                        <m:ctrlPr>
                          <w:rPr>
                            <w:rFonts w:ascii="Cambria Math" w:hAnsi="Cambria Math"/>
                            <w:i/>
                          </w:rPr>
                        </m:ctrlPr>
                      </m:e>
                    </m:d>
                    <m:r>
                      <m:rP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w:rPr>
                                    <w:rFonts w:ascii="Cambria Math" w:hAnsi="Cambria Math"/>
                                  </w:rPr>
                                  <m:t>s</m:t>
                                </m:r>
                                <m:ctrlPr>
                                  <w:rPr>
                                    <w:rFonts w:ascii="Cambria Math" w:hAnsi="Cambria Math"/>
                                    <w:i/>
                                  </w:rPr>
                                </m:ctrlPr>
                              </m:e>
                              <m:sub>
                                <m:r>
                                  <m:rPr/>
                                  <w:rPr>
                                    <w:rFonts w:ascii="Cambria Math" w:hAnsi="Cambria Math"/>
                                  </w:rPr>
                                  <m:t>q</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num>
                          <m:den>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qo</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d>
            <m:ctrlPr>
              <w:rPr>
                <w:rFonts w:ascii="Cambria Math" w:hAnsi="Cambria Math"/>
                <w:i/>
              </w:rPr>
            </m:ctrlPr>
          </m:den>
        </m:f>
      </m:oMath>
    </w:p>
    <w:p w14:paraId="6AF1A5B8">
      <w:pPr>
        <w:rPr>
          <w:lang w:eastAsia="zh-CN"/>
        </w:rPr>
      </w:pPr>
      <w:r>
        <w:rPr>
          <w:rFonts w:ascii="Times New Roman" w:hAnsi="Times New Roman" w:eastAsia="SimSun"/>
          <w:b w:val="0"/>
          <w:sz w:val="21"/>
          <w:lang w:eastAsia="zh-CN"/>
        </w:rPr>
        <w:t>其约束条件为：</w:t>
      </w:r>
    </w:p>
    <w:p w14:paraId="536F7F79">
      <w:pPr>
        <w:pStyle w:val="177"/>
        <w:rPr>
          <w:lang w:eastAsia="zh-CN"/>
        </w:rPr>
      </w:pPr>
      <w:r>
        <w:rPr>
          <w:rFonts w:ascii="Times New Roman" w:hAnsi="Times New Roman" w:eastAsia="SimSun"/>
          <w:b w:val="0"/>
          <w:sz w:val="21"/>
          <w:lang w:eastAsia="zh-CN"/>
        </w:rPr>
        <w:t xml:space="preserve">公式（A5）  </w:t>
      </w:r>
      <m:oMath>
        <m:sSub>
          <m:sSubPr>
            <m:ctrlPr>
              <w:rPr>
                <w:rFonts w:ascii="Cambria Math" w:hAnsi="Cambria Math"/>
                <w:i/>
              </w:rPr>
            </m:ctrlPr>
          </m:sSubPr>
          <m:e>
            <m:r>
              <m:rPr/>
              <w:rPr>
                <w:rFonts w:ascii="Cambria Math" w:hAnsi="Cambria Math"/>
                <w:lang w:eastAsia="zh-CN"/>
              </w:rPr>
              <m:t>x</m:t>
            </m:r>
            <m:ctrlPr>
              <w:rPr>
                <w:rFonts w:ascii="Cambria Math" w:hAnsi="Cambria Math"/>
                <w:i/>
              </w:rPr>
            </m:ctrlPr>
          </m:e>
          <m:sub>
            <m:r>
              <m:rPr/>
              <w:rPr>
                <w:rFonts w:ascii="Cambria Math" w:hAnsi="Cambria Math"/>
                <w:lang w:eastAsia="zh-CN"/>
              </w:rPr>
              <m:t>o</m:t>
            </m:r>
            <m:ctrlPr>
              <w:rPr>
                <w:rFonts w:ascii="Cambria Math" w:hAnsi="Cambria Math"/>
                <w:i/>
              </w:rPr>
            </m:ctrlPr>
          </m:sub>
        </m:sSub>
        <m:r>
          <m:rPr/>
          <w:rPr>
            <w:rFonts w:ascii="Cambria Math" w:hAnsi="Cambria Math"/>
            <w:lang w:eastAsia="zh-CN"/>
          </w:rPr>
          <m:t xml:space="preserve">= Xλ +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g</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gλ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g</m:t>
            </m:r>
            <m:ctrlPr>
              <w:rPr>
                <w:rFonts w:ascii="Cambria Math" w:hAnsi="Cambria Math"/>
                <w:i/>
              </w:rPr>
            </m:ctrlPr>
          </m:sup>
        </m:sSup>
        <m:r>
          <m:rPr/>
          <w:rPr>
            <w:rFonts w:ascii="Cambria Math" w:hAnsi="Cambria Math"/>
            <w:lang w:eastAsia="zh-CN"/>
          </w:rPr>
          <m:t xml:space="preserve">;   </m:t>
        </m:r>
        <m:sSubSup>
          <m:sSubSupPr>
            <m:ctrlPr>
              <w:rPr>
                <w:rFonts w:ascii="Cambria Math" w:hAnsi="Cambria Math"/>
                <w:i/>
              </w:rPr>
            </m:ctrlPr>
          </m:sSubSupPr>
          <m:e>
            <m:r>
              <m:rPr/>
              <w:rPr>
                <w:rFonts w:ascii="Cambria Math" w:hAnsi="Cambria Math"/>
                <w:lang w:eastAsia="zh-CN"/>
              </w:rPr>
              <m:t>y</m:t>
            </m:r>
            <m:ctrlPr>
              <w:rPr>
                <w:rFonts w:ascii="Cambria Math" w:hAnsi="Cambria Math"/>
                <w:i/>
              </w:rPr>
            </m:ctrlPr>
          </m:e>
          <m:sub>
            <m:r>
              <m:rPr/>
              <w:rPr>
                <w:rFonts w:ascii="Cambria Math" w:hAnsi="Cambria Math"/>
                <w:lang w:eastAsia="zh-CN"/>
              </w:rPr>
              <m:t>o</m:t>
            </m:r>
            <m:ctrlPr>
              <w:rPr>
                <w:rFonts w:ascii="Cambria Math" w:hAnsi="Cambria Math"/>
                <w:i/>
              </w:rPr>
            </m:ctrlPr>
          </m:sub>
          <m:sup>
            <m:r>
              <m:rPr/>
              <w:rPr>
                <w:rFonts w:ascii="Cambria Math" w:hAnsi="Cambria Math"/>
                <w:lang w:eastAsia="zh-CN"/>
              </w:rPr>
              <m:t>b</m:t>
            </m:r>
            <m:ctrlPr>
              <w:rPr>
                <w:rFonts w:ascii="Cambria Math" w:hAnsi="Cambria Math"/>
                <w:i/>
              </w:rPr>
            </m:ctrlPr>
          </m:sup>
        </m:sSub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Y</m:t>
            </m:r>
            <m:ctrlPr>
              <w:rPr>
                <w:rFonts w:ascii="Cambria Math" w:hAnsi="Cambria Math"/>
                <w:i/>
              </w:rPr>
            </m:ctrlPr>
          </m:e>
          <m:sup>
            <m:r>
              <m:rPr/>
              <w:rPr>
                <w:rFonts w:ascii="Cambria Math" w:hAnsi="Cambria Math"/>
                <w:lang w:eastAsia="zh-CN"/>
              </w:rPr>
              <m:t>bλ</m:t>
            </m:r>
            <m:ctrlPr>
              <w:rPr>
                <w:rFonts w:ascii="Cambria Math" w:hAnsi="Cambria Math"/>
                <w:i/>
              </w:rPr>
            </m:ctrlPr>
          </m:sup>
        </m:sSup>
        <m:r>
          <m:rPr/>
          <w:rPr>
            <w:rFonts w:ascii="Cambria Math" w:hAnsi="Cambria Math"/>
            <w:lang w:eastAsia="zh-CN"/>
          </w:rPr>
          <m:t xml:space="preserve">+ </m:t>
        </m:r>
        <m:sSup>
          <m:sSupPr>
            <m:ctrlPr>
              <w:rPr>
                <w:rFonts w:ascii="Cambria Math" w:hAnsi="Cambria Math"/>
                <w:i/>
              </w:rPr>
            </m:ctrlPr>
          </m:sSupPr>
          <m:e>
            <m:r>
              <m:rPr/>
              <w:rPr>
                <w:rFonts w:ascii="Cambria Math" w:hAnsi="Cambria Math"/>
                <w:lang w:eastAsia="zh-CN"/>
              </w:rPr>
              <m:t>s</m:t>
            </m:r>
            <m:ctrlPr>
              <w:rPr>
                <w:rFonts w:ascii="Cambria Math" w:hAnsi="Cambria Math"/>
                <w:i/>
              </w:rPr>
            </m:ctrlPr>
          </m:e>
          <m:sup>
            <m:r>
              <m:rPr/>
              <w:rPr>
                <w:rFonts w:ascii="Cambria Math" w:hAnsi="Cambria Math"/>
                <w:lang w:eastAsia="zh-CN"/>
              </w:rPr>
              <m:t>b</m:t>
            </m:r>
            <m:ctrlPr>
              <w:rPr>
                <w:rFonts w:ascii="Cambria Math" w:hAnsi="Cambria Math"/>
                <w:i/>
              </w:rPr>
            </m:ctrlPr>
          </m:sup>
        </m:sSup>
        <m:r>
          <m:rPr/>
          <w:rPr>
            <w:rFonts w:ascii="Cambria Math" w:hAnsi="Cambria Math"/>
            <w:lang w:eastAsia="zh-CN"/>
          </w:rPr>
          <m:t>;   λ ≥ 0</m:t>
        </m:r>
      </m:oMath>
    </w:p>
    <w:p w14:paraId="777A3A11">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Sub>
      </m:oMath>
      <w:r>
        <w:rPr>
          <w:rFonts w:ascii="Times New Roman" w:hAnsi="Times New Roman" w:eastAsia="SimSun"/>
          <w:b w:val="0"/>
          <w:sz w:val="21"/>
          <w:lang w:eastAsia="zh-CN"/>
        </w:rPr>
        <w:t xml:space="preserve"> 为投入向量，</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g</m:t>
            </m:r>
            <m:ctrlPr>
              <w:rPr>
                <w:rFonts w:ascii="Cambria Math" w:hAnsi="Cambria Math"/>
                <w:i/>
                <w:lang w:eastAsia="zh-CN"/>
              </w:rPr>
            </m:ctrlPr>
          </m:sup>
        </m:sSubSup>
      </m:oMath>
      <w:r>
        <w:rPr>
          <w:rFonts w:ascii="Times New Roman" w:hAnsi="Times New Roman" w:eastAsia="SimSun"/>
          <w:b w:val="0"/>
          <w:sz w:val="21"/>
          <w:lang w:eastAsia="zh-CN"/>
        </w:rPr>
        <w:t xml:space="preserve"> 为期望产出，</w:t>
      </w:r>
      <m:oMath>
        <m:sSubSup>
          <m:sSubSupPr>
            <m:ctrlPr>
              <w:rPr>
                <w:rFonts w:ascii="Cambria Math" w:hAnsi="Cambria Math"/>
                <w:i/>
                <w:lang w:eastAsia="zh-CN"/>
              </w:rPr>
            </m:ctrlPr>
          </m:sSubSup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o</m:t>
            </m:r>
            <m:ctrlPr>
              <w:rPr>
                <w:rFonts w:ascii="Cambria Math" w:hAnsi="Cambria Math"/>
                <w:i/>
                <w:lang w:eastAsia="zh-CN"/>
              </w:rPr>
            </m:ctrlPr>
          </m:sub>
          <m:sup>
            <m:r>
              <m:rPr/>
              <w:rPr>
                <w:rFonts w:ascii="Cambria Math" w:hAnsi="Cambria Math"/>
                <w:lang w:eastAsia="zh-CN"/>
              </w:rPr>
              <m:t>b</m:t>
            </m:r>
            <m:ctrlPr>
              <w:rPr>
                <w:rFonts w:ascii="Cambria Math" w:hAnsi="Cambria Math"/>
                <w:i/>
                <w:lang w:eastAsia="zh-CN"/>
              </w:rPr>
            </m:ctrlPr>
          </m:sup>
        </m:sSubSup>
      </m:oMath>
      <w:r>
        <w:rPr>
          <w:rFonts w:ascii="Times New Roman" w:hAnsi="Times New Roman" w:eastAsia="SimSun"/>
          <w:b w:val="0"/>
          <w:sz w:val="21"/>
          <w:lang w:eastAsia="zh-CN"/>
        </w:rPr>
        <w:t xml:space="preserve"> 为非期望产出，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g、</m:t>
                </m:r>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b</m:t>
                    </m:r>
                    <m:ctrlPr>
                      <w:rPr>
                        <w:rFonts w:ascii="Cambria Math" w:hAnsi="Cambria Math"/>
                        <w:i/>
                        <w:lang w:eastAsia="zh-CN"/>
                      </w:rPr>
                    </m:ctrlPr>
                  </m:sup>
                </m:sSup>
                <m:ctrlPr>
                  <w:rPr>
                    <w:rFonts w:ascii="Cambria Math" w:hAnsi="Cambria Math"/>
                    <w:i/>
                    <w:lang w:eastAsia="zh-CN"/>
                  </w:rPr>
                </m:ctrlPr>
              </m:sup>
            </m:sSup>
            <m:ctrlPr>
              <w:rPr>
                <w:rFonts w:ascii="Cambria Math" w:hAnsi="Cambria Math"/>
                <w:i/>
                <w:lang w:eastAsia="zh-CN"/>
              </w:rPr>
            </m:ctrlPr>
          </m:sup>
        </m:sSup>
      </m:oMath>
      <w:r>
        <w:rPr>
          <w:rFonts w:ascii="Times New Roman" w:hAnsi="Times New Roman" w:eastAsia="SimSun"/>
          <w:b w:val="0"/>
          <w:sz w:val="21"/>
          <w:lang w:eastAsia="zh-CN"/>
        </w:rPr>
        <w:t xml:space="preserve"> 分别表示投入冗余、期望产出不足和非期望产出冗余。</w:t>
      </w:r>
    </w:p>
    <w:p w14:paraId="27129AB5">
      <w:pPr>
        <w:pStyle w:val="5"/>
        <w:bidi w:val="0"/>
        <w:rPr>
          <w:lang w:eastAsia="zh-CN"/>
        </w:rPr>
      </w:pPr>
      <w:bookmarkStart w:id="78" w:name="_Toc14310"/>
      <w:r>
        <w:rPr>
          <w:rFonts w:hint="eastAsia" w:ascii="Times New Roman" w:hAnsi="Times New Roman" w:eastAsia="SimSun"/>
          <w:b w:val="0"/>
          <w:sz w:val="21"/>
          <w:lang w:val="en-US" w:eastAsia="zh-CN"/>
        </w:rPr>
        <w:t xml:space="preserve">A3 </w:t>
      </w:r>
      <w:r>
        <w:rPr>
          <w:rFonts w:ascii="Times New Roman" w:hAnsi="Times New Roman" w:eastAsia="SimSun"/>
          <w:b w:val="0"/>
          <w:sz w:val="21"/>
          <w:lang w:eastAsia="zh-CN"/>
        </w:rPr>
        <w:t>Malmquist指数分解</w:t>
      </w:r>
      <w:bookmarkEnd w:id="78"/>
    </w:p>
    <w:p w14:paraId="0FC5E766">
      <w:pPr>
        <w:rPr>
          <w:lang w:eastAsia="zh-CN"/>
        </w:rPr>
      </w:pPr>
      <w:r>
        <w:rPr>
          <w:rFonts w:ascii="Times New Roman" w:hAnsi="Times New Roman" w:eastAsia="SimSun"/>
          <w:b w:val="0"/>
          <w:sz w:val="21"/>
          <w:lang w:eastAsia="zh-CN"/>
        </w:rPr>
        <w:t>本文采用全局参比Malmquist指数考察碳排放效率的动态演进，其基本形式为：</w:t>
      </w:r>
    </w:p>
    <w:p w14:paraId="364AFF22">
      <w:pPr>
        <w:pStyle w:val="177"/>
      </w:pPr>
      <w:r>
        <w:rPr>
          <w:rFonts w:ascii="Times New Roman" w:hAnsi="Times New Roman" w:eastAsia="SimSun"/>
          <w:b w:val="0"/>
          <w:sz w:val="21"/>
        </w:rPr>
        <w:t xml:space="preserve">公式（A6）  </w:t>
      </w:r>
      <m:oMath>
        <m:r>
          <m:rP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d>
                              <m:dPr>
                                <m:begChr m:val="{"/>
                                <m:endChr m:val="}"/>
                                <m:ctrlPr>
                                  <w:rPr>
                                    <w:rFonts w:ascii="Cambria Math" w:hAnsi="Cambria Math"/>
                                    <w:i/>
                                  </w:rPr>
                                </m:ctrlPr>
                              </m:dPr>
                              <m:e>
                                <m:r>
                                  <m:rPr/>
                                  <w:rPr>
                                    <w:rFonts w:ascii="Cambria Math" w:hAnsi="Cambria Math"/>
                                  </w:rPr>
                                  <m:t>t+1</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d>
              <m:dPr>
                <m:begChr m:val="{"/>
                <m:endChr m:val="}"/>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ctrlPr>
              <w:rPr>
                <w:rFonts w:ascii="Cambria Math" w:hAnsi="Cambria Math"/>
                <w:i/>
              </w:rPr>
            </m:ctrlPr>
          </m:sup>
        </m:sSup>
      </m:oMath>
    </w:p>
    <w:p w14:paraId="762A9556">
      <w:pPr>
        <w:rPr>
          <w:lang w:eastAsia="zh-CN"/>
        </w:rPr>
      </w:pPr>
      <w:r>
        <w:rPr>
          <w:rFonts w:ascii="Times New Roman" w:hAnsi="Times New Roman" w:eastAsia="SimSun"/>
          <w:b w:val="0"/>
          <w:sz w:val="21"/>
          <w:lang w:eastAsia="zh-CN"/>
        </w:rPr>
        <w:t>进一步地，全要素生产率变化指数可分解为技术效率变化和技术进步两部分：</w:t>
      </w:r>
    </w:p>
    <w:p w14:paraId="5AB00A36">
      <w:pPr>
        <w:pStyle w:val="177"/>
      </w:pPr>
      <w:r>
        <w:rPr>
          <w:rFonts w:ascii="Times New Roman" w:hAnsi="Times New Roman" w:eastAsia="SimSun"/>
          <w:b w:val="0"/>
          <w:sz w:val="21"/>
        </w:rPr>
        <w:t xml:space="preserve">公式（A7）  </w:t>
      </w:r>
      <m:oMath>
        <m:r>
          <m:rPr/>
          <w:rPr>
            <w:rFonts w:ascii="Cambria Math" w:hAnsi="Cambria Math"/>
          </w:rPr>
          <m:t>tfpch = effch × techch</m:t>
        </m:r>
      </m:oMath>
    </w:p>
    <w:p w14:paraId="2E84B121">
      <w:pPr>
        <w:pStyle w:val="5"/>
        <w:bidi w:val="0"/>
        <w:rPr>
          <w:lang w:eastAsia="zh-CN"/>
        </w:rPr>
      </w:pPr>
      <w:bookmarkStart w:id="79" w:name="_Toc5127"/>
      <w:r>
        <w:rPr>
          <w:rFonts w:hint="eastAsia" w:ascii="Times New Roman" w:hAnsi="Times New Roman" w:eastAsia="SimSun"/>
          <w:b w:val="0"/>
          <w:sz w:val="21"/>
          <w:lang w:val="en-US" w:eastAsia="zh-CN"/>
        </w:rPr>
        <w:t xml:space="preserve">A4 </w:t>
      </w:r>
      <w:r>
        <w:rPr>
          <w:rFonts w:ascii="Times New Roman" w:hAnsi="Times New Roman" w:eastAsia="SimSun"/>
          <w:b w:val="0"/>
          <w:sz w:val="21"/>
          <w:lang w:eastAsia="zh-CN"/>
        </w:rPr>
        <w:t>双向固定效应模型</w:t>
      </w:r>
      <w:bookmarkEnd w:id="79"/>
    </w:p>
    <w:p w14:paraId="338C0DF7">
      <w:pPr>
        <w:rPr>
          <w:lang w:eastAsia="zh-CN"/>
        </w:rPr>
      </w:pPr>
      <w:r>
        <w:rPr>
          <w:rFonts w:ascii="Times New Roman" w:hAnsi="Times New Roman" w:eastAsia="SimSun"/>
          <w:b w:val="0"/>
          <w:sz w:val="21"/>
          <w:lang w:eastAsia="zh-CN"/>
        </w:rPr>
        <w:t>第二阶段回归模型设定如下：</w:t>
      </w:r>
    </w:p>
    <w:p w14:paraId="1F008171">
      <w:pPr>
        <w:pStyle w:val="177"/>
      </w:pPr>
      <w:r>
        <w:rPr>
          <w:rFonts w:ascii="Times New Roman" w:hAnsi="Times New Roman" w:eastAsia="SimSun"/>
          <w:b w:val="0"/>
          <w:sz w:val="21"/>
        </w:rPr>
        <w:t xml:space="preserve">公式（A8）  </w:t>
      </w:r>
      <m:oMath>
        <m:r>
          <m:rPr/>
          <w:rPr>
            <w:rFonts w:ascii="Cambria Math" w:hAnsi="Cambria Math"/>
          </w:rPr>
          <m:t>ef</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α +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lnt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in</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ur</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r</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5</m:t>
            </m:r>
            <m:ctrlPr>
              <w:rPr>
                <w:rFonts w:ascii="Cambria Math" w:hAnsi="Cambria Math"/>
                <w:i/>
              </w:rPr>
            </m:ctrlPr>
          </m:sub>
        </m:sSub>
        <m:r>
          <m:rPr/>
          <w:rPr>
            <w:rFonts w:ascii="Cambria Math" w:hAnsi="Cambria Math"/>
          </w:rPr>
          <m:t>ope</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6</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γ</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ε</m:t>
            </m:r>
            <m:ctrlPr>
              <w:rPr>
                <w:rFonts w:ascii="Cambria Math" w:hAnsi="Cambria Math"/>
                <w:i/>
              </w:rPr>
            </m:ctrlPr>
          </m:e>
          <m:sub>
            <m:r>
              <m:rPr/>
              <w:rPr>
                <w:rFonts w:ascii="Cambria Math" w:hAnsi="Cambria Math"/>
              </w:rPr>
              <m:t>it</m:t>
            </m:r>
            <m:ctrlPr>
              <w:rPr>
                <w:rFonts w:ascii="Cambria Math" w:hAnsi="Cambria Math"/>
                <w:i/>
              </w:rPr>
            </m:ctrlPr>
          </m:sub>
        </m:sSub>
      </m:oMath>
    </w:p>
    <w:p w14:paraId="7172952E">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μ</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rFonts w:ascii="Times New Roman" w:hAnsi="Times New Roman" w:eastAsia="SimSun"/>
          <w:b w:val="0"/>
          <w:sz w:val="21"/>
          <w:lang w:eastAsia="zh-CN"/>
        </w:rPr>
        <w:t xml:space="preserve"> 表示省份固定效应，</w:t>
      </w:r>
      <m:oMath>
        <m:sSub>
          <m:sSubPr>
            <m:ctrlPr>
              <w:rPr>
                <w:rFonts w:ascii="Cambria Math" w:hAnsi="Cambria Math"/>
                <w:i/>
                <w:lang w:eastAsia="zh-CN"/>
              </w:rPr>
            </m:ctrlPr>
          </m:sSubPr>
          <m:e>
            <m:r>
              <m:rPr/>
              <w:rPr>
                <w:rFonts w:ascii="Cambria Math" w:hAnsi="Cambria Math"/>
                <w:lang w:eastAsia="zh-CN"/>
              </w:rPr>
              <m:t>γ</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oMath>
      <w:r>
        <w:rPr>
          <w:rFonts w:ascii="Times New Roman" w:hAnsi="Times New Roman" w:eastAsia="SimSun"/>
          <w:b w:val="0"/>
          <w:sz w:val="21"/>
          <w:lang w:eastAsia="zh-CN"/>
        </w:rPr>
        <w:t>表示年份固定效应，</w:t>
      </w:r>
      <m:oMath>
        <m:sSub>
          <m:sSubPr>
            <m:ctrlPr>
              <w:rPr>
                <w:rFonts w:ascii="Cambria Math" w:hAnsi="Cambria Math"/>
                <w:i/>
                <w:lang w:eastAsia="zh-CN"/>
              </w:rPr>
            </m:ctrlPr>
          </m:sSubPr>
          <m:e>
            <m:r>
              <m:rPr/>
              <w:rPr>
                <w:rFonts w:ascii="Cambria Math" w:hAnsi="Cambria Math"/>
                <w:lang w:eastAsia="zh-CN"/>
              </w:rPr>
              <m:t>ε</m:t>
            </m:r>
            <m:ctrlPr>
              <w:rPr>
                <w:rFonts w:ascii="Cambria Math" w:hAnsi="Cambria Math"/>
                <w:i/>
                <w:lang w:eastAsia="zh-CN"/>
              </w:rPr>
            </m:ctrlPr>
          </m:e>
          <m:sub>
            <m:r>
              <m:rPr/>
              <w:rPr>
                <w:rFonts w:ascii="Cambria Math" w:hAnsi="Cambria Math"/>
                <w:lang w:eastAsia="zh-CN"/>
              </w:rPr>
              <m:t>it</m:t>
            </m:r>
            <m:ctrlPr>
              <w:rPr>
                <w:rFonts w:ascii="Cambria Math" w:hAnsi="Cambria Math"/>
                <w:i/>
                <w:lang w:eastAsia="zh-CN"/>
              </w:rPr>
            </m:ctrlPr>
          </m:sub>
        </m:sSub>
      </m:oMath>
      <w:r>
        <w:rPr>
          <w:rFonts w:ascii="Times New Roman" w:hAnsi="Times New Roman" w:eastAsia="SimSun"/>
          <w:b w:val="0"/>
          <w:sz w:val="21"/>
          <w:lang w:eastAsia="zh-CN"/>
        </w:rPr>
        <w:t xml:space="preserve"> 为随机扰动项。</w:t>
      </w:r>
    </w:p>
    <w:p w14:paraId="53D1EA57">
      <w:pPr>
        <w:pStyle w:val="5"/>
        <w:bidi w:val="0"/>
      </w:pPr>
      <w:bookmarkStart w:id="80" w:name="_Toc5948"/>
      <w:r>
        <w:rPr>
          <w:rFonts w:hint="eastAsia" w:ascii="Times New Roman" w:hAnsi="Times New Roman" w:eastAsia="SimSun"/>
          <w:b w:val="0"/>
          <w:sz w:val="21"/>
          <w:lang w:val="en-US" w:eastAsia="zh-CN"/>
        </w:rPr>
        <w:t xml:space="preserve">A5 </w:t>
      </w:r>
      <w:r>
        <w:rPr>
          <w:rFonts w:ascii="Times New Roman" w:hAnsi="Times New Roman" w:eastAsia="SimSun"/>
          <w:b w:val="0"/>
          <w:sz w:val="21"/>
        </w:rPr>
        <w:t>全局Moran’s I</w:t>
      </w:r>
      <w:bookmarkEnd w:id="80"/>
    </w:p>
    <w:p w14:paraId="3717E359">
      <w:pPr>
        <w:rPr>
          <w:lang w:eastAsia="zh-CN"/>
        </w:rPr>
      </w:pPr>
      <w:r>
        <w:rPr>
          <w:rFonts w:ascii="Times New Roman" w:hAnsi="Times New Roman" w:eastAsia="SimSun"/>
          <w:b w:val="0"/>
          <w:sz w:val="21"/>
          <w:lang w:eastAsia="zh-CN"/>
        </w:rPr>
        <w:t>为检验省域碳排放效率的空间相关性，本文采用全局Moran’s I统计量：</w:t>
      </w:r>
    </w:p>
    <w:p w14:paraId="2A799BB5">
      <w:pPr>
        <w:pStyle w:val="177"/>
      </w:pPr>
      <w:r>
        <w:rPr>
          <w:rFonts w:ascii="Times New Roman" w:hAnsi="Times New Roman" w:eastAsia="SimSun"/>
          <w:b w:val="0"/>
          <w:sz w:val="21"/>
        </w:rPr>
        <w:t xml:space="preserve">公式（A9）  </w:t>
      </w:r>
      <m:oMath>
        <m:r>
          <m:rP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m:rPr/>
                  <w:rPr>
                    <w:rFonts w:ascii="Cambria Math" w:hAnsi="Cambria Math"/>
                  </w:rPr>
                  <m:t>n</m:t>
                </m:r>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acc>
                          <m:accPr>
                            <m:chr m:val="̄"/>
                            <m:ctrlPr>
                              <w:rPr>
                                <w:rFonts w:ascii="Cambria Math" w:hAnsi="Cambria Math"/>
                                <w:i/>
                              </w:rPr>
                            </m:ctrlPr>
                          </m:accPr>
                          <m:e>
                            <m:r>
                              <m:rPr/>
                              <w:rPr>
                                <w:rFonts w:ascii="Cambria Math" w:hAnsi="Cambria Math"/>
                              </w:rPr>
                              <m:t>x</m:t>
                            </m:r>
                            <m:ctrlPr>
                              <w:rPr>
                                <w:rFonts w:ascii="Cambria Math" w:hAnsi="Cambria Math"/>
                                <w:i/>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oMath>
    </w:p>
    <w:p w14:paraId="16574872">
      <w:pPr>
        <w:rPr>
          <w:lang w:eastAsia="zh-CN"/>
        </w:rPr>
      </w:pPr>
      <w:r>
        <w:rPr>
          <w:rFonts w:ascii="Times New Roman" w:hAnsi="Times New Roman" w:eastAsia="SimSun"/>
          <w:b w:val="0"/>
          <w:sz w:val="21"/>
          <w:lang w:eastAsia="zh-CN"/>
        </w:rPr>
        <w:t>其中，</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 xml:space="preserve"> 为空间权重矩阵元素，</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0</m:t>
            </m:r>
            <m:ctrlPr>
              <w:rPr>
                <w:rFonts w:ascii="Cambria Math" w:hAnsi="Cambria Math"/>
                <w:i/>
                <w:lang w:eastAsia="zh-CN"/>
              </w:rPr>
            </m:ctrlPr>
          </m:sub>
        </m:sSub>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Σ</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oMath>
      <w:r>
        <w:rPr>
          <w:rFonts w:ascii="Times New Roman" w:hAnsi="Times New Roman" w:eastAsia="SimSun"/>
          <w:b w:val="0"/>
          <w:sz w:val="21"/>
          <w:lang w:eastAsia="zh-CN"/>
        </w:rPr>
        <w:t>。I 值大于 0 表示正向空间相关，小于 0 表示负向空间相关。</w:t>
      </w:r>
    </w:p>
    <w:p w14:paraId="2D830127">
      <w:pPr>
        <w:pStyle w:val="5"/>
        <w:bidi w:val="0"/>
        <w:rPr>
          <w:lang w:eastAsia="zh-CN"/>
        </w:rPr>
      </w:pPr>
      <w:bookmarkStart w:id="81" w:name="_Toc21315"/>
      <w:r>
        <w:rPr>
          <w:rFonts w:hint="eastAsia" w:ascii="Times New Roman" w:hAnsi="Times New Roman" w:eastAsia="SimSun"/>
          <w:b w:val="0"/>
          <w:sz w:val="21"/>
          <w:lang w:val="en-US" w:eastAsia="zh-CN"/>
        </w:rPr>
        <w:t xml:space="preserve">A6 </w:t>
      </w:r>
      <w:r>
        <w:rPr>
          <w:rFonts w:ascii="Times New Roman" w:hAnsi="Times New Roman" w:eastAsia="SimSun"/>
          <w:b w:val="0"/>
          <w:sz w:val="21"/>
          <w:lang w:eastAsia="zh-CN"/>
        </w:rPr>
        <w:t>多重共线性检验</w:t>
      </w:r>
      <w:bookmarkEnd w:id="81"/>
    </w:p>
    <w:p w14:paraId="15CFF070">
      <w:pPr>
        <w:rPr>
          <w:lang w:eastAsia="zh-CN"/>
        </w:rPr>
      </w:pPr>
      <w:r>
        <w:rPr>
          <w:rFonts w:ascii="Times New Roman" w:hAnsi="Times New Roman" w:eastAsia="SimSun"/>
          <w:b w:val="0"/>
          <w:sz w:val="21"/>
          <w:lang w:eastAsia="zh-CN"/>
        </w:rPr>
        <w:t>为诊断解释变量间的多重共线性，本文计算方差膨胀因子（VIF）：</w:t>
      </w:r>
    </w:p>
    <w:p w14:paraId="6547C629">
      <w:pPr>
        <w:pStyle w:val="177"/>
      </w:pPr>
      <w:r>
        <w:rPr>
          <w:rFonts w:ascii="Times New Roman" w:hAnsi="Times New Roman" w:eastAsia="SimSun"/>
          <w:b w:val="0"/>
          <w:sz w:val="21"/>
        </w:rPr>
        <w:t xml:space="preserve">公式（A10）  </w:t>
      </w:r>
      <m:oMath>
        <m:r>
          <m:rPr/>
          <w:rPr>
            <w:rFonts w:ascii="Cambria Math" w:hAnsi="Cambria Math"/>
          </w:rPr>
          <m:t>VI</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 xml:space="preserve">= </m:t>
        </m:r>
        <m:f>
          <m:fPr>
            <m:ctrlPr>
              <w:rPr>
                <w:rFonts w:ascii="Cambria Math" w:hAnsi="Cambria Math"/>
                <w:i/>
              </w:rPr>
            </m:ctrlPr>
          </m:fPr>
          <m:num>
            <m:r>
              <m:rPr/>
              <w:rPr>
                <w:rFonts w:ascii="Cambria Math" w:hAnsi="Cambria Math"/>
              </w:rPr>
              <m:t>1</m:t>
            </m:r>
            <m:ctrlPr>
              <w:rPr>
                <w:rFonts w:ascii="Cambria Math" w:hAnsi="Cambria Math"/>
                <w:i/>
              </w:rPr>
            </m:ctrlPr>
          </m:num>
          <m:den>
            <m:d>
              <m:dPr>
                <m:ctrlPr>
                  <w:rPr>
                    <w:rFonts w:ascii="Cambria Math" w:hAnsi="Cambria Math"/>
                    <w:i/>
                  </w:rPr>
                </m:ctrlPr>
              </m:dPr>
              <m:e>
                <m:r>
                  <m:rPr/>
                  <w:rPr>
                    <w:rFonts w:ascii="Cambria Math" w:hAnsi="Cambria Math"/>
                  </w:rPr>
                  <m:t xml:space="preserve">1 − </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d>
            <m:ctrlPr>
              <w:rPr>
                <w:rFonts w:ascii="Cambria Math" w:hAnsi="Cambria Math"/>
                <w:i/>
              </w:rPr>
            </m:ctrlPr>
          </m:den>
        </m:f>
      </m:oMath>
    </w:p>
    <w:p w14:paraId="0D8A0C0F">
      <w:pPr>
        <w:pStyle w:val="4"/>
        <w:bidi w:val="0"/>
        <w:rPr>
          <w:lang w:eastAsia="zh-CN"/>
        </w:rPr>
      </w:pPr>
      <w:bookmarkStart w:id="82" w:name="_Toc26859"/>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B</w:t>
      </w:r>
      <w:r>
        <w:rPr>
          <w:rFonts w:ascii="Times New Roman" w:hAnsi="Times New Roman" w:eastAsia="SimSun"/>
          <w:b w:val="0"/>
          <w:sz w:val="21"/>
          <w:lang w:eastAsia="zh-CN"/>
        </w:rPr>
        <w:t xml:space="preserve"> 核心代码</w:t>
      </w:r>
      <w:bookmarkEnd w:id="82"/>
    </w:p>
    <w:p w14:paraId="03FD43EA">
      <w:pPr>
        <w:pStyle w:val="5"/>
        <w:bidi w:val="0"/>
        <w:rPr>
          <w:lang w:eastAsia="zh-CN"/>
        </w:rPr>
      </w:pPr>
      <w:r>
        <w:rPr>
          <w:rFonts w:hint="eastAsia" w:ascii="Times New Roman" w:hAnsi="Times New Roman" w:eastAsia="SimSun"/>
          <w:b w:val="0"/>
          <w:sz w:val="21"/>
          <w:lang w:val="en-US" w:eastAsia="zh-CN"/>
        </w:rPr>
        <w:t>B1</w:t>
      </w:r>
      <w:r>
        <w:rPr>
          <w:rFonts w:ascii="Times New Roman" w:hAnsi="Times New Roman" w:eastAsia="SimSun"/>
          <w:b w:val="0"/>
          <w:sz w:val="21"/>
          <w:lang w:eastAsia="zh-CN"/>
        </w:rPr>
        <w:t>代码运行环境与依赖库表</w:t>
      </w:r>
    </w:p>
    <w:tbl>
      <w:tblPr>
        <w:tblStyle w:val="3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71"/>
        <w:gridCol w:w="7909"/>
      </w:tblGrid>
      <w:tr w14:paraId="1C577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44" w:type="pct"/>
            <w:tcBorders>
              <w:top w:val="single" w:color="000000" w:sz="12" w:space="0"/>
              <w:bottom w:val="single" w:color="000000" w:sz="4" w:space="0"/>
              <w:tl2br w:val="nil"/>
            </w:tcBorders>
            <w:shd w:val="clear" w:color="auto" w:fill="FFFFFF"/>
            <w:vAlign w:val="center"/>
          </w:tcPr>
          <w:p w14:paraId="772E17CC">
            <w:pPr>
              <w:jc w:val="center"/>
              <w:rPr>
                <w:b w:val="0"/>
                <w:color w:val="000000"/>
                <w:lang w:eastAsia="zh-CN"/>
              </w:rPr>
            </w:pPr>
            <w:r>
              <w:rPr>
                <w:b w:val="0"/>
                <w:color w:val="000000"/>
                <w:lang w:val="en-US" w:eastAsia="zh-CN"/>
              </w:rPr>
              <w:t>项目</w:t>
            </w:r>
          </w:p>
        </w:tc>
        <w:tc>
          <w:tcPr>
            <w:tcW w:w="4555" w:type="pct"/>
            <w:tcBorders>
              <w:top w:val="single" w:color="000000" w:sz="12" w:space="0"/>
              <w:bottom w:val="single" w:color="000000" w:sz="4" w:space="0"/>
            </w:tcBorders>
            <w:shd w:val="clear" w:color="auto" w:fill="FFFFFF"/>
            <w:vAlign w:val="center"/>
          </w:tcPr>
          <w:p w14:paraId="0216F90F">
            <w:pPr>
              <w:jc w:val="center"/>
              <w:rPr>
                <w:b w:val="0"/>
                <w:color w:val="000000"/>
                <w:lang w:eastAsia="zh-CN"/>
              </w:rPr>
            </w:pPr>
            <w:r>
              <w:rPr>
                <w:b w:val="0"/>
                <w:color w:val="000000"/>
                <w:lang w:val="en-US" w:eastAsia="zh-CN"/>
              </w:rPr>
              <w:t>说明</w:t>
            </w:r>
          </w:p>
        </w:tc>
      </w:tr>
      <w:tr w14:paraId="6427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top w:val="single" w:color="000000" w:sz="4" w:space="0"/>
            </w:tcBorders>
            <w:shd w:val="clear" w:color="auto" w:fill="FFFFFF"/>
            <w:vAlign w:val="center"/>
          </w:tcPr>
          <w:p w14:paraId="5BC25837">
            <w:pPr>
              <w:rPr>
                <w:b w:val="0"/>
                <w:color w:val="000000"/>
                <w:lang w:eastAsia="zh-CN"/>
              </w:rPr>
            </w:pPr>
            <w:r>
              <w:rPr>
                <w:b w:val="0"/>
                <w:color w:val="000000"/>
                <w:lang w:val="en-US" w:eastAsia="zh-CN"/>
              </w:rPr>
              <w:t>操作系统</w:t>
            </w:r>
          </w:p>
        </w:tc>
        <w:tc>
          <w:tcPr>
            <w:tcW w:w="4555" w:type="pct"/>
            <w:tcBorders>
              <w:top w:val="single" w:color="000000" w:sz="4" w:space="0"/>
            </w:tcBorders>
            <w:shd w:val="clear" w:color="auto" w:fill="FFFFFF"/>
            <w:vAlign w:val="center"/>
          </w:tcPr>
          <w:p w14:paraId="1676D6A5">
            <w:pPr>
              <w:rPr>
                <w:b w:val="0"/>
                <w:color w:val="000000"/>
                <w:lang w:eastAsia="zh-CN"/>
              </w:rPr>
            </w:pPr>
            <w:r>
              <w:rPr>
                <w:b w:val="0"/>
                <w:color w:val="000000"/>
                <w:lang w:val="en-US" w:eastAsia="zh-CN"/>
              </w:rPr>
              <w:t>Microsoft Windows（64位，示例：Windows 10/11）</w:t>
            </w:r>
          </w:p>
        </w:tc>
      </w:tr>
      <w:tr w14:paraId="0626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56F15728">
            <w:pPr>
              <w:rPr>
                <w:b w:val="0"/>
                <w:color w:val="000000"/>
                <w:lang w:eastAsia="zh-CN"/>
              </w:rPr>
            </w:pPr>
            <w:r>
              <w:rPr>
                <w:b w:val="0"/>
                <w:color w:val="000000"/>
                <w:lang w:val="en-US" w:eastAsia="zh-CN"/>
              </w:rPr>
              <w:t>处理器架构</w:t>
            </w:r>
          </w:p>
        </w:tc>
        <w:tc>
          <w:tcPr>
            <w:tcW w:w="4555" w:type="pct"/>
            <w:shd w:val="clear" w:color="auto" w:fill="FFFFFF"/>
            <w:vAlign w:val="center"/>
          </w:tcPr>
          <w:p w14:paraId="733F9FC7">
            <w:pPr>
              <w:rPr>
                <w:b w:val="0"/>
                <w:color w:val="000000"/>
                <w:lang w:eastAsia="zh-CN"/>
              </w:rPr>
            </w:pPr>
            <w:r>
              <w:rPr>
                <w:b w:val="0"/>
                <w:color w:val="000000"/>
                <w:lang w:val="en-US" w:eastAsia="zh-CN"/>
              </w:rPr>
              <w:t>x86_64 / AMD64</w:t>
            </w:r>
          </w:p>
        </w:tc>
      </w:tr>
      <w:tr w14:paraId="1610E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60B3E445">
            <w:pPr>
              <w:rPr>
                <w:b w:val="0"/>
                <w:color w:val="000000"/>
                <w:lang w:eastAsia="zh-CN"/>
              </w:rPr>
            </w:pPr>
            <w:r>
              <w:rPr>
                <w:b w:val="0"/>
                <w:color w:val="000000"/>
                <w:lang w:val="en-US" w:eastAsia="zh-CN"/>
              </w:rPr>
              <w:t>Python</w:t>
            </w:r>
          </w:p>
        </w:tc>
        <w:tc>
          <w:tcPr>
            <w:tcW w:w="4555" w:type="pct"/>
            <w:shd w:val="clear" w:color="auto" w:fill="FFFFFF"/>
            <w:vAlign w:val="center"/>
          </w:tcPr>
          <w:p w14:paraId="46DD5BC0">
            <w:pPr>
              <w:rPr>
                <w:b w:val="0"/>
                <w:color w:val="000000"/>
                <w:lang w:eastAsia="zh-CN"/>
              </w:rPr>
            </w:pPr>
            <w:r>
              <w:rPr>
                <w:b w:val="0"/>
                <w:color w:val="000000"/>
                <w:lang w:val="en-US" w:eastAsia="zh-CN"/>
              </w:rPr>
              <w:t>建议 3.9 及以上；脚本大量使用 pathlib、类型注解。全文跑通需安装第三方科学计算与计量库（见下一工作表）。</w:t>
            </w:r>
          </w:p>
        </w:tc>
      </w:tr>
      <w:tr w14:paraId="0BC9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42B43F2D">
            <w:pPr>
              <w:rPr>
                <w:b w:val="0"/>
                <w:color w:val="000000"/>
                <w:lang w:eastAsia="zh-CN"/>
              </w:rPr>
            </w:pPr>
            <w:r>
              <w:rPr>
                <w:b w:val="0"/>
                <w:color w:val="000000"/>
                <w:lang w:val="en-US" w:eastAsia="zh-CN"/>
              </w:rPr>
              <w:t>数据与文件格式</w:t>
            </w:r>
          </w:p>
        </w:tc>
        <w:tc>
          <w:tcPr>
            <w:tcW w:w="4555" w:type="pct"/>
            <w:shd w:val="clear" w:color="auto" w:fill="FFFFFF"/>
            <w:vAlign w:val="center"/>
          </w:tcPr>
          <w:p w14:paraId="545BE2D6">
            <w:pPr>
              <w:rPr>
                <w:b w:val="0"/>
                <w:color w:val="000000"/>
                <w:lang w:eastAsia="zh-CN"/>
              </w:rPr>
            </w:pPr>
            <w:r>
              <w:rPr>
                <w:b w:val="0"/>
                <w:color w:val="000000"/>
                <w:lang w:val="en-US" w:eastAsia="zh-CN"/>
              </w:rPr>
              <w:t>CSV（UTF-8，常见带 BOM）、Excel（.xlsx，依赖 openpyxl）、GeoJSON（空间分析脚本）</w:t>
            </w:r>
          </w:p>
        </w:tc>
      </w:tr>
      <w:tr w14:paraId="62C8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shd w:val="clear" w:color="auto" w:fill="FFFFFF"/>
            <w:vAlign w:val="center"/>
          </w:tcPr>
          <w:p w14:paraId="38973E53">
            <w:pPr>
              <w:rPr>
                <w:b w:val="0"/>
                <w:color w:val="000000"/>
                <w:lang w:eastAsia="zh-CN"/>
              </w:rPr>
            </w:pPr>
            <w:r>
              <w:rPr>
                <w:b w:val="0"/>
                <w:color w:val="000000"/>
                <w:lang w:val="en-US" w:eastAsia="zh-CN"/>
              </w:rPr>
              <w:t>中文字体</w:t>
            </w:r>
          </w:p>
        </w:tc>
        <w:tc>
          <w:tcPr>
            <w:tcW w:w="4555" w:type="pct"/>
            <w:shd w:val="clear" w:color="auto" w:fill="FFFFFF"/>
            <w:vAlign w:val="center"/>
          </w:tcPr>
          <w:p w14:paraId="63C91D09">
            <w:pPr>
              <w:rPr>
                <w:b w:val="0"/>
                <w:color w:val="000000"/>
                <w:lang w:eastAsia="zh-CN"/>
              </w:rPr>
            </w:pPr>
            <w:r>
              <w:rPr>
                <w:b w:val="0"/>
                <w:color w:val="000000"/>
                <w:lang w:val="en-US" w:eastAsia="zh-CN"/>
              </w:rPr>
              <w:t>绘图依赖系统已安装中文字体（如 Microsoft YaHei、SimHei、SimSun）；缺失时可能缺字或回退字体。</w:t>
            </w:r>
          </w:p>
        </w:tc>
      </w:tr>
      <w:tr w14:paraId="3718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444" w:type="pct"/>
            <w:tcBorders>
              <w:bottom w:val="single" w:color="000000" w:sz="12" w:space="0"/>
            </w:tcBorders>
            <w:shd w:val="clear" w:color="auto" w:fill="FFFFFF"/>
            <w:vAlign w:val="center"/>
          </w:tcPr>
          <w:p w14:paraId="0ABFC93D">
            <w:pPr>
              <w:rPr>
                <w:b w:val="0"/>
                <w:color w:val="000000"/>
                <w:lang w:eastAsia="zh-CN"/>
              </w:rPr>
            </w:pPr>
            <w:r>
              <w:rPr>
                <w:b w:val="0"/>
                <w:color w:val="000000"/>
                <w:lang w:val="en-US" w:eastAsia="zh-CN"/>
              </w:rPr>
              <w:t>复现建议</w:t>
            </w:r>
          </w:p>
        </w:tc>
        <w:tc>
          <w:tcPr>
            <w:tcW w:w="4555" w:type="pct"/>
            <w:tcBorders>
              <w:bottom w:val="single" w:color="000000" w:sz="12" w:space="0"/>
            </w:tcBorders>
            <w:shd w:val="clear" w:color="auto" w:fill="FFFFFF"/>
            <w:vAlign w:val="center"/>
          </w:tcPr>
          <w:p w14:paraId="3BA21599">
            <w:pPr>
              <w:rPr>
                <w:b w:val="0"/>
                <w:color w:val="000000"/>
                <w:lang w:eastAsia="zh-CN"/>
              </w:rPr>
            </w:pPr>
            <w:r>
              <w:rPr>
                <w:b w:val="0"/>
                <w:color w:val="000000"/>
                <w:lang w:val="en-US" w:eastAsia="zh-CN"/>
              </w:rPr>
              <w:t>在论文复现用虚拟环境中执行：pip install numpy pandas matplotlib seaborn scipy statsmodels linearmodels openpyxl arch panelbox，再执行 pip freeze 存档。</w:t>
            </w:r>
          </w:p>
        </w:tc>
      </w:tr>
    </w:tbl>
    <w:p w14:paraId="4A512493">
      <w:pPr>
        <w:rPr>
          <w:lang w:eastAsia="zh-CN"/>
        </w:rPr>
      </w:pPr>
    </w:p>
    <w:p w14:paraId="26231EC8">
      <w:pPr>
        <w:pStyle w:val="5"/>
        <w:bidi w:val="0"/>
      </w:pPr>
      <w:r>
        <w:rPr>
          <w:rFonts w:hint="eastAsia" w:ascii="Times New Roman" w:hAnsi="Times New Roman" w:eastAsia="SimSun"/>
          <w:b w:val="0"/>
          <w:sz w:val="21"/>
          <w:lang w:val="en-US" w:eastAsia="zh-CN"/>
        </w:rPr>
        <w:t xml:space="preserve">B2 </w:t>
      </w:r>
      <w:r>
        <w:rPr>
          <w:rFonts w:ascii="Times New Roman" w:hAnsi="Times New Roman" w:eastAsia="SimSun"/>
          <w:b w:val="0"/>
          <w:sz w:val="21"/>
        </w:rPr>
        <w:t>核心脚本功能说明表</w:t>
      </w:r>
    </w:p>
    <w:p w14:paraId="5BB2FA5F">
      <w:pPr>
        <w:rPr>
          <w:rFonts w:hint="default" w:eastAsia="宋体"/>
          <w:lang w:val="en-US" w:eastAsia="zh-CN"/>
        </w:rPr>
      </w:pPr>
      <w:r>
        <w:rPr>
          <w:rFonts w:hint="eastAsia" w:ascii="Times New Roman" w:hAnsi="Times New Roman" w:eastAsia="SimSun"/>
          <w:b w:val="0"/>
          <w:sz w:val="21"/>
          <w:lang w:val="en-US" w:eastAsia="zh-CN"/>
        </w:rPr>
        <w:t>附录表B1 核心脚本功能说明表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1441"/>
        <w:gridCol w:w="1441"/>
        <w:gridCol w:w="2882"/>
      </w:tblGrid>
      <w:tr w14:paraId="5431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12" w:space="0"/>
              <w:left w:val="nil"/>
              <w:bottom w:val="single" w:color="000000" w:sz="4" w:space="0"/>
              <w:right w:val="nil"/>
              <w:tl2br w:val="nil"/>
            </w:tcBorders>
            <w:shd w:val="clear" w:color="auto" w:fill="FFFFFF"/>
          </w:tcPr>
          <w:p w14:paraId="2C60B008">
            <w:pPr>
              <w:rPr>
                <w:b w:val="0"/>
                <w:color w:val="000000"/>
              </w:rPr>
            </w:pPr>
            <w:r>
              <w:rPr>
                <w:b w:val="0"/>
                <w:color w:val="000000"/>
                <w:sz w:val="21"/>
              </w:rPr>
              <w:t>脚本模块</w:t>
            </w:r>
          </w:p>
        </w:tc>
        <w:tc>
          <w:tcPr>
            <w:tcW w:w="2882" w:type="dxa"/>
            <w:gridSpan w:val="2"/>
            <w:tcBorders>
              <w:top w:val="single" w:color="000000" w:sz="12" w:space="0"/>
              <w:left w:val="nil"/>
              <w:bottom w:val="single" w:color="000000" w:sz="4" w:space="0"/>
              <w:right w:val="nil"/>
            </w:tcBorders>
            <w:shd w:val="clear" w:color="auto" w:fill="FFFFFF"/>
          </w:tcPr>
          <w:p w14:paraId="144DE06D">
            <w:pPr>
              <w:rPr>
                <w:b w:val="0"/>
                <w:color w:val="000000"/>
              </w:rPr>
            </w:pPr>
            <w:r>
              <w:rPr>
                <w:b w:val="0"/>
                <w:color w:val="000000"/>
                <w:sz w:val="21"/>
              </w:rPr>
              <w:t>主要功能</w:t>
            </w:r>
          </w:p>
        </w:tc>
        <w:tc>
          <w:tcPr>
            <w:tcW w:w="2882" w:type="dxa"/>
            <w:tcBorders>
              <w:top w:val="single" w:color="000000" w:sz="12" w:space="0"/>
              <w:left w:val="nil"/>
              <w:bottom w:val="single" w:color="000000" w:sz="4" w:space="0"/>
              <w:right w:val="nil"/>
            </w:tcBorders>
            <w:shd w:val="clear" w:color="auto" w:fill="FFFFFF"/>
          </w:tcPr>
          <w:p w14:paraId="0AA76DF3">
            <w:pPr>
              <w:rPr>
                <w:b w:val="0"/>
                <w:color w:val="000000"/>
              </w:rPr>
            </w:pPr>
            <w:r>
              <w:rPr>
                <w:b w:val="0"/>
                <w:color w:val="000000"/>
                <w:sz w:val="21"/>
              </w:rPr>
              <w:t>主要输出</w:t>
            </w:r>
          </w:p>
        </w:tc>
      </w:tr>
      <w:tr w14:paraId="4B63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single" w:color="000000" w:sz="4" w:space="0"/>
              <w:left w:val="nil"/>
              <w:bottom w:val="nil"/>
              <w:right w:val="nil"/>
            </w:tcBorders>
            <w:shd w:val="clear" w:color="auto" w:fill="FFFFFF"/>
          </w:tcPr>
          <w:p w14:paraId="0FE6F6B0">
            <w:pPr>
              <w:rPr>
                <w:b w:val="0"/>
                <w:color w:val="000000"/>
                <w:lang w:eastAsia="zh-CN"/>
              </w:rPr>
            </w:pPr>
            <w:r>
              <w:rPr>
                <w:rFonts w:hint="eastAsia"/>
                <w:b w:val="0"/>
                <w:color w:val="000000"/>
                <w:sz w:val="21"/>
                <w:lang w:eastAsia="zh-CN"/>
              </w:rPr>
              <w:t>夜间灯光强度</w:t>
            </w:r>
            <w:r>
              <w:rPr>
                <w:b w:val="0"/>
                <w:color w:val="000000"/>
                <w:sz w:val="21"/>
                <w:lang w:eastAsia="zh-CN"/>
              </w:rPr>
              <w:t>构造模块</w:t>
            </w:r>
          </w:p>
        </w:tc>
        <w:tc>
          <w:tcPr>
            <w:tcW w:w="2882" w:type="dxa"/>
            <w:gridSpan w:val="2"/>
            <w:tcBorders>
              <w:top w:val="single" w:color="000000" w:sz="4" w:space="0"/>
              <w:left w:val="nil"/>
              <w:bottom w:val="nil"/>
              <w:right w:val="nil"/>
            </w:tcBorders>
            <w:shd w:val="clear" w:color="auto" w:fill="FFFFFF"/>
          </w:tcPr>
          <w:p w14:paraId="2A927E27">
            <w:pPr>
              <w:rPr>
                <w:b w:val="0"/>
                <w:color w:val="000000"/>
                <w:lang w:eastAsia="zh-CN"/>
              </w:rPr>
            </w:pPr>
            <w:r>
              <w:rPr>
                <w:b w:val="0"/>
                <w:color w:val="000000"/>
                <w:sz w:val="21"/>
                <w:lang w:eastAsia="zh-CN"/>
              </w:rPr>
              <w:t>根据栅格亮度份额计算</w:t>
            </w:r>
            <w:r>
              <w:rPr>
                <w:rFonts w:hint="eastAsia"/>
                <w:b w:val="0"/>
                <w:color w:val="000000"/>
                <w:sz w:val="21"/>
                <w:lang w:val="en-US" w:eastAsia="zh-CN"/>
              </w:rPr>
              <w:t>夜间灯光强度</w:t>
            </w:r>
            <w:r>
              <w:rPr>
                <w:b w:val="0"/>
                <w:color w:val="000000"/>
                <w:sz w:val="21"/>
                <w:lang w:eastAsia="zh-CN"/>
              </w:rPr>
              <w:t>，并进行对数化处理</w:t>
            </w:r>
          </w:p>
        </w:tc>
        <w:tc>
          <w:tcPr>
            <w:tcW w:w="2882" w:type="dxa"/>
            <w:tcBorders>
              <w:top w:val="single" w:color="000000" w:sz="4" w:space="0"/>
              <w:left w:val="nil"/>
              <w:bottom w:val="nil"/>
              <w:right w:val="nil"/>
            </w:tcBorders>
            <w:shd w:val="clear" w:color="auto" w:fill="FFFFFF"/>
          </w:tcPr>
          <w:p w14:paraId="50FE6B32">
            <w:pPr>
              <w:rPr>
                <w:b w:val="0"/>
                <w:color w:val="000000"/>
              </w:rPr>
            </w:pPr>
            <w:r>
              <w:rPr>
                <w:b w:val="0"/>
                <w:color w:val="000000"/>
                <w:sz w:val="21"/>
              </w:rPr>
              <w:t>省份—年份层面的 ntl 与 lntl</w:t>
            </w:r>
          </w:p>
        </w:tc>
      </w:tr>
      <w:tr w14:paraId="701F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36AF8524">
            <w:pPr>
              <w:rPr>
                <w:b w:val="0"/>
                <w:color w:val="000000"/>
                <w:lang w:eastAsia="zh-CN"/>
              </w:rPr>
            </w:pPr>
            <w:r>
              <w:rPr>
                <w:b w:val="0"/>
                <w:color w:val="000000"/>
                <w:sz w:val="21"/>
                <w:lang w:eastAsia="zh-CN"/>
              </w:rPr>
              <w:t>双向固定效应估计模块</w:t>
            </w:r>
          </w:p>
        </w:tc>
        <w:tc>
          <w:tcPr>
            <w:tcW w:w="2882" w:type="dxa"/>
            <w:gridSpan w:val="2"/>
            <w:tcBorders>
              <w:top w:val="nil"/>
              <w:left w:val="nil"/>
              <w:bottom w:val="nil"/>
              <w:right w:val="nil"/>
            </w:tcBorders>
            <w:shd w:val="clear" w:color="auto" w:fill="FFFFFF"/>
          </w:tcPr>
          <w:p w14:paraId="069390F8">
            <w:pPr>
              <w:rPr>
                <w:b w:val="0"/>
                <w:color w:val="000000"/>
                <w:lang w:eastAsia="zh-CN"/>
              </w:rPr>
            </w:pPr>
            <w:r>
              <w:rPr>
                <w:b w:val="0"/>
                <w:color w:val="000000"/>
                <w:sz w:val="21"/>
                <w:lang w:eastAsia="zh-CN"/>
              </w:rPr>
              <w:t>完成基准回归、稳健标准误估计及结果汇总</w:t>
            </w:r>
          </w:p>
        </w:tc>
        <w:tc>
          <w:tcPr>
            <w:tcW w:w="2882" w:type="dxa"/>
            <w:tcBorders>
              <w:top w:val="nil"/>
              <w:left w:val="nil"/>
              <w:bottom w:val="nil"/>
              <w:right w:val="nil"/>
            </w:tcBorders>
            <w:shd w:val="clear" w:color="auto" w:fill="FFFFFF"/>
          </w:tcPr>
          <w:p w14:paraId="662D3A3B">
            <w:pPr>
              <w:rPr>
                <w:b w:val="0"/>
                <w:color w:val="000000"/>
                <w:lang w:eastAsia="zh-CN"/>
              </w:rPr>
            </w:pPr>
            <w:r>
              <w:rPr>
                <w:b w:val="0"/>
                <w:color w:val="000000"/>
                <w:sz w:val="21"/>
                <w:lang w:eastAsia="zh-CN"/>
              </w:rPr>
              <w:t>系数、标准误、t值、p值与拟合统计量</w:t>
            </w:r>
          </w:p>
        </w:tc>
      </w:tr>
      <w:tr w14:paraId="55F1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105C0608">
            <w:pPr>
              <w:rPr>
                <w:b w:val="0"/>
                <w:color w:val="000000"/>
              </w:rPr>
            </w:pPr>
            <w:r>
              <w:rPr>
                <w:b w:val="0"/>
                <w:color w:val="000000"/>
                <w:sz w:val="21"/>
              </w:rPr>
              <w:t>空间相关性检验模块</w:t>
            </w:r>
          </w:p>
        </w:tc>
        <w:tc>
          <w:tcPr>
            <w:tcW w:w="2882" w:type="dxa"/>
            <w:gridSpan w:val="2"/>
            <w:tcBorders>
              <w:top w:val="nil"/>
              <w:left w:val="nil"/>
              <w:bottom w:val="nil"/>
              <w:right w:val="nil"/>
            </w:tcBorders>
            <w:shd w:val="clear" w:color="auto" w:fill="FFFFFF"/>
          </w:tcPr>
          <w:p w14:paraId="356021DF">
            <w:pPr>
              <w:rPr>
                <w:b w:val="0"/>
                <w:color w:val="000000"/>
              </w:rPr>
            </w:pPr>
            <w:r>
              <w:rPr>
                <w:b w:val="0"/>
                <w:color w:val="000000"/>
                <w:sz w:val="21"/>
              </w:rPr>
              <w:t>基于Queen邻接权重矩阵计算Global Moran’s I</w:t>
            </w:r>
          </w:p>
        </w:tc>
        <w:tc>
          <w:tcPr>
            <w:tcW w:w="2882" w:type="dxa"/>
            <w:tcBorders>
              <w:top w:val="nil"/>
              <w:left w:val="nil"/>
              <w:bottom w:val="nil"/>
              <w:right w:val="nil"/>
            </w:tcBorders>
            <w:shd w:val="clear" w:color="auto" w:fill="FFFFFF"/>
          </w:tcPr>
          <w:p w14:paraId="44002DFF">
            <w:pPr>
              <w:rPr>
                <w:b w:val="0"/>
                <w:color w:val="000000"/>
                <w:lang w:eastAsia="zh-CN"/>
              </w:rPr>
            </w:pPr>
            <w:r>
              <w:rPr>
                <w:b w:val="0"/>
                <w:color w:val="000000"/>
                <w:sz w:val="21"/>
                <w:lang w:eastAsia="zh-CN"/>
              </w:rPr>
              <w:t>I值、Z值、P值及显著性判断</w:t>
            </w:r>
          </w:p>
        </w:tc>
      </w:tr>
      <w:tr w14:paraId="2C4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Borders>
              <w:top w:val="nil"/>
              <w:left w:val="nil"/>
              <w:bottom w:val="nil"/>
              <w:right w:val="nil"/>
            </w:tcBorders>
            <w:shd w:val="clear" w:color="auto" w:fill="FFFFFF"/>
          </w:tcPr>
          <w:p w14:paraId="27689604">
            <w:pPr>
              <w:rPr>
                <w:b w:val="0"/>
                <w:color w:val="000000"/>
              </w:rPr>
            </w:pPr>
            <w:r>
              <w:rPr>
                <w:b w:val="0"/>
                <w:color w:val="000000"/>
                <w:sz w:val="21"/>
              </w:rPr>
              <w:t>可视化模块</w:t>
            </w:r>
          </w:p>
        </w:tc>
        <w:tc>
          <w:tcPr>
            <w:tcW w:w="2882" w:type="dxa"/>
            <w:gridSpan w:val="2"/>
            <w:tcBorders>
              <w:top w:val="nil"/>
              <w:left w:val="nil"/>
              <w:bottom w:val="nil"/>
              <w:right w:val="nil"/>
            </w:tcBorders>
            <w:shd w:val="clear" w:color="auto" w:fill="FFFFFF"/>
          </w:tcPr>
          <w:p w14:paraId="724FCF1F">
            <w:pPr>
              <w:rPr>
                <w:b w:val="0"/>
                <w:color w:val="000000"/>
                <w:lang w:eastAsia="zh-CN"/>
              </w:rPr>
            </w:pPr>
            <w:r>
              <w:rPr>
                <w:b w:val="0"/>
                <w:color w:val="000000"/>
                <w:sz w:val="21"/>
                <w:lang w:eastAsia="zh-CN"/>
              </w:rPr>
              <w:t>绘制效率趋势图、区域对比图、系数图和残差诊断图</w:t>
            </w:r>
          </w:p>
        </w:tc>
        <w:tc>
          <w:tcPr>
            <w:tcW w:w="2882" w:type="dxa"/>
            <w:tcBorders>
              <w:top w:val="nil"/>
              <w:left w:val="nil"/>
              <w:bottom w:val="nil"/>
              <w:right w:val="nil"/>
            </w:tcBorders>
            <w:shd w:val="clear" w:color="auto" w:fill="FFFFFF"/>
          </w:tcPr>
          <w:p w14:paraId="7AC9D6E3">
            <w:pPr>
              <w:rPr>
                <w:b w:val="0"/>
                <w:color w:val="000000"/>
                <w:lang w:eastAsia="zh-CN"/>
              </w:rPr>
            </w:pPr>
            <w:r>
              <w:rPr>
                <w:b w:val="0"/>
                <w:color w:val="000000"/>
                <w:sz w:val="21"/>
                <w:lang w:eastAsia="zh-CN"/>
              </w:rPr>
              <w:t>论文正文及附录中的图表文件</w:t>
            </w:r>
          </w:p>
        </w:tc>
      </w:tr>
      <w:tr w14:paraId="7143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0B276D6C">
            <w:pPr>
              <w:rPr>
                <w:b w:val="0"/>
                <w:color w:val="000000"/>
              </w:rPr>
            </w:pPr>
            <w:r>
              <w:rPr>
                <w:b w:val="0"/>
                <w:color w:val="000000"/>
                <w:sz w:val="21"/>
              </w:rPr>
              <w:t>项目</w:t>
            </w:r>
          </w:p>
        </w:tc>
        <w:tc>
          <w:tcPr>
            <w:tcW w:w="4323" w:type="dxa"/>
            <w:gridSpan w:val="2"/>
            <w:tcBorders>
              <w:top w:val="nil"/>
              <w:left w:val="nil"/>
              <w:bottom w:val="nil"/>
              <w:right w:val="nil"/>
            </w:tcBorders>
            <w:shd w:val="clear" w:color="auto" w:fill="FFFFFF"/>
          </w:tcPr>
          <w:p w14:paraId="029D8D53">
            <w:pPr>
              <w:rPr>
                <w:b w:val="0"/>
                <w:color w:val="000000"/>
              </w:rPr>
            </w:pPr>
            <w:r>
              <w:rPr>
                <w:b w:val="0"/>
                <w:color w:val="000000"/>
                <w:sz w:val="21"/>
              </w:rPr>
              <w:t>说明</w:t>
            </w:r>
          </w:p>
        </w:tc>
      </w:tr>
      <w:tr w14:paraId="1A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3D3D4115">
            <w:pPr>
              <w:rPr>
                <w:b w:val="0"/>
                <w:color w:val="000000"/>
              </w:rPr>
            </w:pPr>
            <w:r>
              <w:rPr>
                <w:b w:val="0"/>
                <w:color w:val="000000"/>
                <w:sz w:val="21"/>
              </w:rPr>
              <w:t>编程语言</w:t>
            </w:r>
          </w:p>
        </w:tc>
        <w:tc>
          <w:tcPr>
            <w:tcW w:w="4323" w:type="dxa"/>
            <w:gridSpan w:val="2"/>
            <w:tcBorders>
              <w:top w:val="nil"/>
              <w:left w:val="nil"/>
              <w:bottom w:val="nil"/>
              <w:right w:val="nil"/>
            </w:tcBorders>
            <w:shd w:val="clear" w:color="auto" w:fill="FFFFFF"/>
          </w:tcPr>
          <w:p w14:paraId="71F68CE1">
            <w:pPr>
              <w:rPr>
                <w:b w:val="0"/>
                <w:color w:val="000000"/>
              </w:rPr>
            </w:pPr>
            <w:r>
              <w:rPr>
                <w:b w:val="0"/>
                <w:color w:val="000000"/>
                <w:sz w:val="21"/>
              </w:rPr>
              <w:t>Python 3.10 及以上版本</w:t>
            </w:r>
          </w:p>
        </w:tc>
      </w:tr>
      <w:tr w14:paraId="687C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5E4BF5FC">
            <w:pPr>
              <w:rPr>
                <w:b w:val="0"/>
                <w:color w:val="000000"/>
              </w:rPr>
            </w:pPr>
            <w:r>
              <w:rPr>
                <w:b w:val="0"/>
                <w:color w:val="000000"/>
                <w:sz w:val="21"/>
              </w:rPr>
              <w:t>核心依赖库</w:t>
            </w:r>
          </w:p>
        </w:tc>
        <w:tc>
          <w:tcPr>
            <w:tcW w:w="4323" w:type="dxa"/>
            <w:gridSpan w:val="2"/>
            <w:tcBorders>
              <w:top w:val="nil"/>
              <w:left w:val="nil"/>
              <w:bottom w:val="nil"/>
              <w:right w:val="nil"/>
            </w:tcBorders>
            <w:shd w:val="clear" w:color="auto" w:fill="FFFFFF"/>
          </w:tcPr>
          <w:p w14:paraId="23289F83">
            <w:pPr>
              <w:rPr>
                <w:b w:val="0"/>
                <w:color w:val="000000"/>
              </w:rPr>
            </w:pPr>
            <w:r>
              <w:rPr>
                <w:b w:val="0"/>
                <w:color w:val="000000"/>
                <w:sz w:val="21"/>
              </w:rPr>
              <w:t>pandas、numpy、linearmodels、statsmodels、libpysal、esda、matplotlib</w:t>
            </w:r>
          </w:p>
        </w:tc>
      </w:tr>
      <w:tr w14:paraId="5584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7EA533F6">
            <w:pPr>
              <w:rPr>
                <w:b w:val="0"/>
                <w:color w:val="000000"/>
              </w:rPr>
            </w:pPr>
            <w:r>
              <w:rPr>
                <w:b w:val="0"/>
                <w:color w:val="000000"/>
                <w:sz w:val="21"/>
              </w:rPr>
              <w:t>数据结构</w:t>
            </w:r>
          </w:p>
        </w:tc>
        <w:tc>
          <w:tcPr>
            <w:tcW w:w="4323" w:type="dxa"/>
            <w:gridSpan w:val="2"/>
            <w:tcBorders>
              <w:top w:val="nil"/>
              <w:left w:val="nil"/>
              <w:bottom w:val="nil"/>
              <w:right w:val="nil"/>
            </w:tcBorders>
            <w:shd w:val="clear" w:color="auto" w:fill="FFFFFF"/>
          </w:tcPr>
          <w:p w14:paraId="22C75E94">
            <w:pPr>
              <w:rPr>
                <w:b w:val="0"/>
                <w:color w:val="000000"/>
                <w:lang w:eastAsia="zh-CN"/>
              </w:rPr>
            </w:pPr>
            <w:r>
              <w:rPr>
                <w:b w:val="0"/>
                <w:color w:val="000000"/>
                <w:sz w:val="21"/>
                <w:lang w:eastAsia="zh-CN"/>
              </w:rPr>
              <w:t>以省份—年份为索引的平衡面板数据</w:t>
            </w:r>
          </w:p>
        </w:tc>
      </w:tr>
      <w:tr w14:paraId="3ADD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nil"/>
              <w:right w:val="nil"/>
            </w:tcBorders>
            <w:shd w:val="clear" w:color="auto" w:fill="FFFFFF"/>
          </w:tcPr>
          <w:p w14:paraId="46921620">
            <w:pPr>
              <w:rPr>
                <w:b w:val="0"/>
                <w:color w:val="000000"/>
              </w:rPr>
            </w:pPr>
            <w:r>
              <w:rPr>
                <w:b w:val="0"/>
                <w:color w:val="000000"/>
                <w:sz w:val="21"/>
              </w:rPr>
              <w:t>主要输入文件</w:t>
            </w:r>
          </w:p>
        </w:tc>
        <w:tc>
          <w:tcPr>
            <w:tcW w:w="4323" w:type="dxa"/>
            <w:gridSpan w:val="2"/>
            <w:tcBorders>
              <w:top w:val="nil"/>
              <w:left w:val="nil"/>
              <w:bottom w:val="nil"/>
              <w:right w:val="nil"/>
            </w:tcBorders>
            <w:shd w:val="clear" w:color="auto" w:fill="FFFFFF"/>
          </w:tcPr>
          <w:p w14:paraId="6D679C1E">
            <w:pPr>
              <w:rPr>
                <w:b w:val="0"/>
                <w:color w:val="000000"/>
              </w:rPr>
            </w:pPr>
            <w:r>
              <w:rPr>
                <w:b w:val="0"/>
                <w:color w:val="000000"/>
                <w:sz w:val="21"/>
              </w:rPr>
              <w:t>ntl.csv、process2.csv、空间边界矢量文件</w:t>
            </w:r>
          </w:p>
        </w:tc>
      </w:tr>
      <w:tr w14:paraId="6D83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gridSpan w:val="2"/>
            <w:tcBorders>
              <w:top w:val="nil"/>
              <w:left w:val="nil"/>
              <w:bottom w:val="single" w:color="000000" w:sz="12" w:space="0"/>
              <w:right w:val="nil"/>
            </w:tcBorders>
            <w:shd w:val="clear" w:color="auto" w:fill="FFFFFF"/>
          </w:tcPr>
          <w:p w14:paraId="51B73706">
            <w:pPr>
              <w:rPr>
                <w:b w:val="0"/>
                <w:color w:val="000000"/>
              </w:rPr>
            </w:pPr>
            <w:r>
              <w:rPr>
                <w:b w:val="0"/>
                <w:color w:val="000000"/>
                <w:sz w:val="21"/>
              </w:rPr>
              <w:t>主要输出结果</w:t>
            </w:r>
          </w:p>
        </w:tc>
        <w:tc>
          <w:tcPr>
            <w:tcW w:w="4323" w:type="dxa"/>
            <w:gridSpan w:val="2"/>
            <w:tcBorders>
              <w:top w:val="nil"/>
              <w:left w:val="nil"/>
              <w:bottom w:val="single" w:color="000000" w:sz="12" w:space="0"/>
              <w:right w:val="nil"/>
            </w:tcBorders>
            <w:shd w:val="clear" w:color="auto" w:fill="FFFFFF"/>
          </w:tcPr>
          <w:p w14:paraId="7CC6B10D">
            <w:pPr>
              <w:rPr>
                <w:b w:val="0"/>
                <w:color w:val="000000"/>
                <w:lang w:eastAsia="zh-CN"/>
              </w:rPr>
            </w:pPr>
            <w:r>
              <w:rPr>
                <w:b w:val="0"/>
                <w:color w:val="000000"/>
                <w:sz w:val="21"/>
                <w:lang w:eastAsia="zh-CN"/>
              </w:rPr>
              <w:t>回归结果表、Moran’s I 检验结果、趋势图与对比图</w:t>
            </w:r>
          </w:p>
        </w:tc>
      </w:tr>
    </w:tbl>
    <w:p w14:paraId="5D16116A">
      <w:pPr>
        <w:rPr>
          <w:lang w:eastAsia="zh-CN"/>
        </w:rPr>
      </w:pPr>
      <w:r>
        <w:rPr>
          <w:rFonts w:ascii="Times New Roman" w:hAnsi="Times New Roman" w:eastAsia="SimSun"/>
          <w:b w:val="0"/>
          <w:sz w:val="21"/>
          <w:lang w:eastAsia="zh-CN"/>
        </w:rPr>
        <w:t>代码运行环境说明：</w:t>
      </w:r>
    </w:p>
    <w:p w14:paraId="32A6FFAD">
      <w:pPr>
        <w:rPr>
          <w:lang w:eastAsia="zh-CN"/>
        </w:rPr>
      </w:pPr>
      <w:r>
        <w:rPr>
          <w:rFonts w:ascii="Times New Roman" w:hAnsi="Times New Roman" w:eastAsia="SimSun"/>
          <w:b w:val="0"/>
          <w:sz w:val="21"/>
          <w:lang w:eastAsia="zh-CN"/>
        </w:rPr>
        <w:t>编程语言：Python 3.10 及以上版本</w:t>
      </w:r>
    </w:p>
    <w:p w14:paraId="4BAB6677">
      <w:r>
        <w:rPr>
          <w:rFonts w:ascii="Times New Roman" w:hAnsi="Times New Roman" w:eastAsia="SimSun"/>
          <w:b w:val="0"/>
          <w:sz w:val="21"/>
        </w:rPr>
        <w:t>核心依赖库及版本号：pandas==2.2.2，numpy==1.26.4，linearmodels==5.4，statsmodels==0.14.2，libpysal==4.10.0，esda==2.5.1，matplotlib==3.8.4</w:t>
      </w:r>
    </w:p>
    <w:p w14:paraId="0986BC2D">
      <w:r>
        <w:rPr>
          <w:rFonts w:ascii="Times New Roman" w:hAnsi="Times New Roman" w:eastAsia="SimSun"/>
          <w:b w:val="0"/>
          <w:sz w:val="21"/>
        </w:rPr>
        <w:t>数据说明：代码所用数据为 2015—2022 年中国 30 个省级地区平衡面板数据。</w:t>
      </w:r>
    </w:p>
    <w:p w14:paraId="10EDAEC4">
      <w:pPr>
        <w:rPr>
          <w:lang w:eastAsia="zh-CN"/>
        </w:rPr>
      </w:pPr>
      <w:r>
        <w:rPr>
          <w:rFonts w:ascii="Times New Roman" w:hAnsi="Times New Roman" w:eastAsia="SimSun"/>
          <w:b w:val="0"/>
          <w:sz w:val="21"/>
          <w:lang w:eastAsia="zh-CN"/>
        </w:rPr>
        <w:t>部分代码如下：</w:t>
      </w:r>
    </w:p>
    <w:p w14:paraId="09565353">
      <w:pPr>
        <w:rPr>
          <w:lang w:eastAsia="zh-CN"/>
        </w:rPr>
      </w:pPr>
      <w:r>
        <w:rPr>
          <w:rFonts w:ascii="Times New Roman" w:hAnsi="Times New Roman" w:eastAsia="SimSun"/>
          <w:b w:val="0"/>
          <w:sz w:val="21"/>
          <w:lang w:eastAsia="zh-CN"/>
        </w:rPr>
        <w:t xml:space="preserve"># 1. </w:t>
      </w:r>
      <w:r>
        <w:rPr>
          <w:rFonts w:hint="eastAsia" w:ascii="Times New Roman" w:hAnsi="Times New Roman" w:eastAsia="SimSun"/>
          <w:b w:val="0"/>
          <w:sz w:val="21"/>
          <w:lang w:eastAsia="zh-CN"/>
        </w:rPr>
        <w:t>夜间灯光强度</w:t>
      </w:r>
      <w:r>
        <w:rPr>
          <w:rFonts w:ascii="Times New Roman" w:hAnsi="Times New Roman" w:eastAsia="SimSun"/>
          <w:b w:val="0"/>
          <w:sz w:val="21"/>
          <w:lang w:eastAsia="zh-CN"/>
        </w:rPr>
        <w:t>构造</w:t>
      </w:r>
    </w:p>
    <w:p w14:paraId="4FC73A85">
      <w:r>
        <w:rPr>
          <w:rFonts w:ascii="Times New Roman" w:hAnsi="Times New Roman" w:eastAsia="SimSun"/>
          <w:b w:val="0"/>
          <w:sz w:val="21"/>
        </w:rPr>
        <w:t>import numpy as np</w:t>
      </w:r>
    </w:p>
    <w:p w14:paraId="291CCFF8">
      <w:r>
        <w:rPr>
          <w:rFonts w:ascii="Times New Roman" w:hAnsi="Times New Roman" w:eastAsia="SimSun"/>
          <w:b w:val="0"/>
          <w:sz w:val="21"/>
        </w:rPr>
        <w:t>import pandas as pd</w:t>
      </w:r>
    </w:p>
    <w:p w14:paraId="516313CA"/>
    <w:p w14:paraId="60FB1D26">
      <w:r>
        <w:rPr>
          <w:rFonts w:ascii="Times New Roman" w:hAnsi="Times New Roman" w:eastAsia="SimSun"/>
          <w:b w:val="0"/>
          <w:sz w:val="21"/>
        </w:rPr>
        <w:t>df_ntl = pd.read_csv("ntl.csv")</w:t>
      </w:r>
    </w:p>
    <w:p w14:paraId="1C9A22CF">
      <w:r>
        <w:rPr>
          <w:rFonts w:ascii="Times New Roman" w:hAnsi="Times New Roman" w:eastAsia="SimSun"/>
          <w:b w:val="0"/>
          <w:sz w:val="21"/>
        </w:rPr>
        <w:t>df_ntl["share"] = df_ntl.groupby(["province", "year"])["pixel_value"].transform(lambda x: x / x.sum())</w:t>
      </w:r>
    </w:p>
    <w:p w14:paraId="6036172B">
      <w:r>
        <w:rPr>
          <w:rFonts w:ascii="Times New Roman" w:hAnsi="Times New Roman" w:eastAsia="SimSun"/>
          <w:b w:val="0"/>
          <w:sz w:val="21"/>
        </w:rPr>
        <w:t>ntl_agg = (df_ntl.groupby(["province", "year"])["share"]</w:t>
      </w:r>
    </w:p>
    <w:p w14:paraId="1623C0C3">
      <w:r>
        <w:rPr>
          <w:rFonts w:ascii="Times New Roman" w:hAnsi="Times New Roman" w:eastAsia="SimSun"/>
          <w:b w:val="0"/>
          <w:sz w:val="21"/>
        </w:rPr>
        <w:t xml:space="preserve">                 .apply(lambda x: np.sum(np.square(x)))</w:t>
      </w:r>
    </w:p>
    <w:p w14:paraId="74A6C125">
      <w:r>
        <w:rPr>
          <w:rFonts w:ascii="Times New Roman" w:hAnsi="Times New Roman" w:eastAsia="SimSun"/>
          <w:b w:val="0"/>
          <w:sz w:val="21"/>
        </w:rPr>
        <w:t xml:space="preserve">                 .reset_index(name="ntl"))</w:t>
      </w:r>
    </w:p>
    <w:p w14:paraId="3C4C8D25">
      <w:r>
        <w:rPr>
          <w:rFonts w:ascii="Times New Roman" w:hAnsi="Times New Roman" w:eastAsia="SimSun"/>
          <w:b w:val="0"/>
          <w:sz w:val="21"/>
        </w:rPr>
        <w:t>ntl_agg["lntl"] = np.log(ntl_agg["ntl"] + 1)</w:t>
      </w:r>
    </w:p>
    <w:p w14:paraId="5FCFA313"/>
    <w:p w14:paraId="3BAFF98D">
      <w:r>
        <w:rPr>
          <w:rFonts w:ascii="Times New Roman" w:hAnsi="Times New Roman" w:eastAsia="SimSun"/>
          <w:b w:val="0"/>
          <w:sz w:val="21"/>
        </w:rPr>
        <w:t># 2. 双向固定效应模型</w:t>
      </w:r>
    </w:p>
    <w:p w14:paraId="69057468">
      <w:r>
        <w:rPr>
          <w:rFonts w:ascii="Times New Roman" w:hAnsi="Times New Roman" w:eastAsia="SimSun"/>
          <w:b w:val="0"/>
          <w:sz w:val="21"/>
        </w:rPr>
        <w:t>from linearmodels.panel import PanelOLS</w:t>
      </w:r>
    </w:p>
    <w:p w14:paraId="114F9FFD">
      <w:r>
        <w:rPr>
          <w:rFonts w:ascii="Times New Roman" w:hAnsi="Times New Roman" w:eastAsia="SimSun"/>
          <w:b w:val="0"/>
          <w:sz w:val="21"/>
        </w:rPr>
        <w:t>import statsmodels.api as sm</w:t>
      </w:r>
    </w:p>
    <w:p w14:paraId="36B95718"/>
    <w:p w14:paraId="7F4F17AB">
      <w:r>
        <w:rPr>
          <w:rFonts w:ascii="Times New Roman" w:hAnsi="Times New Roman" w:eastAsia="SimSun"/>
          <w:b w:val="0"/>
          <w:sz w:val="21"/>
        </w:rPr>
        <w:t>df = pd.read_csv("process2.csv").set_index(["province", "year"])</w:t>
      </w:r>
    </w:p>
    <w:p w14:paraId="184C072A">
      <w:r>
        <w:rPr>
          <w:rFonts w:ascii="Times New Roman" w:hAnsi="Times New Roman" w:eastAsia="SimSun"/>
          <w:b w:val="0"/>
          <w:sz w:val="21"/>
        </w:rPr>
        <w:t>y = df["eff"]</w:t>
      </w:r>
    </w:p>
    <w:p w14:paraId="37BB9C77">
      <w:r>
        <w:rPr>
          <w:rFonts w:ascii="Times New Roman" w:hAnsi="Times New Roman" w:eastAsia="SimSun"/>
          <w:b w:val="0"/>
          <w:sz w:val="21"/>
        </w:rPr>
        <w:t>X = sm.add_constant(df[["lntl", "ind", "urb", "rd", "open", "es"]])</w:t>
      </w:r>
    </w:p>
    <w:p w14:paraId="336E62A3">
      <w:r>
        <w:rPr>
          <w:rFonts w:ascii="Times New Roman" w:hAnsi="Times New Roman" w:eastAsia="SimSun"/>
          <w:b w:val="0"/>
          <w:sz w:val="21"/>
        </w:rPr>
        <w:t>model = PanelOLS(y, X, entity_effects=True, time_effects=True)</w:t>
      </w:r>
    </w:p>
    <w:p w14:paraId="2CCAE627">
      <w:r>
        <w:rPr>
          <w:rFonts w:ascii="Times New Roman" w:hAnsi="Times New Roman" w:eastAsia="SimSun"/>
          <w:b w:val="0"/>
          <w:sz w:val="21"/>
        </w:rPr>
        <w:t>res = model.fit(cov_type="clustered", cluster_entity=True)</w:t>
      </w:r>
    </w:p>
    <w:p w14:paraId="7EEC1EF6">
      <w:r>
        <w:rPr>
          <w:rFonts w:ascii="Times New Roman" w:hAnsi="Times New Roman" w:eastAsia="SimSun"/>
          <w:b w:val="0"/>
          <w:sz w:val="21"/>
        </w:rPr>
        <w:t>print(res.summary)</w:t>
      </w:r>
    </w:p>
    <w:p w14:paraId="436CB76E"/>
    <w:p w14:paraId="3CC5DEBD">
      <w:r>
        <w:rPr>
          <w:rFonts w:ascii="Times New Roman" w:hAnsi="Times New Roman" w:eastAsia="SimSun"/>
          <w:b w:val="0"/>
          <w:sz w:val="21"/>
        </w:rPr>
        <w:t># 3. 全局 Moran's I 计算</w:t>
      </w:r>
    </w:p>
    <w:p w14:paraId="0DFEC218">
      <w:r>
        <w:rPr>
          <w:rFonts w:ascii="Times New Roman" w:hAnsi="Times New Roman" w:eastAsia="SimSun"/>
          <w:b w:val="0"/>
          <w:sz w:val="21"/>
        </w:rPr>
        <w:t>import geopandas as gpd</w:t>
      </w:r>
    </w:p>
    <w:p w14:paraId="0168C680">
      <w:r>
        <w:rPr>
          <w:rFonts w:ascii="Times New Roman" w:hAnsi="Times New Roman" w:eastAsia="SimSun"/>
          <w:b w:val="0"/>
          <w:sz w:val="21"/>
        </w:rPr>
        <w:t>from libpysal.weights import Queen</w:t>
      </w:r>
    </w:p>
    <w:p w14:paraId="2B93BD52">
      <w:r>
        <w:rPr>
          <w:rFonts w:ascii="Times New Roman" w:hAnsi="Times New Roman" w:eastAsia="SimSun"/>
          <w:b w:val="0"/>
          <w:sz w:val="21"/>
        </w:rPr>
        <w:t>from esda.moran import Moran</w:t>
      </w:r>
    </w:p>
    <w:p w14:paraId="5DD2BBB2"/>
    <w:p w14:paraId="787776E3">
      <w:r>
        <w:rPr>
          <w:rFonts w:ascii="Times New Roman" w:hAnsi="Times New Roman" w:eastAsia="SimSun"/>
          <w:b w:val="0"/>
          <w:sz w:val="21"/>
        </w:rPr>
        <w:t>gdf = gpd.read_file("china_provinces.shp")</w:t>
      </w:r>
    </w:p>
    <w:p w14:paraId="1A18D51C">
      <w:r>
        <w:rPr>
          <w:rFonts w:ascii="Times New Roman" w:hAnsi="Times New Roman" w:eastAsia="SimSun"/>
          <w:b w:val="0"/>
          <w:sz w:val="21"/>
        </w:rPr>
        <w:t>gdf = gdf.merge(df.reset_index().query("year == 2022"), on="province", how="left")</w:t>
      </w:r>
    </w:p>
    <w:p w14:paraId="45B4435A">
      <w:r>
        <w:rPr>
          <w:rFonts w:ascii="Times New Roman" w:hAnsi="Times New Roman" w:eastAsia="SimSun"/>
          <w:b w:val="0"/>
          <w:sz w:val="21"/>
        </w:rPr>
        <w:t>w = Queen.from_dataframe(gdf)</w:t>
      </w:r>
    </w:p>
    <w:p w14:paraId="2F88A5AB">
      <w:r>
        <w:rPr>
          <w:rFonts w:ascii="Times New Roman" w:hAnsi="Times New Roman" w:eastAsia="SimSun"/>
          <w:b w:val="0"/>
          <w:sz w:val="21"/>
        </w:rPr>
        <w:t>w.transform = "r"</w:t>
      </w:r>
    </w:p>
    <w:p w14:paraId="28486006">
      <w:r>
        <w:rPr>
          <w:rFonts w:ascii="Times New Roman" w:hAnsi="Times New Roman" w:eastAsia="SimSun"/>
          <w:b w:val="0"/>
          <w:sz w:val="21"/>
        </w:rPr>
        <w:t>mi = Moran(gdf["eff"], w, permutations=999)</w:t>
      </w:r>
    </w:p>
    <w:p w14:paraId="7B9883EB">
      <w:r>
        <w:rPr>
          <w:rFonts w:ascii="Times New Roman" w:hAnsi="Times New Roman" w:eastAsia="SimSun"/>
          <w:b w:val="0"/>
          <w:sz w:val="21"/>
        </w:rPr>
        <w:t>print(mi.I, mi.z_norm, mi.p_norm)</w:t>
      </w:r>
    </w:p>
    <w:p w14:paraId="2509C1FD"/>
    <w:p w14:paraId="0263C4E1">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C</w:t>
      </w:r>
      <w:r>
        <w:rPr>
          <w:rFonts w:ascii="Times New Roman" w:hAnsi="Times New Roman" w:eastAsia="SimSun"/>
          <w:b w:val="0"/>
          <w:sz w:val="21"/>
          <w:lang w:eastAsia="zh-CN"/>
        </w:rPr>
        <w:t xml:space="preserve"> 数据字段与区域划分说明</w:t>
      </w:r>
    </w:p>
    <w:p w14:paraId="4884A788">
      <w:pPr>
        <w:pStyle w:val="5"/>
        <w:bidi w:val="0"/>
        <w:rPr>
          <w:lang w:eastAsia="zh-CN"/>
        </w:rPr>
      </w:pPr>
      <w:bookmarkStart w:id="83" w:name="_Toc15025"/>
      <w:r>
        <w:rPr>
          <w:rFonts w:hint="eastAsia" w:ascii="Times New Roman" w:hAnsi="Times New Roman" w:eastAsia="SimSun"/>
          <w:b w:val="0"/>
          <w:sz w:val="21"/>
          <w:lang w:val="en-US" w:eastAsia="zh-CN"/>
        </w:rPr>
        <w:t xml:space="preserve">C1 </w:t>
      </w:r>
      <w:r>
        <w:rPr>
          <w:rFonts w:ascii="Times New Roman" w:hAnsi="Times New Roman" w:eastAsia="SimSun"/>
          <w:b w:val="0"/>
          <w:sz w:val="21"/>
          <w:lang w:eastAsia="zh-CN"/>
        </w:rPr>
        <w:t>核心数据表说明</w:t>
      </w:r>
      <w:bookmarkEnd w:id="83"/>
    </w:p>
    <w:p w14:paraId="241BE44D">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C1</w:t>
      </w:r>
      <w:r>
        <w:rPr>
          <w:rFonts w:ascii="Times New Roman" w:hAnsi="Times New Roman" w:eastAsia="SimSun"/>
          <w:b w:val="0"/>
          <w:sz w:val="21"/>
          <w:lang w:eastAsia="zh-CN"/>
        </w:rPr>
        <w:t xml:space="preserve"> 核心数据表说明</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C4CEF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5D122AEC">
            <w:pPr>
              <w:rPr>
                <w:b w:val="0"/>
                <w:color w:val="000000"/>
              </w:rPr>
            </w:pPr>
            <w:r>
              <w:rPr>
                <w:b w:val="0"/>
                <w:color w:val="000000"/>
                <w:sz w:val="21"/>
              </w:rPr>
              <w:t>数据表</w:t>
            </w:r>
          </w:p>
        </w:tc>
        <w:tc>
          <w:tcPr>
            <w:tcW w:w="2882" w:type="dxa"/>
            <w:tcBorders>
              <w:top w:val="single" w:color="000000" w:sz="12" w:space="0"/>
              <w:bottom w:val="single" w:color="000000" w:sz="4" w:space="0"/>
            </w:tcBorders>
            <w:shd w:val="clear" w:color="auto" w:fill="FFFFFF"/>
          </w:tcPr>
          <w:p w14:paraId="1D058E7B">
            <w:pPr>
              <w:rPr>
                <w:b w:val="0"/>
                <w:color w:val="000000"/>
              </w:rPr>
            </w:pPr>
            <w:r>
              <w:rPr>
                <w:b w:val="0"/>
                <w:color w:val="000000"/>
                <w:sz w:val="21"/>
              </w:rPr>
              <w:t>主要字段</w:t>
            </w:r>
          </w:p>
        </w:tc>
        <w:tc>
          <w:tcPr>
            <w:tcW w:w="2882" w:type="dxa"/>
            <w:tcBorders>
              <w:top w:val="single" w:color="000000" w:sz="12" w:space="0"/>
              <w:bottom w:val="single" w:color="000000" w:sz="4" w:space="0"/>
            </w:tcBorders>
            <w:shd w:val="clear" w:color="auto" w:fill="FFFFFF"/>
          </w:tcPr>
          <w:p w14:paraId="7937C9FD">
            <w:pPr>
              <w:rPr>
                <w:b w:val="0"/>
                <w:color w:val="000000"/>
              </w:rPr>
            </w:pPr>
            <w:r>
              <w:rPr>
                <w:b w:val="0"/>
                <w:color w:val="000000"/>
                <w:sz w:val="21"/>
              </w:rPr>
              <w:t>用途</w:t>
            </w:r>
          </w:p>
        </w:tc>
      </w:tr>
      <w:tr w14:paraId="53662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5E97DC0B">
            <w:pPr>
              <w:rPr>
                <w:b w:val="0"/>
                <w:color w:val="000000"/>
              </w:rPr>
            </w:pPr>
            <w:r>
              <w:rPr>
                <w:b w:val="0"/>
                <w:color w:val="000000"/>
                <w:sz w:val="21"/>
              </w:rPr>
              <w:t>ntl.csv</w:t>
            </w:r>
          </w:p>
        </w:tc>
        <w:tc>
          <w:tcPr>
            <w:tcW w:w="2882" w:type="dxa"/>
            <w:tcBorders>
              <w:top w:val="single" w:color="000000" w:sz="4" w:space="0"/>
            </w:tcBorders>
            <w:shd w:val="clear" w:color="auto" w:fill="FFFFFF"/>
          </w:tcPr>
          <w:p w14:paraId="02E16CBD">
            <w:pPr>
              <w:rPr>
                <w:b w:val="0"/>
                <w:color w:val="000000"/>
              </w:rPr>
            </w:pPr>
            <w:r>
              <w:rPr>
                <w:b w:val="0"/>
                <w:color w:val="000000"/>
                <w:sz w:val="21"/>
              </w:rPr>
              <w:t>province、year、pixel_value</w:t>
            </w:r>
          </w:p>
        </w:tc>
        <w:tc>
          <w:tcPr>
            <w:tcW w:w="2882" w:type="dxa"/>
            <w:tcBorders>
              <w:top w:val="single" w:color="000000" w:sz="4" w:space="0"/>
            </w:tcBorders>
            <w:shd w:val="clear" w:color="auto" w:fill="FFFFFF"/>
          </w:tcPr>
          <w:p w14:paraId="1D1540DD">
            <w:pPr>
              <w:rPr>
                <w:b w:val="0"/>
                <w:color w:val="000000"/>
                <w:lang w:eastAsia="zh-CN"/>
              </w:rPr>
            </w:pPr>
            <w:r>
              <w:rPr>
                <w:b w:val="0"/>
                <w:color w:val="000000"/>
                <w:sz w:val="21"/>
                <w:lang w:eastAsia="zh-CN"/>
              </w:rPr>
              <w:t>计算</w:t>
            </w:r>
            <w:r>
              <w:rPr>
                <w:rFonts w:hint="eastAsia"/>
                <w:b w:val="0"/>
                <w:color w:val="000000"/>
                <w:sz w:val="21"/>
                <w:lang w:eastAsia="zh-CN"/>
              </w:rPr>
              <w:t>夜间灯光强度</w:t>
            </w:r>
            <w:r>
              <w:rPr>
                <w:b w:val="0"/>
                <w:color w:val="000000"/>
                <w:sz w:val="21"/>
                <w:lang w:eastAsia="zh-CN"/>
              </w:rPr>
              <w:t>及其对数化指标</w:t>
            </w:r>
          </w:p>
        </w:tc>
      </w:tr>
      <w:tr w14:paraId="631FA0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11C96038">
            <w:pPr>
              <w:rPr>
                <w:b w:val="0"/>
                <w:color w:val="000000"/>
              </w:rPr>
            </w:pPr>
            <w:r>
              <w:rPr>
                <w:b w:val="0"/>
                <w:color w:val="000000"/>
                <w:sz w:val="21"/>
              </w:rPr>
              <w:t>process2.csv</w:t>
            </w:r>
          </w:p>
        </w:tc>
        <w:tc>
          <w:tcPr>
            <w:tcW w:w="2882" w:type="dxa"/>
            <w:shd w:val="clear" w:color="auto" w:fill="FFFFFF"/>
          </w:tcPr>
          <w:p w14:paraId="757D0321">
            <w:pPr>
              <w:rPr>
                <w:b w:val="0"/>
                <w:color w:val="000000"/>
              </w:rPr>
            </w:pPr>
            <w:r>
              <w:rPr>
                <w:b w:val="0"/>
                <w:color w:val="000000"/>
                <w:sz w:val="21"/>
              </w:rPr>
              <w:t>province、year、lntl、ind、urb、rd、open、es、eff</w:t>
            </w:r>
          </w:p>
        </w:tc>
        <w:tc>
          <w:tcPr>
            <w:tcW w:w="2882" w:type="dxa"/>
            <w:shd w:val="clear" w:color="auto" w:fill="FFFFFF"/>
          </w:tcPr>
          <w:p w14:paraId="57EE116E">
            <w:pPr>
              <w:rPr>
                <w:b w:val="0"/>
                <w:color w:val="000000"/>
                <w:lang w:eastAsia="zh-CN"/>
              </w:rPr>
            </w:pPr>
            <w:r>
              <w:rPr>
                <w:b w:val="0"/>
                <w:color w:val="000000"/>
                <w:sz w:val="21"/>
                <w:lang w:eastAsia="zh-CN"/>
              </w:rPr>
              <w:t>开展第二阶段双向固定效应回归与稳健性检验</w:t>
            </w:r>
          </w:p>
        </w:tc>
      </w:tr>
      <w:tr w14:paraId="665A0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F565131">
            <w:pPr>
              <w:rPr>
                <w:b w:val="0"/>
                <w:color w:val="000000"/>
              </w:rPr>
            </w:pPr>
            <w:r>
              <w:rPr>
                <w:b w:val="0"/>
                <w:color w:val="000000"/>
                <w:sz w:val="21"/>
              </w:rPr>
              <w:t>省级边界矢量文件</w:t>
            </w:r>
          </w:p>
        </w:tc>
        <w:tc>
          <w:tcPr>
            <w:tcW w:w="2882" w:type="dxa"/>
            <w:shd w:val="clear" w:color="auto" w:fill="FFFFFF"/>
          </w:tcPr>
          <w:p w14:paraId="3D7591C1">
            <w:pPr>
              <w:rPr>
                <w:b w:val="0"/>
                <w:color w:val="000000"/>
              </w:rPr>
            </w:pPr>
            <w:r>
              <w:rPr>
                <w:b w:val="0"/>
                <w:color w:val="000000"/>
                <w:sz w:val="21"/>
              </w:rPr>
              <w:t>province、geometry</w:t>
            </w:r>
          </w:p>
        </w:tc>
        <w:tc>
          <w:tcPr>
            <w:tcW w:w="2882" w:type="dxa"/>
            <w:shd w:val="clear" w:color="auto" w:fill="FFFFFF"/>
          </w:tcPr>
          <w:p w14:paraId="6265617E">
            <w:pPr>
              <w:rPr>
                <w:b w:val="0"/>
                <w:color w:val="000000"/>
              </w:rPr>
            </w:pPr>
            <w:r>
              <w:rPr>
                <w:b w:val="0"/>
                <w:color w:val="000000"/>
                <w:sz w:val="21"/>
              </w:rPr>
              <w:t>构建空间权重矩阵并计算 Moran’s I</w:t>
            </w:r>
          </w:p>
        </w:tc>
      </w:tr>
      <w:tr w14:paraId="2677AB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74F91EE">
            <w:pPr>
              <w:rPr>
                <w:b w:val="0"/>
                <w:color w:val="000000"/>
              </w:rPr>
            </w:pPr>
            <w:r>
              <w:rPr>
                <w:rFonts w:ascii="宋体" w:hAnsi="宋体"/>
                <w:b w:val="0"/>
                <w:color w:val="000000"/>
                <w:sz w:val="21"/>
              </w:rPr>
              <w:t>数据表</w:t>
            </w:r>
          </w:p>
        </w:tc>
        <w:tc>
          <w:tcPr>
            <w:tcW w:w="2882" w:type="dxa"/>
            <w:shd w:val="clear" w:color="auto" w:fill="FFFFFF"/>
          </w:tcPr>
          <w:p w14:paraId="329E1B1F">
            <w:pPr>
              <w:rPr>
                <w:b w:val="0"/>
                <w:color w:val="000000"/>
              </w:rPr>
            </w:pPr>
            <w:r>
              <w:rPr>
                <w:rFonts w:ascii="宋体" w:hAnsi="宋体"/>
                <w:b w:val="0"/>
                <w:color w:val="000000"/>
                <w:sz w:val="21"/>
              </w:rPr>
              <w:t>主要字段</w:t>
            </w:r>
          </w:p>
        </w:tc>
        <w:tc>
          <w:tcPr>
            <w:tcW w:w="2882" w:type="dxa"/>
            <w:shd w:val="clear" w:color="auto" w:fill="FFFFFF"/>
          </w:tcPr>
          <w:p w14:paraId="76834EEC">
            <w:pPr>
              <w:rPr>
                <w:b w:val="0"/>
                <w:color w:val="000000"/>
              </w:rPr>
            </w:pPr>
            <w:r>
              <w:rPr>
                <w:rFonts w:ascii="宋体" w:hAnsi="宋体"/>
                <w:b w:val="0"/>
                <w:color w:val="000000"/>
                <w:sz w:val="21"/>
              </w:rPr>
              <w:t>用途</w:t>
            </w:r>
          </w:p>
        </w:tc>
      </w:tr>
      <w:tr w14:paraId="51A38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8029E29">
            <w:pPr>
              <w:rPr>
                <w:b w:val="0"/>
                <w:color w:val="000000"/>
              </w:rPr>
            </w:pPr>
            <w:r>
              <w:rPr>
                <w:rFonts w:ascii="宋体" w:hAnsi="宋体"/>
                <w:b w:val="0"/>
                <w:color w:val="000000"/>
                <w:sz w:val="21"/>
              </w:rPr>
              <w:t>process1.csv</w:t>
            </w:r>
          </w:p>
        </w:tc>
        <w:tc>
          <w:tcPr>
            <w:tcW w:w="2882" w:type="dxa"/>
            <w:shd w:val="clear" w:color="auto" w:fill="FFFFFF"/>
          </w:tcPr>
          <w:p w14:paraId="777A6435">
            <w:pPr>
              <w:rPr>
                <w:b w:val="0"/>
                <w:color w:val="000000"/>
              </w:rPr>
            </w:pPr>
            <w:r>
              <w:rPr>
                <w:rFonts w:ascii="宋体" w:hAnsi="宋体"/>
                <w:b w:val="0"/>
                <w:color w:val="000000"/>
                <w:sz w:val="21"/>
              </w:rPr>
              <w:t>year, province, Population, Capital, energy_total, GDP_constant, Carbon</w:t>
            </w:r>
          </w:p>
        </w:tc>
        <w:tc>
          <w:tcPr>
            <w:tcW w:w="2882" w:type="dxa"/>
            <w:shd w:val="clear" w:color="auto" w:fill="FFFFFF"/>
          </w:tcPr>
          <w:p w14:paraId="2D6332E0">
            <w:pPr>
              <w:rPr>
                <w:b w:val="0"/>
                <w:color w:val="000000"/>
                <w:lang w:eastAsia="zh-CN"/>
              </w:rPr>
            </w:pPr>
            <w:r>
              <w:rPr>
                <w:rFonts w:ascii="宋体" w:hAnsi="宋体"/>
                <w:b w:val="0"/>
                <w:color w:val="000000"/>
                <w:sz w:val="21"/>
                <w:lang w:eastAsia="zh-CN"/>
              </w:rPr>
              <w:t>第一阶段超效率SBM测度</w:t>
            </w:r>
          </w:p>
        </w:tc>
      </w:tr>
      <w:tr w14:paraId="175B3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4C1BA">
            <w:pPr>
              <w:rPr>
                <w:b w:val="0"/>
                <w:color w:val="000000"/>
              </w:rPr>
            </w:pPr>
            <w:r>
              <w:rPr>
                <w:rFonts w:ascii="宋体" w:hAnsi="宋体"/>
                <w:b w:val="0"/>
                <w:color w:val="000000"/>
                <w:sz w:val="21"/>
              </w:rPr>
              <w:t>process2.csv</w:t>
            </w:r>
          </w:p>
        </w:tc>
        <w:tc>
          <w:tcPr>
            <w:tcW w:w="2882" w:type="dxa"/>
            <w:shd w:val="clear" w:color="auto" w:fill="FFFFFF"/>
          </w:tcPr>
          <w:p w14:paraId="3F28B67E">
            <w:pPr>
              <w:rPr>
                <w:b w:val="0"/>
                <w:color w:val="000000"/>
              </w:rPr>
            </w:pPr>
            <w:r>
              <w:rPr>
                <w:rFonts w:ascii="宋体" w:hAnsi="宋体"/>
                <w:b w:val="0"/>
                <w:color w:val="000000"/>
                <w:sz w:val="21"/>
              </w:rPr>
              <w:t>province, year, lntl, ind, urb, rd, open, es, eff</w:t>
            </w:r>
          </w:p>
        </w:tc>
        <w:tc>
          <w:tcPr>
            <w:tcW w:w="2882" w:type="dxa"/>
            <w:shd w:val="clear" w:color="auto" w:fill="FFFFFF"/>
          </w:tcPr>
          <w:p w14:paraId="17EDC2E9">
            <w:pPr>
              <w:rPr>
                <w:b w:val="0"/>
                <w:color w:val="000000"/>
                <w:lang w:eastAsia="zh-CN"/>
              </w:rPr>
            </w:pPr>
            <w:r>
              <w:rPr>
                <w:rFonts w:ascii="宋体" w:hAnsi="宋体"/>
                <w:b w:val="0"/>
                <w:color w:val="000000"/>
                <w:sz w:val="21"/>
                <w:lang w:eastAsia="zh-CN"/>
              </w:rPr>
              <w:t>第二阶段双向固定效应回归与稳健性检验</w:t>
            </w:r>
          </w:p>
        </w:tc>
      </w:tr>
      <w:tr w14:paraId="450A8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2108FD46">
            <w:pPr>
              <w:rPr>
                <w:b w:val="0"/>
                <w:color w:val="000000"/>
              </w:rPr>
            </w:pPr>
            <w:r>
              <w:rPr>
                <w:rFonts w:ascii="宋体" w:hAnsi="宋体"/>
                <w:b w:val="0"/>
                <w:color w:val="000000"/>
                <w:sz w:val="21"/>
              </w:rPr>
              <w:t>空间权重与地图底图</w:t>
            </w:r>
          </w:p>
        </w:tc>
        <w:tc>
          <w:tcPr>
            <w:tcW w:w="2882" w:type="dxa"/>
            <w:tcBorders>
              <w:bottom w:val="single" w:color="000000" w:sz="12" w:space="0"/>
            </w:tcBorders>
            <w:shd w:val="clear" w:color="auto" w:fill="FFFFFF"/>
          </w:tcPr>
          <w:p w14:paraId="70E9363A">
            <w:pPr>
              <w:rPr>
                <w:b w:val="0"/>
                <w:color w:val="000000"/>
              </w:rPr>
            </w:pPr>
            <w:r>
              <w:rPr>
                <w:rFonts w:ascii="宋体" w:hAnsi="宋体"/>
                <w:b w:val="0"/>
                <w:color w:val="000000"/>
                <w:sz w:val="21"/>
              </w:rPr>
              <w:t>province, geometry</w:t>
            </w:r>
          </w:p>
        </w:tc>
        <w:tc>
          <w:tcPr>
            <w:tcW w:w="2882" w:type="dxa"/>
            <w:tcBorders>
              <w:bottom w:val="single" w:color="000000" w:sz="12" w:space="0"/>
            </w:tcBorders>
            <w:shd w:val="clear" w:color="auto" w:fill="FFFFFF"/>
          </w:tcPr>
          <w:p w14:paraId="3DD23A12">
            <w:pPr>
              <w:rPr>
                <w:b w:val="0"/>
                <w:color w:val="000000"/>
              </w:rPr>
            </w:pPr>
            <w:r>
              <w:rPr>
                <w:rFonts w:ascii="宋体" w:hAnsi="宋体"/>
                <w:b w:val="0"/>
                <w:color w:val="000000"/>
                <w:sz w:val="21"/>
              </w:rPr>
              <w:t>Global Moran’s I、Moran散点图与LISA聚类分析</w:t>
            </w:r>
          </w:p>
        </w:tc>
      </w:tr>
    </w:tbl>
    <w:p w14:paraId="3FDE69C7">
      <w:pPr>
        <w:pStyle w:val="5"/>
        <w:bidi w:val="0"/>
      </w:pPr>
      <w:bookmarkStart w:id="84" w:name="_Toc32084"/>
      <w:r>
        <w:rPr>
          <w:rFonts w:hint="eastAsia" w:ascii="Times New Roman" w:hAnsi="Times New Roman" w:eastAsia="SimSun"/>
          <w:b w:val="0"/>
          <w:sz w:val="21"/>
          <w:lang w:val="en-US" w:eastAsia="zh-CN"/>
        </w:rPr>
        <w:t xml:space="preserve">C2 </w:t>
      </w:r>
      <w:r>
        <w:rPr>
          <w:rFonts w:ascii="Times New Roman" w:hAnsi="Times New Roman" w:eastAsia="SimSun"/>
          <w:b w:val="0"/>
          <w:sz w:val="21"/>
        </w:rPr>
        <w:t>四大区域划分</w:t>
      </w:r>
      <w:bookmarkEnd w:id="84"/>
    </w:p>
    <w:p w14:paraId="528CCE95">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C2</w:t>
      </w:r>
      <w:r>
        <w:rPr>
          <w:rFonts w:ascii="Times New Roman" w:hAnsi="Times New Roman" w:eastAsia="SimSun"/>
          <w:b w:val="0"/>
          <w:sz w:val="21"/>
          <w:lang w:eastAsia="zh-CN"/>
        </w:rPr>
        <w:t xml:space="preserve"> 四大区域划分对应省级行政区</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7D333A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12" w:space="0"/>
              <w:bottom w:val="single" w:color="000000" w:sz="4" w:space="0"/>
              <w:tl2br w:val="nil"/>
            </w:tcBorders>
            <w:shd w:val="clear" w:color="auto" w:fill="FFFFFF"/>
          </w:tcPr>
          <w:p w14:paraId="7EDE1B6B">
            <w:pPr>
              <w:rPr>
                <w:b w:val="0"/>
                <w:color w:val="000000"/>
              </w:rPr>
            </w:pPr>
            <w:r>
              <w:rPr>
                <w:b w:val="0"/>
                <w:color w:val="000000"/>
                <w:sz w:val="21"/>
              </w:rPr>
              <w:t>区域划分</w:t>
            </w:r>
          </w:p>
        </w:tc>
        <w:tc>
          <w:tcPr>
            <w:tcW w:w="4323" w:type="dxa"/>
            <w:tcBorders>
              <w:top w:val="single" w:color="000000" w:sz="12" w:space="0"/>
              <w:bottom w:val="single" w:color="000000" w:sz="4" w:space="0"/>
            </w:tcBorders>
            <w:shd w:val="clear" w:color="auto" w:fill="FFFFFF"/>
          </w:tcPr>
          <w:p w14:paraId="29CECA4A">
            <w:pPr>
              <w:rPr>
                <w:b w:val="0"/>
                <w:color w:val="000000"/>
              </w:rPr>
            </w:pPr>
            <w:r>
              <w:rPr>
                <w:b w:val="0"/>
                <w:color w:val="000000"/>
                <w:sz w:val="21"/>
              </w:rPr>
              <w:t>对应省级行政区</w:t>
            </w:r>
          </w:p>
        </w:tc>
      </w:tr>
      <w:tr w14:paraId="0EB99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top w:val="single" w:color="000000" w:sz="4" w:space="0"/>
            </w:tcBorders>
            <w:shd w:val="clear" w:color="auto" w:fill="FFFFFF"/>
          </w:tcPr>
          <w:p w14:paraId="3155FEC8">
            <w:pPr>
              <w:rPr>
                <w:b w:val="0"/>
                <w:color w:val="000000"/>
              </w:rPr>
            </w:pPr>
            <w:r>
              <w:rPr>
                <w:b w:val="0"/>
                <w:color w:val="000000"/>
                <w:sz w:val="21"/>
              </w:rPr>
              <w:t>东部</w:t>
            </w:r>
          </w:p>
        </w:tc>
        <w:tc>
          <w:tcPr>
            <w:tcW w:w="4323" w:type="dxa"/>
            <w:tcBorders>
              <w:top w:val="single" w:color="000000" w:sz="4" w:space="0"/>
            </w:tcBorders>
            <w:shd w:val="clear" w:color="auto" w:fill="FFFFFF"/>
          </w:tcPr>
          <w:p w14:paraId="4B1C10B4">
            <w:pPr>
              <w:rPr>
                <w:b w:val="0"/>
                <w:color w:val="000000"/>
                <w:lang w:eastAsia="zh-CN"/>
              </w:rPr>
            </w:pPr>
            <w:r>
              <w:rPr>
                <w:b w:val="0"/>
                <w:color w:val="000000"/>
                <w:sz w:val="21"/>
                <w:lang w:eastAsia="zh-CN"/>
              </w:rPr>
              <w:t>北京、天津、河北、上海、江苏、浙江、福建、山东、广东、海南</w:t>
            </w:r>
          </w:p>
        </w:tc>
      </w:tr>
      <w:tr w14:paraId="4627E9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21F86F7">
            <w:pPr>
              <w:rPr>
                <w:b w:val="0"/>
                <w:color w:val="000000"/>
              </w:rPr>
            </w:pPr>
            <w:r>
              <w:rPr>
                <w:b w:val="0"/>
                <w:color w:val="000000"/>
                <w:sz w:val="21"/>
              </w:rPr>
              <w:t>中部</w:t>
            </w:r>
          </w:p>
        </w:tc>
        <w:tc>
          <w:tcPr>
            <w:tcW w:w="4323" w:type="dxa"/>
            <w:shd w:val="clear" w:color="auto" w:fill="FFFFFF"/>
          </w:tcPr>
          <w:p w14:paraId="0E8958FF">
            <w:pPr>
              <w:rPr>
                <w:b w:val="0"/>
                <w:color w:val="000000"/>
              </w:rPr>
            </w:pPr>
            <w:r>
              <w:rPr>
                <w:b w:val="0"/>
                <w:color w:val="000000"/>
                <w:sz w:val="21"/>
              </w:rPr>
              <w:t>山西、安徽、江西、河南、湖北、湖南</w:t>
            </w:r>
          </w:p>
        </w:tc>
      </w:tr>
      <w:tr w14:paraId="05601D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0422CF51">
            <w:pPr>
              <w:rPr>
                <w:b w:val="0"/>
                <w:color w:val="000000"/>
              </w:rPr>
            </w:pPr>
            <w:r>
              <w:rPr>
                <w:b w:val="0"/>
                <w:color w:val="000000"/>
                <w:sz w:val="21"/>
              </w:rPr>
              <w:t>西部</w:t>
            </w:r>
          </w:p>
        </w:tc>
        <w:tc>
          <w:tcPr>
            <w:tcW w:w="4323" w:type="dxa"/>
            <w:shd w:val="clear" w:color="auto" w:fill="FFFFFF"/>
          </w:tcPr>
          <w:p w14:paraId="467804E2">
            <w:pPr>
              <w:rPr>
                <w:b w:val="0"/>
                <w:color w:val="000000"/>
                <w:lang w:eastAsia="zh-CN"/>
              </w:rPr>
            </w:pPr>
            <w:r>
              <w:rPr>
                <w:b w:val="0"/>
                <w:color w:val="000000"/>
                <w:sz w:val="21"/>
                <w:lang w:eastAsia="zh-CN"/>
              </w:rPr>
              <w:t>内蒙古、广西、重庆、四川、贵州、云南、陕西、甘肃、青海、宁夏、新疆</w:t>
            </w:r>
          </w:p>
        </w:tc>
      </w:tr>
      <w:tr w14:paraId="1097F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34F2792">
            <w:pPr>
              <w:rPr>
                <w:b w:val="0"/>
                <w:color w:val="000000"/>
              </w:rPr>
            </w:pPr>
            <w:r>
              <w:rPr>
                <w:b w:val="0"/>
                <w:color w:val="000000"/>
                <w:sz w:val="21"/>
              </w:rPr>
              <w:t>东北</w:t>
            </w:r>
          </w:p>
        </w:tc>
        <w:tc>
          <w:tcPr>
            <w:tcW w:w="4323" w:type="dxa"/>
            <w:shd w:val="clear" w:color="auto" w:fill="FFFFFF"/>
          </w:tcPr>
          <w:p w14:paraId="1EADE787">
            <w:pPr>
              <w:rPr>
                <w:b w:val="0"/>
                <w:color w:val="000000"/>
              </w:rPr>
            </w:pPr>
            <w:r>
              <w:rPr>
                <w:b w:val="0"/>
                <w:color w:val="000000"/>
                <w:sz w:val="21"/>
              </w:rPr>
              <w:t>辽宁、吉林、黑龙江</w:t>
            </w:r>
          </w:p>
        </w:tc>
      </w:tr>
      <w:tr w14:paraId="7A3D0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1014121">
            <w:pPr>
              <w:rPr>
                <w:b w:val="0"/>
                <w:color w:val="000000"/>
              </w:rPr>
            </w:pPr>
            <w:r>
              <w:rPr>
                <w:rFonts w:ascii="宋体" w:hAnsi="宋体"/>
                <w:b w:val="0"/>
                <w:color w:val="000000"/>
                <w:sz w:val="21"/>
              </w:rPr>
              <w:t>区域划分</w:t>
            </w:r>
          </w:p>
        </w:tc>
        <w:tc>
          <w:tcPr>
            <w:tcW w:w="4323" w:type="dxa"/>
            <w:shd w:val="clear" w:color="auto" w:fill="FFFFFF"/>
          </w:tcPr>
          <w:p w14:paraId="182C6575">
            <w:pPr>
              <w:rPr>
                <w:b w:val="0"/>
                <w:color w:val="000000"/>
              </w:rPr>
            </w:pPr>
            <w:r>
              <w:rPr>
                <w:rFonts w:ascii="宋体" w:hAnsi="宋体"/>
                <w:b w:val="0"/>
                <w:color w:val="000000"/>
                <w:sz w:val="21"/>
              </w:rPr>
              <w:t>对应省级行政区</w:t>
            </w:r>
          </w:p>
        </w:tc>
      </w:tr>
      <w:tr w14:paraId="74FD5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11E2C240">
            <w:pPr>
              <w:rPr>
                <w:b w:val="0"/>
                <w:color w:val="000000"/>
              </w:rPr>
            </w:pPr>
            <w:r>
              <w:rPr>
                <w:rFonts w:ascii="宋体" w:hAnsi="宋体"/>
                <w:b w:val="0"/>
                <w:color w:val="000000"/>
                <w:sz w:val="21"/>
              </w:rPr>
              <w:t>东部地区</w:t>
            </w:r>
          </w:p>
        </w:tc>
        <w:tc>
          <w:tcPr>
            <w:tcW w:w="4323" w:type="dxa"/>
            <w:shd w:val="clear" w:color="auto" w:fill="FFFFFF"/>
          </w:tcPr>
          <w:p w14:paraId="4342CE9E">
            <w:pPr>
              <w:rPr>
                <w:b w:val="0"/>
                <w:color w:val="000000"/>
                <w:lang w:eastAsia="zh-CN"/>
              </w:rPr>
            </w:pPr>
            <w:r>
              <w:rPr>
                <w:rFonts w:ascii="宋体" w:hAnsi="宋体"/>
                <w:b w:val="0"/>
                <w:color w:val="000000"/>
                <w:sz w:val="21"/>
                <w:lang w:eastAsia="zh-CN"/>
              </w:rPr>
              <w:t>北京、天津、河北、上海、江苏、浙江、福建、山东、广东、海南</w:t>
            </w:r>
          </w:p>
        </w:tc>
      </w:tr>
      <w:tr w14:paraId="362FAD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3592EE7B">
            <w:pPr>
              <w:rPr>
                <w:b w:val="0"/>
                <w:color w:val="000000"/>
              </w:rPr>
            </w:pPr>
            <w:r>
              <w:rPr>
                <w:rFonts w:ascii="宋体" w:hAnsi="宋体"/>
                <w:b w:val="0"/>
                <w:color w:val="000000"/>
                <w:sz w:val="21"/>
              </w:rPr>
              <w:t>中部地区</w:t>
            </w:r>
          </w:p>
        </w:tc>
        <w:tc>
          <w:tcPr>
            <w:tcW w:w="4323" w:type="dxa"/>
            <w:shd w:val="clear" w:color="auto" w:fill="FFFFFF"/>
          </w:tcPr>
          <w:p w14:paraId="60D3BE12">
            <w:pPr>
              <w:rPr>
                <w:b w:val="0"/>
                <w:color w:val="000000"/>
              </w:rPr>
            </w:pPr>
            <w:r>
              <w:rPr>
                <w:rFonts w:ascii="宋体" w:hAnsi="宋体"/>
                <w:b w:val="0"/>
                <w:color w:val="000000"/>
                <w:sz w:val="21"/>
              </w:rPr>
              <w:t>山西、安徽、江西、河南、湖北、湖南</w:t>
            </w:r>
          </w:p>
        </w:tc>
      </w:tr>
      <w:tr w14:paraId="5AD5B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shd w:val="clear" w:color="auto" w:fill="FFFFFF"/>
          </w:tcPr>
          <w:p w14:paraId="5E1196BD">
            <w:pPr>
              <w:rPr>
                <w:b w:val="0"/>
                <w:color w:val="000000"/>
              </w:rPr>
            </w:pPr>
            <w:r>
              <w:rPr>
                <w:rFonts w:ascii="宋体" w:hAnsi="宋体"/>
                <w:b w:val="0"/>
                <w:color w:val="000000"/>
                <w:sz w:val="21"/>
              </w:rPr>
              <w:t>西部地区</w:t>
            </w:r>
          </w:p>
        </w:tc>
        <w:tc>
          <w:tcPr>
            <w:tcW w:w="4323" w:type="dxa"/>
            <w:shd w:val="clear" w:color="auto" w:fill="FFFFFF"/>
          </w:tcPr>
          <w:p w14:paraId="63D0C300">
            <w:pPr>
              <w:rPr>
                <w:b w:val="0"/>
                <w:color w:val="000000"/>
                <w:lang w:eastAsia="zh-CN"/>
              </w:rPr>
            </w:pPr>
            <w:r>
              <w:rPr>
                <w:rFonts w:ascii="宋体" w:hAnsi="宋体"/>
                <w:b w:val="0"/>
                <w:color w:val="000000"/>
                <w:sz w:val="21"/>
                <w:lang w:eastAsia="zh-CN"/>
              </w:rPr>
              <w:t>内蒙古、广西、重庆、四川、贵州、云南、陕西、甘肃、青海、宁夏、新疆</w:t>
            </w:r>
          </w:p>
        </w:tc>
      </w:tr>
      <w:tr w14:paraId="19BC1A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3" w:type="dxa"/>
            <w:tcBorders>
              <w:bottom w:val="single" w:color="000000" w:sz="12" w:space="0"/>
            </w:tcBorders>
            <w:shd w:val="clear" w:color="auto" w:fill="FFFFFF"/>
          </w:tcPr>
          <w:p w14:paraId="53FC2D9F">
            <w:pPr>
              <w:rPr>
                <w:b w:val="0"/>
                <w:color w:val="000000"/>
              </w:rPr>
            </w:pPr>
            <w:r>
              <w:rPr>
                <w:rFonts w:ascii="宋体" w:hAnsi="宋体"/>
                <w:b w:val="0"/>
                <w:color w:val="000000"/>
                <w:sz w:val="21"/>
              </w:rPr>
              <w:t>东北地区</w:t>
            </w:r>
          </w:p>
        </w:tc>
        <w:tc>
          <w:tcPr>
            <w:tcW w:w="4323" w:type="dxa"/>
            <w:tcBorders>
              <w:bottom w:val="single" w:color="000000" w:sz="12" w:space="0"/>
            </w:tcBorders>
            <w:shd w:val="clear" w:color="auto" w:fill="FFFFFF"/>
          </w:tcPr>
          <w:p w14:paraId="0C6F0269">
            <w:pPr>
              <w:rPr>
                <w:b w:val="0"/>
                <w:color w:val="000000"/>
              </w:rPr>
            </w:pPr>
            <w:r>
              <w:rPr>
                <w:rFonts w:ascii="宋体" w:hAnsi="宋体"/>
                <w:b w:val="0"/>
                <w:color w:val="000000"/>
                <w:sz w:val="21"/>
              </w:rPr>
              <w:t>辽宁、吉林、黑龙江</w:t>
            </w:r>
          </w:p>
        </w:tc>
      </w:tr>
    </w:tbl>
    <w:p w14:paraId="605F43E9">
      <w:pPr>
        <w:pStyle w:val="5"/>
        <w:bidi w:val="0"/>
      </w:pPr>
      <w:bookmarkStart w:id="85" w:name="_Toc31994"/>
      <w:r>
        <w:rPr>
          <w:rFonts w:hint="eastAsia" w:ascii="Times New Roman" w:hAnsi="Times New Roman" w:eastAsia="SimSun"/>
          <w:b w:val="0"/>
          <w:sz w:val="21"/>
          <w:lang w:val="en-US" w:eastAsia="zh-CN"/>
        </w:rPr>
        <w:t xml:space="preserve">C3 </w:t>
      </w:r>
      <w:r>
        <w:rPr>
          <w:rFonts w:ascii="Times New Roman" w:hAnsi="Times New Roman" w:eastAsia="SimSun"/>
          <w:b w:val="0"/>
          <w:sz w:val="21"/>
        </w:rPr>
        <w:t>变量说明补充</w:t>
      </w:r>
      <w:bookmarkEnd w:id="85"/>
    </w:p>
    <w:p w14:paraId="41BD2141">
      <w:pPr>
        <w:rPr>
          <w:lang w:eastAsia="zh-CN"/>
        </w:rPr>
      </w:pPr>
      <w:r>
        <w:rPr>
          <w:rFonts w:hint="eastAsia" w:ascii="Times New Roman" w:hAnsi="Times New Roman" w:eastAsia="SimSun"/>
          <w:b w:val="0"/>
          <w:sz w:val="21"/>
          <w:lang w:val="en-US" w:eastAsia="zh-CN"/>
        </w:rPr>
        <w:t>附录</w:t>
      </w:r>
      <w:r>
        <w:rPr>
          <w:rFonts w:ascii="Times New Roman" w:hAnsi="Times New Roman" w:eastAsia="SimSun"/>
          <w:b w:val="0"/>
          <w:sz w:val="21"/>
          <w:lang w:eastAsia="zh-CN"/>
        </w:rPr>
        <w:t>表</w:t>
      </w:r>
      <w:r>
        <w:rPr>
          <w:rFonts w:hint="eastAsia" w:ascii="Times New Roman" w:hAnsi="Times New Roman" w:eastAsia="SimSun"/>
          <w:b w:val="0"/>
          <w:sz w:val="21"/>
          <w:lang w:val="en-US" w:eastAsia="zh-CN"/>
        </w:rPr>
        <w:t xml:space="preserve">C3 </w:t>
      </w:r>
      <w:r>
        <w:rPr>
          <w:rFonts w:ascii="Times New Roman" w:hAnsi="Times New Roman" w:eastAsia="SimSun"/>
          <w:b w:val="0"/>
          <w:sz w:val="21"/>
          <w:lang w:eastAsia="zh-CN"/>
        </w:rPr>
        <w:t>变量符号、含义与单位说明表</w:t>
      </w:r>
    </w:p>
    <w:tbl>
      <w:tblPr>
        <w:tblStyle w:val="4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2DA76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12" w:space="0"/>
              <w:bottom w:val="single" w:color="000000" w:sz="4" w:space="0"/>
              <w:tl2br w:val="nil"/>
            </w:tcBorders>
            <w:shd w:val="clear" w:color="auto" w:fill="FFFFFF"/>
          </w:tcPr>
          <w:p w14:paraId="0FB18BC4">
            <w:pPr>
              <w:rPr>
                <w:b w:val="0"/>
                <w:color w:val="000000"/>
              </w:rPr>
            </w:pPr>
            <w:r>
              <w:rPr>
                <w:b w:val="0"/>
                <w:color w:val="000000"/>
                <w:sz w:val="21"/>
              </w:rPr>
              <w:t>变量名称</w:t>
            </w:r>
          </w:p>
        </w:tc>
        <w:tc>
          <w:tcPr>
            <w:tcW w:w="2882" w:type="dxa"/>
            <w:tcBorders>
              <w:top w:val="single" w:color="000000" w:sz="12" w:space="0"/>
              <w:bottom w:val="single" w:color="000000" w:sz="4" w:space="0"/>
            </w:tcBorders>
            <w:shd w:val="clear" w:color="auto" w:fill="FFFFFF"/>
          </w:tcPr>
          <w:p w14:paraId="294B86D1">
            <w:pPr>
              <w:rPr>
                <w:b w:val="0"/>
                <w:color w:val="000000"/>
              </w:rPr>
            </w:pPr>
            <w:r>
              <w:rPr>
                <w:b w:val="0"/>
                <w:color w:val="000000"/>
                <w:sz w:val="21"/>
              </w:rPr>
              <w:t>指标含义</w:t>
            </w:r>
          </w:p>
        </w:tc>
        <w:tc>
          <w:tcPr>
            <w:tcW w:w="2882" w:type="dxa"/>
            <w:tcBorders>
              <w:top w:val="single" w:color="000000" w:sz="12" w:space="0"/>
              <w:bottom w:val="single" w:color="000000" w:sz="4" w:space="0"/>
            </w:tcBorders>
            <w:shd w:val="clear" w:color="auto" w:fill="FFFFFF"/>
          </w:tcPr>
          <w:p w14:paraId="517FC4A2">
            <w:pPr>
              <w:rPr>
                <w:b w:val="0"/>
                <w:color w:val="000000"/>
              </w:rPr>
            </w:pPr>
            <w:r>
              <w:rPr>
                <w:b w:val="0"/>
                <w:color w:val="000000"/>
                <w:sz w:val="21"/>
              </w:rPr>
              <w:t>单位或口径</w:t>
            </w:r>
          </w:p>
        </w:tc>
      </w:tr>
      <w:tr w14:paraId="3B36C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top w:val="single" w:color="000000" w:sz="4" w:space="0"/>
            </w:tcBorders>
            <w:shd w:val="clear" w:color="auto" w:fill="FFFFFF"/>
          </w:tcPr>
          <w:p w14:paraId="0AA7969A">
            <w:pPr>
              <w:rPr>
                <w:b w:val="0"/>
                <w:color w:val="000000"/>
              </w:rPr>
            </w:pPr>
            <w:r>
              <w:rPr>
                <w:b w:val="0"/>
                <w:color w:val="000000"/>
                <w:sz w:val="21"/>
              </w:rPr>
              <w:t>eff</w:t>
            </w:r>
          </w:p>
        </w:tc>
        <w:tc>
          <w:tcPr>
            <w:tcW w:w="2882" w:type="dxa"/>
            <w:tcBorders>
              <w:top w:val="single" w:color="000000" w:sz="4" w:space="0"/>
            </w:tcBorders>
            <w:shd w:val="clear" w:color="auto" w:fill="FFFFFF"/>
          </w:tcPr>
          <w:p w14:paraId="5A49433F">
            <w:pPr>
              <w:rPr>
                <w:b w:val="0"/>
                <w:color w:val="000000"/>
                <w:lang w:eastAsia="zh-CN"/>
              </w:rPr>
            </w:pPr>
            <w:r>
              <w:rPr>
                <w:b w:val="0"/>
                <w:color w:val="000000"/>
                <w:sz w:val="21"/>
                <w:lang w:eastAsia="zh-CN"/>
              </w:rPr>
              <w:t>第一阶段超效率SBM测得的碳排放效率值</w:t>
            </w:r>
          </w:p>
        </w:tc>
        <w:tc>
          <w:tcPr>
            <w:tcW w:w="2882" w:type="dxa"/>
            <w:tcBorders>
              <w:top w:val="single" w:color="000000" w:sz="4" w:space="0"/>
            </w:tcBorders>
            <w:shd w:val="clear" w:color="auto" w:fill="FFFFFF"/>
          </w:tcPr>
          <w:p w14:paraId="47A5B5A8">
            <w:pPr>
              <w:rPr>
                <w:b w:val="0"/>
                <w:color w:val="000000"/>
              </w:rPr>
            </w:pPr>
            <w:r>
              <w:rPr>
                <w:b w:val="0"/>
                <w:color w:val="000000"/>
                <w:sz w:val="21"/>
              </w:rPr>
              <w:t>无量纲效率指数</w:t>
            </w:r>
          </w:p>
        </w:tc>
      </w:tr>
      <w:tr w14:paraId="3524CB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4036E0D4">
            <w:pPr>
              <w:rPr>
                <w:b w:val="0"/>
                <w:color w:val="000000"/>
              </w:rPr>
            </w:pPr>
            <w:r>
              <w:rPr>
                <w:b w:val="0"/>
                <w:color w:val="000000"/>
                <w:sz w:val="21"/>
              </w:rPr>
              <w:t>lntl</w:t>
            </w:r>
          </w:p>
        </w:tc>
        <w:tc>
          <w:tcPr>
            <w:tcW w:w="2882" w:type="dxa"/>
            <w:shd w:val="clear" w:color="auto" w:fill="FFFFFF"/>
          </w:tcPr>
          <w:p w14:paraId="145C0A2C">
            <w:pPr>
              <w:rPr>
                <w:b w:val="0"/>
                <w:color w:val="000000"/>
                <w:lang w:eastAsia="zh-CN"/>
              </w:rPr>
            </w:pPr>
            <w:r>
              <w:rPr>
                <w:rFonts w:hint="eastAsia"/>
                <w:b w:val="0"/>
                <w:color w:val="000000"/>
                <w:sz w:val="21"/>
                <w:lang w:eastAsia="zh-CN"/>
              </w:rPr>
              <w:t>夜间灯光强度</w:t>
            </w:r>
            <w:r>
              <w:rPr>
                <w:b w:val="0"/>
                <w:color w:val="000000"/>
                <w:sz w:val="21"/>
                <w:lang w:eastAsia="zh-CN"/>
              </w:rPr>
              <w:t>对数项</w:t>
            </w:r>
          </w:p>
        </w:tc>
        <w:tc>
          <w:tcPr>
            <w:tcW w:w="2882" w:type="dxa"/>
            <w:shd w:val="clear" w:color="auto" w:fill="FFFFFF"/>
          </w:tcPr>
          <w:p w14:paraId="29FEF5B4">
            <w:pPr>
              <w:rPr>
                <w:b w:val="0"/>
                <w:color w:val="000000"/>
              </w:rPr>
            </w:pPr>
            <w:r>
              <w:rPr>
                <w:b w:val="0"/>
                <w:color w:val="000000"/>
                <w:sz w:val="21"/>
              </w:rPr>
              <w:t>ln(ntl+1)</w:t>
            </w:r>
          </w:p>
        </w:tc>
      </w:tr>
      <w:tr w14:paraId="6CE53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5F989C7E">
            <w:pPr>
              <w:rPr>
                <w:b w:val="0"/>
                <w:color w:val="000000"/>
              </w:rPr>
            </w:pPr>
            <w:r>
              <w:rPr>
                <w:b w:val="0"/>
                <w:color w:val="000000"/>
                <w:sz w:val="21"/>
              </w:rPr>
              <w:t>ind</w:t>
            </w:r>
          </w:p>
        </w:tc>
        <w:tc>
          <w:tcPr>
            <w:tcW w:w="2882" w:type="dxa"/>
            <w:shd w:val="clear" w:color="auto" w:fill="FFFFFF"/>
          </w:tcPr>
          <w:p w14:paraId="7CB88535">
            <w:pPr>
              <w:rPr>
                <w:b w:val="0"/>
                <w:color w:val="000000"/>
              </w:rPr>
            </w:pPr>
            <w:r>
              <w:rPr>
                <w:b w:val="0"/>
                <w:color w:val="000000"/>
                <w:sz w:val="21"/>
              </w:rPr>
              <w:t>产业结构</w:t>
            </w:r>
          </w:p>
        </w:tc>
        <w:tc>
          <w:tcPr>
            <w:tcW w:w="2882" w:type="dxa"/>
            <w:shd w:val="clear" w:color="auto" w:fill="FFFFFF"/>
          </w:tcPr>
          <w:p w14:paraId="4DDB309F">
            <w:pPr>
              <w:rPr>
                <w:b w:val="0"/>
                <w:color w:val="000000"/>
                <w:lang w:eastAsia="zh-CN"/>
              </w:rPr>
            </w:pPr>
            <w:r>
              <w:rPr>
                <w:b w:val="0"/>
                <w:color w:val="000000"/>
                <w:sz w:val="21"/>
                <w:lang w:eastAsia="zh-CN"/>
              </w:rPr>
              <w:t>第二产业增加值占GDP比重</w:t>
            </w:r>
          </w:p>
        </w:tc>
      </w:tr>
      <w:tr w14:paraId="0E3B0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2FE389A2">
            <w:pPr>
              <w:rPr>
                <w:b w:val="0"/>
                <w:color w:val="000000"/>
              </w:rPr>
            </w:pPr>
            <w:r>
              <w:rPr>
                <w:b w:val="0"/>
                <w:color w:val="000000"/>
                <w:sz w:val="21"/>
              </w:rPr>
              <w:t>urb</w:t>
            </w:r>
          </w:p>
        </w:tc>
        <w:tc>
          <w:tcPr>
            <w:tcW w:w="2882" w:type="dxa"/>
            <w:shd w:val="clear" w:color="auto" w:fill="FFFFFF"/>
          </w:tcPr>
          <w:p w14:paraId="4723C984">
            <w:pPr>
              <w:rPr>
                <w:b w:val="0"/>
                <w:color w:val="000000"/>
              </w:rPr>
            </w:pPr>
            <w:r>
              <w:rPr>
                <w:b w:val="0"/>
                <w:color w:val="000000"/>
                <w:sz w:val="21"/>
              </w:rPr>
              <w:t>城镇化率</w:t>
            </w:r>
          </w:p>
        </w:tc>
        <w:tc>
          <w:tcPr>
            <w:tcW w:w="2882" w:type="dxa"/>
            <w:shd w:val="clear" w:color="auto" w:fill="FFFFFF"/>
          </w:tcPr>
          <w:p w14:paraId="42F6B999">
            <w:pPr>
              <w:rPr>
                <w:b w:val="0"/>
                <w:color w:val="000000"/>
                <w:lang w:eastAsia="zh-CN"/>
              </w:rPr>
            </w:pPr>
            <w:r>
              <w:rPr>
                <w:b w:val="0"/>
                <w:color w:val="000000"/>
                <w:sz w:val="21"/>
                <w:lang w:eastAsia="zh-CN"/>
              </w:rPr>
              <w:t>城镇常住人口占总人口比重</w:t>
            </w:r>
          </w:p>
        </w:tc>
      </w:tr>
      <w:tr w14:paraId="636F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0A2033D2">
            <w:pPr>
              <w:rPr>
                <w:b w:val="0"/>
                <w:color w:val="000000"/>
              </w:rPr>
            </w:pPr>
            <w:r>
              <w:rPr>
                <w:b w:val="0"/>
                <w:color w:val="000000"/>
                <w:sz w:val="21"/>
              </w:rPr>
              <w:t>rd</w:t>
            </w:r>
          </w:p>
        </w:tc>
        <w:tc>
          <w:tcPr>
            <w:tcW w:w="2882" w:type="dxa"/>
            <w:shd w:val="clear" w:color="auto" w:fill="FFFFFF"/>
          </w:tcPr>
          <w:p w14:paraId="1070B876">
            <w:pPr>
              <w:rPr>
                <w:b w:val="0"/>
                <w:color w:val="000000"/>
              </w:rPr>
            </w:pPr>
            <w:r>
              <w:rPr>
                <w:b w:val="0"/>
                <w:color w:val="000000"/>
                <w:sz w:val="21"/>
              </w:rPr>
              <w:t>研发投入强度</w:t>
            </w:r>
          </w:p>
        </w:tc>
        <w:tc>
          <w:tcPr>
            <w:tcW w:w="2882" w:type="dxa"/>
            <w:shd w:val="clear" w:color="auto" w:fill="FFFFFF"/>
          </w:tcPr>
          <w:p w14:paraId="4F61510C">
            <w:pPr>
              <w:rPr>
                <w:b w:val="0"/>
                <w:color w:val="000000"/>
                <w:lang w:eastAsia="zh-CN"/>
              </w:rPr>
            </w:pPr>
            <w:r>
              <w:rPr>
                <w:b w:val="0"/>
                <w:color w:val="000000"/>
                <w:sz w:val="21"/>
                <w:lang w:eastAsia="zh-CN"/>
              </w:rPr>
              <w:t>R&amp;D经费投入占GDP比重</w:t>
            </w:r>
          </w:p>
        </w:tc>
      </w:tr>
      <w:tr w14:paraId="7210C9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shd w:val="clear" w:color="auto" w:fill="FFFFFF"/>
          </w:tcPr>
          <w:p w14:paraId="363DA8D7">
            <w:pPr>
              <w:rPr>
                <w:b w:val="0"/>
                <w:color w:val="000000"/>
              </w:rPr>
            </w:pPr>
            <w:r>
              <w:rPr>
                <w:b w:val="0"/>
                <w:color w:val="000000"/>
                <w:sz w:val="21"/>
              </w:rPr>
              <w:t>open</w:t>
            </w:r>
          </w:p>
        </w:tc>
        <w:tc>
          <w:tcPr>
            <w:tcW w:w="2882" w:type="dxa"/>
            <w:shd w:val="clear" w:color="auto" w:fill="FFFFFF"/>
          </w:tcPr>
          <w:p w14:paraId="76830CC1">
            <w:pPr>
              <w:rPr>
                <w:b w:val="0"/>
                <w:color w:val="000000"/>
              </w:rPr>
            </w:pPr>
            <w:r>
              <w:rPr>
                <w:b w:val="0"/>
                <w:color w:val="000000"/>
                <w:sz w:val="21"/>
              </w:rPr>
              <w:t>对外开放水平</w:t>
            </w:r>
          </w:p>
        </w:tc>
        <w:tc>
          <w:tcPr>
            <w:tcW w:w="2882" w:type="dxa"/>
            <w:shd w:val="clear" w:color="auto" w:fill="FFFFFF"/>
          </w:tcPr>
          <w:p w14:paraId="1C8D415A">
            <w:pPr>
              <w:rPr>
                <w:b w:val="0"/>
                <w:color w:val="000000"/>
                <w:lang w:eastAsia="zh-CN"/>
              </w:rPr>
            </w:pPr>
            <w:r>
              <w:rPr>
                <w:b w:val="0"/>
                <w:color w:val="000000"/>
                <w:sz w:val="21"/>
                <w:lang w:eastAsia="zh-CN"/>
              </w:rPr>
              <w:t>货物进出口总额占GDP比重</w:t>
            </w:r>
          </w:p>
        </w:tc>
      </w:tr>
      <w:tr w14:paraId="61F99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2" w:type="dxa"/>
            <w:tcBorders>
              <w:bottom w:val="single" w:color="000000" w:sz="12" w:space="0"/>
            </w:tcBorders>
            <w:shd w:val="clear" w:color="auto" w:fill="FFFFFF"/>
          </w:tcPr>
          <w:p w14:paraId="09066963">
            <w:pPr>
              <w:rPr>
                <w:b w:val="0"/>
                <w:color w:val="000000"/>
              </w:rPr>
            </w:pPr>
            <w:r>
              <w:rPr>
                <w:b w:val="0"/>
                <w:color w:val="000000"/>
                <w:sz w:val="21"/>
              </w:rPr>
              <w:t>es</w:t>
            </w:r>
          </w:p>
        </w:tc>
        <w:tc>
          <w:tcPr>
            <w:tcW w:w="2882" w:type="dxa"/>
            <w:tcBorders>
              <w:bottom w:val="single" w:color="000000" w:sz="12" w:space="0"/>
            </w:tcBorders>
            <w:shd w:val="clear" w:color="auto" w:fill="FFFFFF"/>
          </w:tcPr>
          <w:p w14:paraId="56059E41">
            <w:pPr>
              <w:rPr>
                <w:b w:val="0"/>
                <w:color w:val="000000"/>
              </w:rPr>
            </w:pPr>
            <w:r>
              <w:rPr>
                <w:b w:val="0"/>
                <w:color w:val="000000"/>
                <w:sz w:val="21"/>
              </w:rPr>
              <w:t>能源结构</w:t>
            </w:r>
          </w:p>
        </w:tc>
        <w:tc>
          <w:tcPr>
            <w:tcW w:w="2882" w:type="dxa"/>
            <w:tcBorders>
              <w:bottom w:val="single" w:color="000000" w:sz="12" w:space="0"/>
            </w:tcBorders>
            <w:shd w:val="clear" w:color="auto" w:fill="FFFFFF"/>
          </w:tcPr>
          <w:p w14:paraId="309512A9">
            <w:pPr>
              <w:rPr>
                <w:b w:val="0"/>
                <w:color w:val="000000"/>
                <w:lang w:eastAsia="zh-CN"/>
              </w:rPr>
            </w:pPr>
            <w:r>
              <w:rPr>
                <w:b w:val="0"/>
                <w:color w:val="000000"/>
                <w:sz w:val="21"/>
                <w:lang w:eastAsia="zh-CN"/>
              </w:rPr>
              <w:t>煤炭消费总量占能源消费总量比重</w:t>
            </w:r>
          </w:p>
        </w:tc>
      </w:tr>
    </w:tbl>
    <w:p w14:paraId="684CE67E">
      <w:pPr>
        <w:pStyle w:val="4"/>
        <w:bidi w:val="0"/>
        <w:rPr>
          <w:lang w:eastAsia="zh-CN"/>
        </w:rPr>
      </w:pPr>
      <w:r>
        <w:rPr>
          <w:rFonts w:ascii="Times New Roman" w:hAnsi="Times New Roman" w:eastAsia="SimSun"/>
          <w:b w:val="0"/>
          <w:sz w:val="21"/>
          <w:lang w:eastAsia="zh-CN"/>
        </w:rPr>
        <w:t>附录</w:t>
      </w:r>
      <w:r>
        <w:rPr>
          <w:rFonts w:hint="eastAsia" w:ascii="Times New Roman" w:hAnsi="Times New Roman" w:eastAsia="SimSun"/>
          <w:b w:val="0"/>
          <w:sz w:val="21"/>
          <w:lang w:val="en-US" w:eastAsia="zh-CN"/>
        </w:rPr>
        <w:t>D</w:t>
      </w:r>
      <w:r>
        <w:rPr>
          <w:rFonts w:ascii="Times New Roman" w:hAnsi="Times New Roman" w:eastAsia="SimSun"/>
          <w:b w:val="0"/>
          <w:sz w:val="21"/>
          <w:lang w:eastAsia="zh-CN"/>
        </w:rPr>
        <w:t xml:space="preserve"> 补充空间分析图表</w:t>
      </w:r>
    </w:p>
    <w:p w14:paraId="0C0C64B5">
      <w:pPr>
        <w:ind w:firstLine="720" w:firstLineChars="0"/>
        <w:rPr>
          <w:lang w:eastAsia="zh-CN"/>
        </w:rPr>
      </w:pPr>
      <w:r>
        <w:rPr>
          <w:rFonts w:ascii="Times New Roman" w:hAnsi="Times New Roman" w:eastAsia="SimSun"/>
          <w:b w:val="0"/>
          <w:sz w:val="21"/>
          <w:lang w:eastAsia="zh-CN"/>
        </w:rPr>
        <w:t>为避免正文图表过多影响主线表达，本文将部分空间分析补充图表置于附录。附录图表主要用于辅助说明经济距离权重矩阵的结构特征、空间杜宾模型的效应分解结果，以及夜间灯光强度和能源结构的空间溢出可视化关系。这些图表不改变正文核心结论，但有助于进一步增强空间分析结果的直观性和可解释性。</w:t>
      </w:r>
    </w:p>
    <w:p w14:paraId="78C14179">
      <w:pPr>
        <w:rPr>
          <w:lang w:eastAsia="zh-CN"/>
        </w:rPr>
      </w:pPr>
      <w:r>
        <w:rPr>
          <w:rFonts w:ascii="Times New Roman" w:hAnsi="Times New Roman" w:eastAsia="SimSun"/>
          <w:b w:val="0"/>
          <w:sz w:val="21"/>
          <w:lang w:eastAsia="zh-CN"/>
        </w:rPr>
        <w:drawing>
          <wp:inline distT="0" distB="0" distL="114300" distR="114300">
            <wp:extent cx="5044440" cy="3467735"/>
            <wp:effectExtent l="0" t="0" r="0" b="0"/>
            <wp:docPr id="2" name="图片 2" descr="c4aef74d66b91049e9be197eedb5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ef74d66b91049e9be197eedb5cc96"/>
                    <pic:cNvPicPr>
                      <a:picLocks noChangeAspect="1"/>
                    </pic:cNvPicPr>
                  </pic:nvPicPr>
                  <pic:blipFill>
                    <a:blip r:embed="rId32"/>
                    <a:srcRect t="3242"/>
                    <a:stretch>
                      <a:fillRect/>
                    </a:stretch>
                  </pic:blipFill>
                  <pic:spPr>
                    <a:xfrm>
                      <a:off x="0" y="0"/>
                      <a:ext cx="5044440" cy="3467735"/>
                    </a:xfrm>
                    <a:prstGeom prst="rect">
                      <a:avLst/>
                    </a:prstGeom>
                  </pic:spPr>
                </pic:pic>
              </a:graphicData>
            </a:graphic>
          </wp:inline>
        </w:drawing>
      </w:r>
    </w:p>
    <w:p w14:paraId="6897C2C5">
      <w:pPr>
        <w:pStyle w:val="5"/>
        <w:bidi w:val="0"/>
        <w:rPr>
          <w:lang w:eastAsia="zh-CN"/>
        </w:rPr>
      </w:pPr>
      <w:r>
        <w:rPr>
          <w:rFonts w:hint="eastAsia" w:ascii="Times New Roman" w:hAnsi="Times New Roman" w:eastAsia="SimSun"/>
          <w:b w:val="0"/>
          <w:sz w:val="21"/>
          <w:lang w:val="en-US" w:eastAsia="zh-CN"/>
        </w:rPr>
        <w:t>附录图</w:t>
      </w:r>
      <w:r>
        <w:rPr>
          <w:rFonts w:ascii="Times New Roman" w:hAnsi="Times New Roman" w:eastAsia="SimSun"/>
          <w:b w:val="0"/>
          <w:sz w:val="21"/>
          <w:lang w:eastAsia="zh-CN"/>
        </w:rPr>
        <w:t>D</w:t>
      </w:r>
      <w:r>
        <w:rPr>
          <w:rFonts w:hint="eastAsia" w:ascii="Times New Roman" w:hAnsi="Times New Roman" w:eastAsia="SimSun"/>
          <w:b w:val="0"/>
          <w:sz w:val="21"/>
          <w:lang w:val="en-US" w:eastAsia="zh-CN"/>
        </w:rPr>
        <w:t>1</w:t>
      </w:r>
      <w:r>
        <w:rPr>
          <w:rFonts w:ascii="Times New Roman" w:hAnsi="Times New Roman" w:eastAsia="SimSun"/>
          <w:b w:val="0"/>
          <w:sz w:val="21"/>
          <w:lang w:eastAsia="zh-CN"/>
        </w:rPr>
        <w:t xml:space="preserve"> 夜间灯光强度空间溢出网络图（2015、2018、2022）</w:t>
      </w:r>
    </w:p>
    <w:p w14:paraId="6DFAE0C0">
      <w:pPr>
        <w:ind w:firstLine="720" w:firstLineChars="0"/>
        <w:rPr>
          <w:lang w:eastAsia="zh-CN"/>
        </w:rPr>
      </w:pPr>
      <w:r>
        <w:rPr>
          <w:rFonts w:ascii="Times New Roman" w:hAnsi="Times New Roman" w:eastAsia="SimSun"/>
          <w:b w:val="0"/>
          <w:sz w:val="21"/>
          <w:lang w:eastAsia="zh-CN"/>
        </w:rPr>
        <w:t>该图在2015年、2018年和2022年三个时点上，综合展示了省域碳排放效率的LISA局部聚类类型、节点效率水平以及夜间灯光强度的空间溢出方向。图中橙色连线表示正向溢出，蓝色连线表示负向溢出，节点大小反映碳排放效率水平。整体来看，夜间灯光强度的空间溢出联系具有一定持续性，且主要表现为正向传导，说明区域经济活跃度提升不仅影响本地碳排放效率，也可能通过产业联系、技术扩散和要素流动作用于周边地区。三个年份的对比进一步表明，这种空间联动关系具有阶段演化特征。</w:t>
      </w:r>
    </w:p>
    <w:p w14:paraId="108887F5">
      <w:pPr>
        <w:rPr>
          <w:lang w:eastAsia="zh-CN"/>
        </w:rPr>
      </w:pPr>
      <w:r>
        <w:rPr>
          <w:rFonts w:ascii="Times New Roman" w:hAnsi="Times New Roman" w:eastAsia="SimSun"/>
          <w:b w:val="0"/>
          <w:sz w:val="21"/>
          <w:lang w:eastAsia="zh-CN"/>
        </w:rPr>
        <w:drawing>
          <wp:inline distT="0" distB="0" distL="114300" distR="114300">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33"/>
                    <a:srcRect t="4368"/>
                    <a:stretch>
                      <a:fillRect/>
                    </a:stretch>
                  </pic:blipFill>
                  <pic:spPr>
                    <a:xfrm>
                      <a:off x="0" y="0"/>
                      <a:ext cx="5375910" cy="3369945"/>
                    </a:xfrm>
                    <a:prstGeom prst="rect">
                      <a:avLst/>
                    </a:prstGeom>
                  </pic:spPr>
                </pic:pic>
              </a:graphicData>
            </a:graphic>
          </wp:inline>
        </w:drawing>
      </w:r>
    </w:p>
    <w:p w14:paraId="0D8BD872">
      <w:pPr>
        <w:pStyle w:val="5"/>
        <w:bidi w:val="0"/>
        <w:rPr>
          <w:lang w:eastAsia="zh-CN"/>
        </w:rPr>
      </w:pPr>
      <w:r>
        <w:rPr>
          <w:rFonts w:ascii="Times New Roman" w:hAnsi="Times New Roman" w:eastAsia="SimSun"/>
          <w:b w:val="0"/>
          <w:sz w:val="21"/>
          <w:lang w:eastAsia="zh-CN"/>
        </w:rPr>
        <w:t>附录图D2 核心解释变量空间效应分解图（经济倒数权重矩阵）</w:t>
      </w:r>
    </w:p>
    <w:p w14:paraId="33DAF0C0">
      <w:pPr>
        <w:ind w:firstLine="720" w:firstLineChars="0"/>
        <w:rPr>
          <w:lang w:eastAsia="zh-CN"/>
        </w:rPr>
      </w:pPr>
      <w:r>
        <w:rPr>
          <w:rFonts w:ascii="Times New Roman" w:hAnsi="Times New Roman" w:eastAsia="SimSun"/>
          <w:b w:val="0"/>
          <w:sz w:val="21"/>
          <w:lang w:eastAsia="zh-CN"/>
        </w:rPr>
        <w:t>该图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08081BF3">
      <w:pPr>
        <w:rPr>
          <w:lang w:eastAsia="zh-CN"/>
        </w:rPr>
      </w:pPr>
    </w:p>
    <w:p w14:paraId="2F85F2E8">
      <w:pPr>
        <w:rPr>
          <w:lang w:eastAsia="zh-CN"/>
        </w:rPr>
      </w:pPr>
      <w:r>
        <w:rPr>
          <w:rFonts w:ascii="Times New Roman" w:hAnsi="Times New Roman" w:eastAsia="SimSun"/>
          <w:b w:val="0"/>
          <w:sz w:val="21"/>
          <w:lang w:eastAsia="zh-CN"/>
        </w:rPr>
        <w:drawing>
          <wp:inline distT="0" distB="0" distL="114300" distR="114300">
            <wp:extent cx="5002530" cy="3834765"/>
            <wp:effectExtent l="0" t="0" r="1270" b="635"/>
            <wp:docPr id="7" name="图片 7" descr="fed4833ea7878cd12777a832ae5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ed4833ea7878cd12777a832ae543037"/>
                    <pic:cNvPicPr>
                      <a:picLocks noChangeAspect="1"/>
                    </pic:cNvPicPr>
                  </pic:nvPicPr>
                  <pic:blipFill>
                    <a:blip r:embed="rId34"/>
                    <a:srcRect t="3470"/>
                    <a:stretch>
                      <a:fillRect/>
                    </a:stretch>
                  </pic:blipFill>
                  <pic:spPr>
                    <a:xfrm>
                      <a:off x="0" y="0"/>
                      <a:ext cx="5002530" cy="3834765"/>
                    </a:xfrm>
                    <a:prstGeom prst="rect">
                      <a:avLst/>
                    </a:prstGeom>
                  </pic:spPr>
                </pic:pic>
              </a:graphicData>
            </a:graphic>
          </wp:inline>
        </w:drawing>
      </w:r>
    </w:p>
    <w:p w14:paraId="4A851E22">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3</w:t>
      </w:r>
      <w:r>
        <w:rPr>
          <w:rFonts w:ascii="Times New Roman" w:hAnsi="Times New Roman" w:eastAsia="SimSun"/>
          <w:b w:val="0"/>
          <w:sz w:val="21"/>
          <w:lang w:eastAsia="zh-CN"/>
        </w:rPr>
        <w:t xml:space="preserve"> 能源结构负向空间溢出网络图</w:t>
      </w:r>
    </w:p>
    <w:p w14:paraId="237B386C">
      <w:pPr>
        <w:ind w:firstLine="720" w:firstLineChars="0"/>
        <w:rPr>
          <w:lang w:eastAsia="zh-CN"/>
        </w:rPr>
      </w:pPr>
      <w:r>
        <w:rPr>
          <w:rFonts w:ascii="Times New Roman" w:hAnsi="Times New Roman" w:eastAsia="SimSun"/>
          <w:b w:val="0"/>
          <w:sz w:val="21"/>
          <w:lang w:eastAsia="zh-CN"/>
        </w:rPr>
        <w:t>该图用于展示能源结构变量在空间杜宾模型中的负向空间溢出特征。图中蓝色连线表示负向传导路径，说明高煤炭依赖不仅可能对本地区碳排放效率产生抑制作用，也会通过区域联系对周边地区形成一定的负向外部影响。与夜间灯光强度的正向空间溢出相对照，该图有助于说明不同变量在空间传导方向和作用机制上的差异，从而进一步丰富正文对空间异质性和空间外部性的解释。</w:t>
      </w:r>
    </w:p>
    <w:p w14:paraId="3329AF6A">
      <w:pPr>
        <w:rPr>
          <w:lang w:eastAsia="zh-CN"/>
        </w:rPr>
      </w:pPr>
      <w:r>
        <w:rPr>
          <w:rFonts w:ascii="Times New Roman" w:hAnsi="Times New Roman" w:eastAsia="SimSun"/>
          <w:b w:val="0"/>
          <w:sz w:val="21"/>
          <w:lang w:eastAsia="zh-CN"/>
        </w:rPr>
        <w:drawing>
          <wp:inline distT="0" distB="0" distL="114300" distR="114300">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35"/>
                    <a:srcRect t="3442"/>
                    <a:stretch>
                      <a:fillRect/>
                    </a:stretch>
                  </pic:blipFill>
                  <pic:spPr>
                    <a:xfrm>
                      <a:off x="0" y="0"/>
                      <a:ext cx="4876165" cy="4130040"/>
                    </a:xfrm>
                    <a:prstGeom prst="rect">
                      <a:avLst/>
                    </a:prstGeom>
                  </pic:spPr>
                </pic:pic>
              </a:graphicData>
            </a:graphic>
          </wp:inline>
        </w:drawing>
      </w:r>
    </w:p>
    <w:p w14:paraId="7E8220BB">
      <w:pPr>
        <w:pStyle w:val="5"/>
        <w:bidi w:val="0"/>
        <w:rPr>
          <w:lang w:eastAsia="zh-CN"/>
        </w:rPr>
      </w:pPr>
      <w:r>
        <w:rPr>
          <w:rFonts w:ascii="Times New Roman" w:hAnsi="Times New Roman" w:eastAsia="SimSun"/>
          <w:b w:val="0"/>
          <w:sz w:val="21"/>
          <w:lang w:eastAsia="zh-CN"/>
        </w:rPr>
        <w:t>附录图D</w:t>
      </w:r>
      <w:r>
        <w:rPr>
          <w:rFonts w:hint="eastAsia" w:ascii="Times New Roman" w:hAnsi="Times New Roman" w:eastAsia="SimSun"/>
          <w:b w:val="0"/>
          <w:sz w:val="21"/>
          <w:lang w:val="en-US" w:eastAsia="zh-CN"/>
        </w:rPr>
        <w:t>4</w:t>
      </w:r>
      <w:r>
        <w:rPr>
          <w:rFonts w:ascii="Times New Roman" w:hAnsi="Times New Roman" w:eastAsia="SimSun"/>
          <w:b w:val="0"/>
          <w:sz w:val="21"/>
          <w:lang w:eastAsia="zh-CN"/>
        </w:rPr>
        <w:t xml:space="preserve"> 按GDP从高到低排序的行标准化经济矩阵热力图</w:t>
      </w:r>
    </w:p>
    <w:p w14:paraId="5728345A">
      <w:pPr>
        <w:ind w:firstLine="720" w:firstLineChars="0"/>
        <w:rPr>
          <w:lang w:eastAsia="zh-CN"/>
        </w:rPr>
      </w:pPr>
      <w:r>
        <w:rPr>
          <w:rFonts w:ascii="Times New Roman" w:hAnsi="Times New Roman" w:eastAsia="SimSun"/>
          <w:b w:val="0"/>
          <w:sz w:val="21"/>
          <w:lang w:eastAsia="zh-CN"/>
        </w:rPr>
        <w:t>该图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Global Moran’s I 检验和空间杜宾模型估计提供了权重基础。</w:t>
      </w:r>
    </w:p>
    <w:p>
      <w:pPr/>
      <w:r>
        <w:rPr>
          <w:rFonts w:ascii="Times New Roman" w:hAnsi="Times New Roman" w:eastAsia="SimSun"/>
          <w:b w:val="0"/>
          <w:sz w:val="21"/>
        </w:rPr>
        <w:t>附录表D2 夜间灯光强度空间效应稳健性检验结果</w:t>
      </w:r>
    </w:p>
    <w:tbl>
      <w:tblPr>
        <w:tblStyle w:val="40"/>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r>
              <w:rPr>
                <w:rFonts w:ascii="Times New Roman" w:hAnsi="Times New Roman" w:eastAsia="SimSun"/>
                <w:b/>
                <w:sz w:val="21"/>
              </w:rPr>
              <w:t>设定</w:t>
            </w:r>
          </w:p>
        </w:tc>
        <w:tc>
          <w:tcPr>
            <w:tcW w:type="dxa" w:w="1235"/>
          </w:tcPr>
          <w:p>
            <w:r>
              <w:rPr>
                <w:rFonts w:ascii="Times New Roman" w:hAnsi="Times New Roman" w:eastAsia="SimSun"/>
                <w:b/>
                <w:sz w:val="21"/>
              </w:rPr>
              <w:t>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间接效应</w:t>
            </w:r>
          </w:p>
        </w:tc>
        <w:tc>
          <w:tcPr>
            <w:tcW w:type="dxa" w:w="1235"/>
          </w:tcPr>
          <w:p>
            <w:r>
              <w:rPr>
                <w:rFonts w:ascii="Times New Roman" w:hAnsi="Times New Roman" w:eastAsia="SimSun"/>
                <w:b/>
                <w:sz w:val="21"/>
              </w:rPr>
              <w:t>p值</w:t>
            </w:r>
          </w:p>
        </w:tc>
        <w:tc>
          <w:tcPr>
            <w:tcW w:type="dxa" w:w="1235"/>
          </w:tcPr>
          <w:p>
            <w:r>
              <w:rPr>
                <w:rFonts w:ascii="Times New Roman" w:hAnsi="Times New Roman" w:eastAsia="SimSun"/>
                <w:b/>
                <w:sz w:val="21"/>
              </w:rPr>
              <w:t>总效应</w:t>
            </w:r>
          </w:p>
        </w:tc>
        <w:tc>
          <w:tcPr>
            <w:tcW w:type="dxa" w:w="1235"/>
          </w:tcPr>
          <w:p>
            <w:r>
              <w:rPr>
                <w:rFonts w:ascii="Times New Roman" w:hAnsi="Times New Roman" w:eastAsia="SimSun"/>
                <w:b/>
                <w:sz w:val="21"/>
              </w:rPr>
              <w:t>p值</w:t>
            </w:r>
          </w:p>
        </w:tc>
      </w:tr>
      <w:tr>
        <w:tc>
          <w:tcPr>
            <w:tcW w:type="dxa" w:w="1235"/>
          </w:tcPr>
          <w:p>
            <w:r>
              <w:rPr>
                <w:rFonts w:ascii="Times New Roman" w:hAnsi="Times New Roman" w:eastAsia="SimSun"/>
                <w:b w:val="0"/>
                <w:sz w:val="21"/>
              </w:rPr>
              <w:t>邻接矩阵</w:t>
            </w:r>
          </w:p>
        </w:tc>
        <w:tc>
          <w:tcPr>
            <w:tcW w:type="dxa" w:w="1235"/>
          </w:tcPr>
          <w:p>
            <w:r>
              <w:rPr>
                <w:rFonts w:ascii="Times New Roman" w:hAnsi="Times New Roman" w:eastAsia="SimSun"/>
                <w:b w:val="0"/>
                <w:sz w:val="21"/>
              </w:rPr>
              <w:t>0.3207</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-0.3652</w:t>
            </w:r>
          </w:p>
        </w:tc>
        <w:tc>
          <w:tcPr>
            <w:tcW w:type="dxa" w:w="1235"/>
          </w:tcPr>
          <w:p>
            <w:r>
              <w:rPr>
                <w:rFonts w:ascii="Times New Roman" w:hAnsi="Times New Roman" w:eastAsia="SimSun"/>
                <w:b w:val="0"/>
                <w:sz w:val="21"/>
              </w:rPr>
              <w:t>0.0020</w:t>
            </w:r>
          </w:p>
        </w:tc>
        <w:tc>
          <w:tcPr>
            <w:tcW w:type="dxa" w:w="1235"/>
          </w:tcPr>
          <w:p>
            <w:r>
              <w:rPr>
                <w:rFonts w:ascii="Times New Roman" w:hAnsi="Times New Roman" w:eastAsia="SimSun"/>
                <w:b w:val="0"/>
                <w:sz w:val="21"/>
              </w:rPr>
              <w:t>-0.0445</w:t>
            </w:r>
          </w:p>
        </w:tc>
        <w:tc>
          <w:tcPr>
            <w:tcW w:type="dxa" w:w="1235"/>
          </w:tcPr>
          <w:p>
            <w:r>
              <w:rPr>
                <w:rFonts w:ascii="Times New Roman" w:hAnsi="Times New Roman" w:eastAsia="SimSun"/>
                <w:b w:val="0"/>
                <w:sz w:val="21"/>
              </w:rPr>
              <w:t>0.6871</w:t>
            </w:r>
          </w:p>
        </w:tc>
      </w:tr>
      <w:tr>
        <w:tc>
          <w:tcPr>
            <w:tcW w:type="dxa" w:w="1235"/>
          </w:tcPr>
          <w:p>
            <w:r>
              <w:rPr>
                <w:rFonts w:ascii="Times New Roman" w:hAnsi="Times New Roman" w:eastAsia="SimSun"/>
                <w:b w:val="0"/>
                <w:sz w:val="21"/>
              </w:rPr>
              <w:t>地理距离倒数矩阵</w:t>
            </w:r>
          </w:p>
        </w:tc>
        <w:tc>
          <w:tcPr>
            <w:tcW w:type="dxa" w:w="1235"/>
          </w:tcPr>
          <w:p>
            <w:r>
              <w:rPr>
                <w:rFonts w:ascii="Times New Roman" w:hAnsi="Times New Roman" w:eastAsia="SimSun"/>
                <w:b w:val="0"/>
                <w:sz w:val="21"/>
              </w:rPr>
              <w:t>0.1237</w:t>
            </w:r>
          </w:p>
        </w:tc>
        <w:tc>
          <w:tcPr>
            <w:tcW w:type="dxa" w:w="1235"/>
          </w:tcPr>
          <w:p>
            <w:r>
              <w:rPr>
                <w:rFonts w:ascii="Times New Roman" w:hAnsi="Times New Roman" w:eastAsia="SimSun"/>
                <w:b w:val="0"/>
                <w:sz w:val="21"/>
              </w:rPr>
              <w:t>0.0775</w:t>
            </w:r>
          </w:p>
        </w:tc>
        <w:tc>
          <w:tcPr>
            <w:tcW w:type="dxa" w:w="1235"/>
          </w:tcPr>
          <w:p>
            <w:r>
              <w:rPr>
                <w:rFonts w:ascii="Times New Roman" w:hAnsi="Times New Roman" w:eastAsia="SimSun"/>
                <w:b w:val="0"/>
                <w:sz w:val="21"/>
              </w:rPr>
              <w:t>0.2069</w:t>
            </w:r>
          </w:p>
        </w:tc>
        <w:tc>
          <w:tcPr>
            <w:tcW w:type="dxa" w:w="1235"/>
          </w:tcPr>
          <w:p>
            <w:r>
              <w:rPr>
                <w:rFonts w:ascii="Times New Roman" w:hAnsi="Times New Roman" w:eastAsia="SimSun"/>
                <w:b w:val="0"/>
                <w:sz w:val="21"/>
              </w:rPr>
              <w:t>0.5026</w:t>
            </w:r>
          </w:p>
        </w:tc>
        <w:tc>
          <w:tcPr>
            <w:tcW w:type="dxa" w:w="1235"/>
          </w:tcPr>
          <w:p>
            <w:r>
              <w:rPr>
                <w:rFonts w:ascii="Times New Roman" w:hAnsi="Times New Roman" w:eastAsia="SimSun"/>
                <w:b w:val="0"/>
                <w:sz w:val="21"/>
              </w:rPr>
              <w:t>0.3306</w:t>
            </w:r>
          </w:p>
        </w:tc>
        <w:tc>
          <w:tcPr>
            <w:tcW w:type="dxa" w:w="1235"/>
          </w:tcPr>
          <w:p>
            <w:r>
              <w:rPr>
                <w:rFonts w:ascii="Times New Roman" w:hAnsi="Times New Roman" w:eastAsia="SimSun"/>
                <w:b w:val="0"/>
                <w:sz w:val="21"/>
              </w:rPr>
              <w:t>0.2408</w:t>
            </w:r>
          </w:p>
        </w:tc>
      </w:tr>
      <w:tr>
        <w:tc>
          <w:tcPr>
            <w:tcW w:type="dxa" w:w="1235"/>
          </w:tcPr>
          <w:p>
            <w:r>
              <w:rPr>
                <w:rFonts w:ascii="Times New Roman" w:hAnsi="Times New Roman" w:eastAsia="SimSun"/>
                <w:b w:val="0"/>
                <w:sz w:val="21"/>
              </w:rPr>
              <w:t>经济地理嵌套矩阵</w:t>
            </w:r>
          </w:p>
        </w:tc>
        <w:tc>
          <w:tcPr>
            <w:tcW w:type="dxa" w:w="1235"/>
          </w:tcPr>
          <w:p>
            <w:r>
              <w:rPr>
                <w:rFonts w:ascii="Times New Roman" w:hAnsi="Times New Roman" w:eastAsia="SimSun"/>
                <w:b w:val="0"/>
                <w:sz w:val="21"/>
              </w:rPr>
              <w:t>0.0512</w:t>
            </w:r>
          </w:p>
        </w:tc>
        <w:tc>
          <w:tcPr>
            <w:tcW w:type="dxa" w:w="1235"/>
          </w:tcPr>
          <w:p>
            <w:r>
              <w:rPr>
                <w:rFonts w:ascii="Times New Roman" w:hAnsi="Times New Roman" w:eastAsia="SimSun"/>
                <w:b w:val="0"/>
                <w:sz w:val="21"/>
              </w:rPr>
              <w:t>0.4793</w:t>
            </w:r>
          </w:p>
        </w:tc>
        <w:tc>
          <w:tcPr>
            <w:tcW w:type="dxa" w:w="1235"/>
          </w:tcPr>
          <w:p>
            <w:r>
              <w:rPr>
                <w:rFonts w:ascii="Times New Roman" w:hAnsi="Times New Roman" w:eastAsia="SimSun"/>
                <w:b w:val="0"/>
                <w:sz w:val="21"/>
              </w:rPr>
              <w:t>0.5651</w:t>
            </w:r>
          </w:p>
        </w:tc>
        <w:tc>
          <w:tcPr>
            <w:tcW w:type="dxa" w:w="1235"/>
          </w:tcPr>
          <w:p>
            <w:r>
              <w:rPr>
                <w:rFonts w:ascii="Times New Roman" w:hAnsi="Times New Roman" w:eastAsia="SimSun"/>
                <w:b w:val="0"/>
                <w:sz w:val="21"/>
              </w:rPr>
              <w:t>0.0781</w:t>
            </w:r>
          </w:p>
        </w:tc>
        <w:tc>
          <w:tcPr>
            <w:tcW w:type="dxa" w:w="1235"/>
          </w:tcPr>
          <w:p>
            <w:r>
              <w:rPr>
                <w:rFonts w:ascii="Times New Roman" w:hAnsi="Times New Roman" w:eastAsia="SimSun"/>
                <w:b w:val="0"/>
                <w:sz w:val="21"/>
              </w:rPr>
              <w:t>0.6164</w:t>
            </w:r>
          </w:p>
        </w:tc>
        <w:tc>
          <w:tcPr>
            <w:tcW w:type="dxa" w:w="1235"/>
          </w:tcPr>
          <w:p>
            <w:r>
              <w:rPr>
                <w:rFonts w:ascii="Times New Roman" w:hAnsi="Times New Roman" w:eastAsia="SimSun"/>
                <w:b w:val="0"/>
                <w:sz w:val="21"/>
              </w:rPr>
              <w:t>0.0399</w:t>
            </w:r>
          </w:p>
        </w:tc>
      </w:tr>
      <w:tr>
        <w:tc>
          <w:tcPr>
            <w:tcW w:type="dxa" w:w="1235"/>
          </w:tcPr>
          <w:p>
            <w:r>
              <w:rPr>
                <w:rFonts w:ascii="Times New Roman" w:hAnsi="Times New Roman" w:eastAsia="SimSun"/>
                <w:b w:val="0"/>
                <w:sz w:val="21"/>
              </w:rPr>
              <w:t>经济距离倒数矩阵</w:t>
            </w:r>
          </w:p>
        </w:tc>
        <w:tc>
          <w:tcPr>
            <w:tcW w:type="dxa" w:w="1235"/>
          </w:tcPr>
          <w:p>
            <w:r>
              <w:rPr>
                <w:rFonts w:ascii="Times New Roman" w:hAnsi="Times New Roman" w:eastAsia="SimSun"/>
                <w:b w:val="0"/>
                <w:sz w:val="21"/>
              </w:rPr>
              <w:t>0.0161</w:t>
            </w:r>
          </w:p>
        </w:tc>
        <w:tc>
          <w:tcPr>
            <w:tcW w:type="dxa" w:w="1235"/>
          </w:tcPr>
          <w:p>
            <w:r>
              <w:rPr>
                <w:rFonts w:ascii="Times New Roman" w:hAnsi="Times New Roman" w:eastAsia="SimSun"/>
                <w:b w:val="0"/>
                <w:sz w:val="21"/>
              </w:rPr>
              <w:t>0.7958</w:t>
            </w:r>
          </w:p>
        </w:tc>
        <w:tc>
          <w:tcPr>
            <w:tcW w:type="dxa" w:w="1235"/>
          </w:tcPr>
          <w:p>
            <w:r>
              <w:rPr>
                <w:rFonts w:ascii="Times New Roman" w:hAnsi="Times New Roman" w:eastAsia="SimSun"/>
                <w:b w:val="0"/>
                <w:sz w:val="21"/>
              </w:rPr>
              <w:t>0.6830</w:t>
            </w:r>
          </w:p>
        </w:tc>
        <w:tc>
          <w:tcPr>
            <w:tcW w:type="dxa" w:w="1235"/>
          </w:tcPr>
          <w:p>
            <w:r>
              <w:rPr>
                <w:rFonts w:ascii="Times New Roman" w:hAnsi="Times New Roman" w:eastAsia="SimSun"/>
                <w:b w:val="0"/>
                <w:sz w:val="21"/>
              </w:rPr>
              <w:t>&lt;0.001</w:t>
            </w:r>
          </w:p>
        </w:tc>
        <w:tc>
          <w:tcPr>
            <w:tcW w:type="dxa" w:w="1235"/>
          </w:tcPr>
          <w:p>
            <w:r>
              <w:rPr>
                <w:rFonts w:ascii="Times New Roman" w:hAnsi="Times New Roman" w:eastAsia="SimSun"/>
                <w:b w:val="0"/>
                <w:sz w:val="21"/>
              </w:rPr>
              <w:t>0.6990</w:t>
            </w:r>
          </w:p>
        </w:tc>
        <w:tc>
          <w:tcPr>
            <w:tcW w:type="dxa" w:w="1235"/>
          </w:tcPr>
          <w:p>
            <w:r>
              <w:rPr>
                <w:rFonts w:ascii="Times New Roman" w:hAnsi="Times New Roman" w:eastAsia="SimSun"/>
                <w:b w:val="0"/>
                <w:sz w:val="21"/>
              </w:rPr>
              <w:t>&lt;0.001</w:t>
            </w:r>
          </w:p>
        </w:tc>
      </w:tr>
      <w:tr>
        <w:tc>
          <w:tcPr>
            <w:tcW w:type="dxa" w:w="1235"/>
          </w:tcPr>
          <w:p>
            <w:r>
              <w:rPr>
                <w:rFonts w:ascii="Times New Roman" w:hAnsi="Times New Roman" w:eastAsia="SimSun"/>
                <w:b w:val="0"/>
                <w:sz w:val="21"/>
              </w:rPr>
              <w:t>滞后一期-经济距离倒数矩阵</w:t>
            </w:r>
          </w:p>
        </w:tc>
        <w:tc>
          <w:tcPr>
            <w:tcW w:type="dxa" w:w="1235"/>
          </w:tcPr>
          <w:p>
            <w:r>
              <w:rPr>
                <w:rFonts w:ascii="Times New Roman" w:hAnsi="Times New Roman" w:eastAsia="SimSun"/>
                <w:b w:val="0"/>
                <w:sz w:val="21"/>
              </w:rPr>
              <w:t>0.1003</w:t>
            </w:r>
          </w:p>
        </w:tc>
        <w:tc>
          <w:tcPr>
            <w:tcW w:type="dxa" w:w="1235"/>
          </w:tcPr>
          <w:p>
            <w:r>
              <w:rPr>
                <w:rFonts w:ascii="Times New Roman" w:hAnsi="Times New Roman" w:eastAsia="SimSun"/>
                <w:b w:val="0"/>
                <w:sz w:val="21"/>
              </w:rPr>
              <w:t>0.1701</w:t>
            </w:r>
          </w:p>
        </w:tc>
        <w:tc>
          <w:tcPr>
            <w:tcW w:type="dxa" w:w="1235"/>
          </w:tcPr>
          <w:p>
            <w:r>
              <w:rPr>
                <w:rFonts w:ascii="Times New Roman" w:hAnsi="Times New Roman" w:eastAsia="SimSun"/>
                <w:b w:val="0"/>
                <w:sz w:val="21"/>
              </w:rPr>
              <w:t>0.5243</w:t>
            </w:r>
          </w:p>
        </w:tc>
        <w:tc>
          <w:tcPr>
            <w:tcW w:type="dxa" w:w="1235"/>
          </w:tcPr>
          <w:p>
            <w:r>
              <w:rPr>
                <w:rFonts w:ascii="Times New Roman" w:hAnsi="Times New Roman" w:eastAsia="SimSun"/>
                <w:b w:val="0"/>
                <w:sz w:val="21"/>
              </w:rPr>
              <w:t>0.0057</w:t>
            </w:r>
          </w:p>
        </w:tc>
        <w:tc>
          <w:tcPr>
            <w:tcW w:type="dxa" w:w="1235"/>
          </w:tcPr>
          <w:p>
            <w:r>
              <w:rPr>
                <w:rFonts w:ascii="Times New Roman" w:hAnsi="Times New Roman" w:eastAsia="SimSun"/>
                <w:b w:val="0"/>
                <w:sz w:val="21"/>
              </w:rPr>
              <w:t>0.6245</w:t>
            </w:r>
          </w:p>
        </w:tc>
        <w:tc>
          <w:tcPr>
            <w:tcW w:type="dxa" w:w="1235"/>
          </w:tcPr>
          <w:p>
            <w:r>
              <w:rPr>
                <w:rFonts w:ascii="Times New Roman" w:hAnsi="Times New Roman" w:eastAsia="SimSun"/>
                <w:b w:val="0"/>
                <w:sz w:val="21"/>
              </w:rPr>
              <w:t>&lt;0.001</w:t>
            </w:r>
          </w:p>
        </w:tc>
      </w:tr>
    </w:tbl>
    <w:p>
      <w:pPr/>
      <w:r>
        <w:rPr>
          <w:rFonts w:ascii="Times New Roman" w:hAnsi="Times New Roman" w:eastAsia="SimSun"/>
          <w:b w:val="0"/>
          <w:sz w:val="21"/>
        </w:rPr>
        <w:t>为补充说明空间溢出结果的稳健性，附录表D2比较了不同空间权重矩阵以及滞后一期样本下，夜间灯光强度的直接效应、间接效应和总效应。该表主要用于识别空间溢出结论是否依赖单一权重定义。</w:t>
      </w:r>
    </w:p>
    <w:p>
      <w:pPr>
        <w:pStyle w:val="5"/>
      </w:pPr>
      <w:r>
        <w:rPr>
          <w:rFonts w:ascii="Times New Roman" w:hAnsi="Times New Roman" w:eastAsia="SimSun"/>
          <w:b w:val="0"/>
          <w:sz w:val="21"/>
        </w:rPr>
        <w:t>D6 空间SDM稳健性检验</w:t>
      </w:r>
    </w:p>
    <w:p>
      <w:pPr/>
      <w:r>
        <w:rPr>
          <w:rFonts w:ascii="Times New Roman" w:hAnsi="Times New Roman" w:eastAsia="SimSun"/>
          <w:b w:val="0"/>
          <w:sz w:val="21"/>
        </w:rPr>
        <w:t>附录表D1 空间模型选择检验结果</w:t>
      </w:r>
    </w:p>
    <w:tbl>
      <w:tblPr>
        <w:tblStyle w:val="40"/>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Times New Roman" w:hAnsi="Times New Roman" w:eastAsia="SimSun"/>
                <w:b/>
                <w:sz w:val="21"/>
              </w:rPr>
              <w:t>权重矩阵</w:t>
            </w:r>
          </w:p>
        </w:tc>
        <w:tc>
          <w:tcPr>
            <w:tcW w:type="dxa" w:w="665"/>
          </w:tcPr>
          <w:p>
            <w:r>
              <w:rPr>
                <w:rFonts w:ascii="Times New Roman" w:hAnsi="Times New Roman" w:eastAsia="SimSun"/>
                <w:b/>
                <w:sz w:val="21"/>
              </w:rPr>
              <w:t>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Robust LM Error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ind</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LR: both vs time</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SDM→SAR</w:t>
            </w:r>
          </w:p>
        </w:tc>
        <w:tc>
          <w:tcPr>
            <w:tcW w:type="dxa" w:w="665"/>
          </w:tcPr>
          <w:p>
            <w:r>
              <w:rPr>
                <w:rFonts w:ascii="Times New Roman" w:hAnsi="Times New Roman" w:eastAsia="SimSun"/>
                <w:b/>
                <w:sz w:val="21"/>
              </w:rPr>
              <w:t>p值</w:t>
            </w:r>
          </w:p>
        </w:tc>
        <w:tc>
          <w:tcPr>
            <w:tcW w:type="dxa" w:w="665"/>
          </w:tcPr>
          <w:p>
            <w:r>
              <w:rPr>
                <w:rFonts w:ascii="Times New Roman" w:hAnsi="Times New Roman" w:eastAsia="SimSun"/>
                <w:b/>
                <w:sz w:val="21"/>
              </w:rPr>
              <w:t>Wald: SDM→SEM</w:t>
            </w:r>
          </w:p>
        </w:tc>
        <w:tc>
          <w:tcPr>
            <w:tcW w:type="dxa" w:w="665"/>
          </w:tcPr>
          <w:p>
            <w:r>
              <w:rPr>
                <w:rFonts w:ascii="Times New Roman" w:hAnsi="Times New Roman" w:eastAsia="SimSun"/>
                <w:b/>
                <w:sz w:val="21"/>
              </w:rPr>
              <w:t>p值</w:t>
            </w:r>
          </w:p>
        </w:tc>
      </w:tr>
      <w:tr>
        <w:tc>
          <w:tcPr>
            <w:tcW w:type="dxa" w:w="665"/>
          </w:tcPr>
          <w:p>
            <w:r>
              <w:rPr>
                <w:rFonts w:ascii="Times New Roman" w:hAnsi="Times New Roman" w:eastAsia="SimSun"/>
                <w:b w:val="0"/>
                <w:sz w:val="21"/>
              </w:rPr>
              <w:t>邻接矩阵</w:t>
            </w:r>
          </w:p>
        </w:tc>
        <w:tc>
          <w:tcPr>
            <w:tcW w:type="dxa" w:w="665"/>
          </w:tcPr>
          <w:p>
            <w:r>
              <w:rPr>
                <w:rFonts w:ascii="Times New Roman" w:hAnsi="Times New Roman" w:eastAsia="SimSun"/>
                <w:b w:val="0"/>
                <w:sz w:val="21"/>
              </w:rPr>
              <w:t>2.9797</w:t>
            </w:r>
          </w:p>
        </w:tc>
        <w:tc>
          <w:tcPr>
            <w:tcW w:type="dxa" w:w="665"/>
          </w:tcPr>
          <w:p>
            <w:r>
              <w:rPr>
                <w:rFonts w:ascii="Times New Roman" w:hAnsi="Times New Roman" w:eastAsia="SimSun"/>
                <w:b w:val="0"/>
                <w:sz w:val="21"/>
              </w:rPr>
              <w:t>0.0843</w:t>
            </w:r>
          </w:p>
        </w:tc>
        <w:tc>
          <w:tcPr>
            <w:tcW w:type="dxa" w:w="665"/>
          </w:tcPr>
          <w:p>
            <w:r>
              <w:rPr>
                <w:rFonts w:ascii="Times New Roman" w:hAnsi="Times New Roman" w:eastAsia="SimSun"/>
                <w:b w:val="0"/>
                <w:sz w:val="21"/>
              </w:rPr>
              <w:t>2.2927</w:t>
            </w:r>
          </w:p>
        </w:tc>
        <w:tc>
          <w:tcPr>
            <w:tcW w:type="dxa" w:w="665"/>
          </w:tcPr>
          <w:p>
            <w:r>
              <w:rPr>
                <w:rFonts w:ascii="Times New Roman" w:hAnsi="Times New Roman" w:eastAsia="SimSun"/>
                <w:b w:val="0"/>
                <w:sz w:val="21"/>
              </w:rPr>
              <w:t>0.1300</w:t>
            </w:r>
          </w:p>
        </w:tc>
        <w:tc>
          <w:tcPr>
            <w:tcW w:type="dxa" w:w="665"/>
          </w:tcPr>
          <w:p>
            <w:r>
              <w:rPr>
                <w:rFonts w:ascii="Times New Roman" w:hAnsi="Times New Roman" w:eastAsia="SimSun"/>
                <w:b w:val="0"/>
                <w:sz w:val="21"/>
              </w:rPr>
              <w:t>12.4842</w:t>
            </w:r>
          </w:p>
        </w:tc>
        <w:tc>
          <w:tcPr>
            <w:tcW w:type="dxa" w:w="665"/>
          </w:tcPr>
          <w:p>
            <w:r>
              <w:rPr>
                <w:rFonts w:ascii="Times New Roman" w:hAnsi="Times New Roman" w:eastAsia="SimSun"/>
                <w:b w:val="0"/>
                <w:sz w:val="21"/>
              </w:rPr>
              <w:t>0.0857</w:t>
            </w:r>
          </w:p>
        </w:tc>
        <w:tc>
          <w:tcPr>
            <w:tcW w:type="dxa" w:w="665"/>
          </w:tcPr>
          <w:p>
            <w:r>
              <w:rPr>
                <w:rFonts w:ascii="Times New Roman" w:hAnsi="Times New Roman" w:eastAsia="SimSun"/>
                <w:b w:val="0"/>
                <w:sz w:val="21"/>
              </w:rPr>
              <w:t>527.7542</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32.3574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31.2849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经济地理嵌套矩阵</w:t>
            </w:r>
          </w:p>
        </w:tc>
        <w:tc>
          <w:tcPr>
            <w:tcW w:type="dxa" w:w="665"/>
          </w:tcPr>
          <w:p>
            <w:r>
              <w:rPr>
                <w:rFonts w:ascii="Times New Roman" w:hAnsi="Times New Roman" w:eastAsia="SimSun"/>
                <w:b w:val="0"/>
                <w:sz w:val="21"/>
              </w:rPr>
              <w:t>2.8118</w:t>
            </w:r>
          </w:p>
        </w:tc>
        <w:tc>
          <w:tcPr>
            <w:tcW w:type="dxa" w:w="665"/>
          </w:tcPr>
          <w:p>
            <w:r>
              <w:rPr>
                <w:rFonts w:ascii="Times New Roman" w:hAnsi="Times New Roman" w:eastAsia="SimSun"/>
                <w:b w:val="0"/>
                <w:sz w:val="21"/>
              </w:rPr>
              <w:t>0.0936</w:t>
            </w:r>
          </w:p>
        </w:tc>
        <w:tc>
          <w:tcPr>
            <w:tcW w:type="dxa" w:w="665"/>
          </w:tcPr>
          <w:p>
            <w:r>
              <w:rPr>
                <w:rFonts w:ascii="Times New Roman" w:hAnsi="Times New Roman" w:eastAsia="SimSun"/>
                <w:b w:val="0"/>
                <w:sz w:val="21"/>
              </w:rPr>
              <w:t>2.0250</w:t>
            </w:r>
          </w:p>
        </w:tc>
        <w:tc>
          <w:tcPr>
            <w:tcW w:type="dxa" w:w="665"/>
          </w:tcPr>
          <w:p>
            <w:r>
              <w:rPr>
                <w:rFonts w:ascii="Times New Roman" w:hAnsi="Times New Roman" w:eastAsia="SimSun"/>
                <w:b w:val="0"/>
                <w:sz w:val="21"/>
              </w:rPr>
              <w:t>0.1547</w:t>
            </w:r>
          </w:p>
        </w:tc>
        <w:tc>
          <w:tcPr>
            <w:tcW w:type="dxa" w:w="665"/>
          </w:tcPr>
          <w:p>
            <w:r>
              <w:rPr>
                <w:rFonts w:ascii="Times New Roman" w:hAnsi="Times New Roman" w:eastAsia="SimSun"/>
                <w:b w:val="0"/>
                <w:sz w:val="21"/>
              </w:rPr>
              <w:t>12.0710</w:t>
            </w:r>
          </w:p>
        </w:tc>
        <w:tc>
          <w:tcPr>
            <w:tcW w:type="dxa" w:w="665"/>
          </w:tcPr>
          <w:p>
            <w:r>
              <w:rPr>
                <w:rFonts w:ascii="Times New Roman" w:hAnsi="Times New Roman" w:eastAsia="SimSun"/>
                <w:b w:val="0"/>
                <w:sz w:val="21"/>
              </w:rPr>
              <w:t>0.0982</w:t>
            </w:r>
          </w:p>
        </w:tc>
        <w:tc>
          <w:tcPr>
            <w:tcW w:type="dxa" w:w="665"/>
          </w:tcPr>
          <w:p>
            <w:r>
              <w:rPr>
                <w:rFonts w:ascii="Times New Roman" w:hAnsi="Times New Roman" w:eastAsia="SimSun"/>
                <w:b w:val="0"/>
                <w:sz w:val="21"/>
              </w:rPr>
              <w:t>518.2813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15.0876</w:t>
            </w:r>
          </w:p>
        </w:tc>
        <w:tc>
          <w:tcPr>
            <w:tcW w:type="dxa" w:w="665"/>
          </w:tcPr>
          <w:p>
            <w:r>
              <w:rPr>
                <w:rFonts w:ascii="Times New Roman" w:hAnsi="Times New Roman" w:eastAsia="SimSun"/>
                <w:b w:val="0"/>
                <w:sz w:val="21"/>
              </w:rPr>
              <w:t>0.0196</w:t>
            </w:r>
          </w:p>
        </w:tc>
        <w:tc>
          <w:tcPr>
            <w:tcW w:type="dxa" w:w="665"/>
          </w:tcPr>
          <w:p>
            <w:r>
              <w:rPr>
                <w:rFonts w:ascii="Times New Roman" w:hAnsi="Times New Roman" w:eastAsia="SimSun"/>
                <w:b w:val="0"/>
                <w:sz w:val="21"/>
              </w:rPr>
              <w:t>15.0905</w:t>
            </w:r>
          </w:p>
        </w:tc>
        <w:tc>
          <w:tcPr>
            <w:tcW w:type="dxa" w:w="665"/>
          </w:tcPr>
          <w:p>
            <w:r>
              <w:rPr>
                <w:rFonts w:ascii="Times New Roman" w:hAnsi="Times New Roman" w:eastAsia="SimSun"/>
                <w:b w:val="0"/>
                <w:sz w:val="21"/>
              </w:rPr>
              <w:t>0.0196</w:t>
            </w:r>
          </w:p>
        </w:tc>
      </w:tr>
      <w:tr>
        <w:tc>
          <w:tcPr>
            <w:tcW w:type="dxa" w:w="665"/>
          </w:tcPr>
          <w:p>
            <w:r>
              <w:rPr>
                <w:rFonts w:ascii="Times New Roman" w:hAnsi="Times New Roman" w:eastAsia="SimSun"/>
                <w:b w:val="0"/>
                <w:sz w:val="21"/>
              </w:rPr>
              <w:t>经济距离倒数矩阵</w:t>
            </w:r>
          </w:p>
        </w:tc>
        <w:tc>
          <w:tcPr>
            <w:tcW w:type="dxa" w:w="665"/>
          </w:tcPr>
          <w:p>
            <w:r>
              <w:rPr>
                <w:rFonts w:ascii="Times New Roman" w:hAnsi="Times New Roman" w:eastAsia="SimSun"/>
                <w:b w:val="0"/>
                <w:sz w:val="21"/>
              </w:rPr>
              <w:t>8.4609</w:t>
            </w:r>
          </w:p>
        </w:tc>
        <w:tc>
          <w:tcPr>
            <w:tcW w:type="dxa" w:w="665"/>
          </w:tcPr>
          <w:p>
            <w:r>
              <w:rPr>
                <w:rFonts w:ascii="Times New Roman" w:hAnsi="Times New Roman" w:eastAsia="SimSun"/>
                <w:b w:val="0"/>
                <w:sz w:val="21"/>
              </w:rPr>
              <w:t>0.0036</w:t>
            </w:r>
          </w:p>
        </w:tc>
        <w:tc>
          <w:tcPr>
            <w:tcW w:type="dxa" w:w="665"/>
          </w:tcPr>
          <w:p>
            <w:r>
              <w:rPr>
                <w:rFonts w:ascii="Times New Roman" w:hAnsi="Times New Roman" w:eastAsia="SimSun"/>
                <w:b w:val="0"/>
                <w:sz w:val="21"/>
              </w:rPr>
              <w:t>6.3649</w:t>
            </w:r>
          </w:p>
        </w:tc>
        <w:tc>
          <w:tcPr>
            <w:tcW w:type="dxa" w:w="665"/>
          </w:tcPr>
          <w:p>
            <w:r>
              <w:rPr>
                <w:rFonts w:ascii="Times New Roman" w:hAnsi="Times New Roman" w:eastAsia="SimSun"/>
                <w:b w:val="0"/>
                <w:sz w:val="21"/>
              </w:rPr>
              <w:t>0.0116</w:t>
            </w:r>
          </w:p>
        </w:tc>
        <w:tc>
          <w:tcPr>
            <w:tcW w:type="dxa" w:w="665"/>
          </w:tcPr>
          <w:p>
            <w:r>
              <w:rPr>
                <w:rFonts w:ascii="Times New Roman" w:hAnsi="Times New Roman" w:eastAsia="SimSun"/>
                <w:b w:val="0"/>
                <w:sz w:val="21"/>
              </w:rPr>
              <w:t>25.4767</w:t>
            </w:r>
          </w:p>
        </w:tc>
        <w:tc>
          <w:tcPr>
            <w:tcW w:type="dxa" w:w="665"/>
          </w:tcPr>
          <w:p>
            <w:r>
              <w:rPr>
                <w:rFonts w:ascii="Times New Roman" w:hAnsi="Times New Roman" w:eastAsia="SimSun"/>
                <w:b w:val="0"/>
                <w:sz w:val="21"/>
              </w:rPr>
              <w:t>0.0006</w:t>
            </w:r>
          </w:p>
        </w:tc>
        <w:tc>
          <w:tcPr>
            <w:tcW w:type="dxa" w:w="665"/>
          </w:tcPr>
          <w:p>
            <w:r>
              <w:rPr>
                <w:rFonts w:ascii="Times New Roman" w:hAnsi="Times New Roman" w:eastAsia="SimSun"/>
                <w:b w:val="0"/>
                <w:sz w:val="21"/>
              </w:rPr>
              <w:t>550.4203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47.9283</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45.8489</w:t>
            </w:r>
          </w:p>
        </w:tc>
        <w:tc>
          <w:tcPr>
            <w:tcW w:type="dxa" w:w="665"/>
          </w:tcPr>
          <w:p>
            <w:r>
              <w:rPr>
                <w:rFonts w:ascii="Times New Roman" w:hAnsi="Times New Roman" w:eastAsia="SimSun"/>
                <w:b w:val="0"/>
                <w:sz w:val="21"/>
              </w:rPr>
              <w:t>&lt;0.001</w:t>
            </w:r>
          </w:p>
        </w:tc>
      </w:tr>
      <w:tr>
        <w:tc>
          <w:tcPr>
            <w:tcW w:type="dxa" w:w="665"/>
          </w:tcPr>
          <w:p>
            <w:r>
              <w:rPr>
                <w:rFonts w:ascii="Times New Roman" w:hAnsi="Times New Roman" w:eastAsia="SimSun"/>
                <w:b w:val="0"/>
                <w:sz w:val="21"/>
              </w:rPr>
              <w:t>地理距离倒数矩阵</w:t>
            </w:r>
          </w:p>
        </w:tc>
        <w:tc>
          <w:tcPr>
            <w:tcW w:type="dxa" w:w="665"/>
          </w:tcPr>
          <w:p>
            <w:r>
              <w:rPr>
                <w:rFonts w:ascii="Times New Roman" w:hAnsi="Times New Roman" w:eastAsia="SimSun"/>
                <w:b w:val="0"/>
                <w:sz w:val="21"/>
              </w:rPr>
              <w:t>1.0217</w:t>
            </w:r>
          </w:p>
        </w:tc>
        <w:tc>
          <w:tcPr>
            <w:tcW w:type="dxa" w:w="665"/>
          </w:tcPr>
          <w:p>
            <w:r>
              <w:rPr>
                <w:rFonts w:ascii="Times New Roman" w:hAnsi="Times New Roman" w:eastAsia="SimSun"/>
                <w:b w:val="0"/>
                <w:sz w:val="21"/>
              </w:rPr>
              <w:t>0.3121</w:t>
            </w:r>
          </w:p>
        </w:tc>
        <w:tc>
          <w:tcPr>
            <w:tcW w:type="dxa" w:w="665"/>
          </w:tcPr>
          <w:p>
            <w:r>
              <w:rPr>
                <w:rFonts w:ascii="Times New Roman" w:hAnsi="Times New Roman" w:eastAsia="SimSun"/>
                <w:b w:val="0"/>
                <w:sz w:val="21"/>
              </w:rPr>
              <w:t>0.6949</w:t>
            </w:r>
          </w:p>
        </w:tc>
        <w:tc>
          <w:tcPr>
            <w:tcW w:type="dxa" w:w="665"/>
          </w:tcPr>
          <w:p>
            <w:r>
              <w:rPr>
                <w:rFonts w:ascii="Times New Roman" w:hAnsi="Times New Roman" w:eastAsia="SimSun"/>
                <w:b w:val="0"/>
                <w:sz w:val="21"/>
              </w:rPr>
              <w:t>0.4045</w:t>
            </w:r>
          </w:p>
        </w:tc>
        <w:tc>
          <w:tcPr>
            <w:tcW w:type="dxa" w:w="665"/>
          </w:tcPr>
          <w:p>
            <w:r>
              <w:rPr>
                <w:rFonts w:ascii="Times New Roman" w:hAnsi="Times New Roman" w:eastAsia="SimSun"/>
                <w:b w:val="0"/>
                <w:sz w:val="21"/>
              </w:rPr>
              <w:t>13.5282</w:t>
            </w:r>
          </w:p>
        </w:tc>
        <w:tc>
          <w:tcPr>
            <w:tcW w:type="dxa" w:w="665"/>
          </w:tcPr>
          <w:p>
            <w:r>
              <w:rPr>
                <w:rFonts w:ascii="Times New Roman" w:hAnsi="Times New Roman" w:eastAsia="SimSun"/>
                <w:b w:val="0"/>
                <w:sz w:val="21"/>
              </w:rPr>
              <w:t>0.0602</w:t>
            </w:r>
          </w:p>
        </w:tc>
        <w:tc>
          <w:tcPr>
            <w:tcW w:type="dxa" w:w="665"/>
          </w:tcPr>
          <w:p>
            <w:r>
              <w:rPr>
                <w:rFonts w:ascii="Times New Roman" w:hAnsi="Times New Roman" w:eastAsia="SimSun"/>
                <w:b w:val="0"/>
                <w:sz w:val="21"/>
              </w:rPr>
              <w:t>531.7204</w:t>
            </w:r>
          </w:p>
        </w:tc>
        <w:tc>
          <w:tcPr>
            <w:tcW w:type="dxa" w:w="665"/>
          </w:tcPr>
          <w:p>
            <w:r>
              <w:rPr>
                <w:rFonts w:ascii="Times New Roman" w:hAnsi="Times New Roman" w:eastAsia="SimSun"/>
                <w:b w:val="0"/>
                <w:sz w:val="21"/>
              </w:rPr>
              <w:t>&lt;0.001</w:t>
            </w:r>
          </w:p>
        </w:tc>
        <w:tc>
          <w:tcPr>
            <w:tcW w:type="dxa" w:w="665"/>
          </w:tcPr>
          <w:p>
            <w:r>
              <w:rPr>
                <w:rFonts w:ascii="Times New Roman" w:hAnsi="Times New Roman" w:eastAsia="SimSun"/>
                <w:b w:val="0"/>
                <w:sz w:val="21"/>
              </w:rPr>
              <w:t>12.1854</w:t>
            </w:r>
          </w:p>
        </w:tc>
        <w:tc>
          <w:tcPr>
            <w:tcW w:type="dxa" w:w="665"/>
          </w:tcPr>
          <w:p>
            <w:r>
              <w:rPr>
                <w:rFonts w:ascii="Times New Roman" w:hAnsi="Times New Roman" w:eastAsia="SimSun"/>
                <w:b w:val="0"/>
                <w:sz w:val="21"/>
              </w:rPr>
              <w:t>0.0580</w:t>
            </w:r>
          </w:p>
        </w:tc>
        <w:tc>
          <w:tcPr>
            <w:tcW w:type="dxa" w:w="665"/>
          </w:tcPr>
          <w:p>
            <w:r>
              <w:rPr>
                <w:rFonts w:ascii="Times New Roman" w:hAnsi="Times New Roman" w:eastAsia="SimSun"/>
                <w:b w:val="0"/>
                <w:sz w:val="21"/>
              </w:rPr>
              <w:t>11.4407</w:t>
            </w:r>
          </w:p>
        </w:tc>
        <w:tc>
          <w:tcPr>
            <w:tcW w:type="dxa" w:w="665"/>
          </w:tcPr>
          <w:p>
            <w:r>
              <w:rPr>
                <w:rFonts w:ascii="Times New Roman" w:hAnsi="Times New Roman" w:eastAsia="SimSun"/>
                <w:b w:val="0"/>
                <w:sz w:val="21"/>
              </w:rPr>
              <w:t>0.0757</w:t>
            </w:r>
          </w:p>
        </w:tc>
      </w:tr>
    </w:tbl>
    <w:p>
      <w:pPr/>
      <w:r>
        <w:rPr>
          <w:rFonts w:ascii="Times New Roman" w:hAnsi="Times New Roman" w:eastAsia="SimSun"/>
          <w:b w:val="0"/>
          <w:sz w:val="21"/>
        </w:rPr>
        <w:t>为保持正文主线简洁，空间模型选择、固定效应识别和模型退化检验的详细结果置于附录表D1。表中同时报告不同空间权重矩阵下的 LM / Robust LM、LR 以及 Wald 统计量，以说明本文为何最终采用经济距离倒数矩阵下的双向固定效应空间杜宾模型。</w:t>
      </w:r>
    </w:p>
    <w:p>
      <w:pPr>
        <w:pStyle w:val="5"/>
      </w:pPr>
      <w:r>
        <w:rPr>
          <w:rFonts w:ascii="Times New Roman" w:hAnsi="Times New Roman" w:eastAsia="SimSun"/>
          <w:b w:val="0"/>
          <w:sz w:val="21"/>
        </w:rPr>
        <w:t>D5 空间模型选择与权重矩阵检验</w:t>
      </w:r>
    </w:p>
    <w:p>
      <w:pPr/>
      <w:r>
        <w:rPr>
          <w:rFonts w:ascii="Times New Roman" w:hAnsi="Times New Roman" w:eastAsia="SimSun"/>
          <w:b w:val="0"/>
          <w:sz w:val="21"/>
        </w:rPr>
        <w:t>表D1显示，在四类空间权重矩阵中，经济距离倒数矩阵的 LM Error 与 Robust LM Error 分别为 8.4609 和 6.3649，均通过显著性检验；同时，其“both vs ind”LR 检验和两类 Wald 检验也最为稳健。由此可见，样本中的空间相关性主要沿经济联系网络传导，采用经济距离倒数矩阵下的双向固定效应 SDM 更符合数据特征与研究设定。</w:t>
      </w:r>
    </w:p>
    <w:p>
      <w:pPr/>
      <w:r>
        <w:rPr>
          <w:rFonts w:ascii="Times New Roman" w:hAnsi="Times New Roman" w:eastAsia="SimSun"/>
          <w:b w:val="0"/>
          <w:sz w:val="21"/>
        </w:rPr>
        <w:t>表D2表明，只要空间权重矩阵能够较好刻画跨省经济联系，夜间灯光强度的正向空间外部性总体能够得到保留。其中，经济距离倒数矩阵下的间接效应和总效应最为稳健，滞后一期样本的对应结果也保持同方向显著；相比之下，纯邻接矩阵和纯地理距离矩阵下总效应不显著，说明该空间溢出更多体现为经济关联而非简单地理相邻。</w:t>
      </w:r>
    </w:p>
    <w:p w14:paraId="2B117840">
      <w:pPr>
        <w:pStyle w:val="3"/>
        <w:pageBreakBefore/>
        <w:spacing w:before="0" w:after="120" w:afterLines="50" w:line="480" w:lineRule="exact"/>
        <w:jc w:val="center"/>
        <w:rPr>
          <w:color w:val="auto"/>
          <w:sz w:val="28"/>
          <w:lang w:eastAsia="zh-CN"/>
        </w:rPr>
      </w:pPr>
      <w:bookmarkStart w:id="86" w:name="_Toc6405"/>
      <w:r>
        <w:rPr>
          <w:rFonts w:ascii="Times New Roman" w:hAnsi="Times New Roman" w:eastAsia="SimSun"/>
          <w:b w:val="0"/>
          <w:color w:val="auto"/>
          <w:sz w:val="21"/>
          <w:lang w:eastAsia="zh-CN"/>
        </w:rPr>
        <w:t>致谢</w:t>
      </w:r>
      <w:bookmarkEnd w:id="86"/>
    </w:p>
    <w:p w14:paraId="583EFBD3">
      <w:pPr>
        <w:ind w:firstLine="839"/>
        <w:jc w:val="both"/>
        <w:rPr>
          <w:lang w:eastAsia="zh-CN"/>
        </w:rPr>
      </w:pPr>
      <w:r>
        <w:rPr>
          <w:rFonts w:ascii="Times New Roman" w:hAnsi="Times New Roman" w:eastAsia="SimSun"/>
          <w:b w:val="0"/>
          <w:sz w:val="21"/>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pPr>
        <w:ind w:firstLine="839"/>
        <w:jc w:val="both"/>
        <w:rPr>
          <w:lang w:eastAsia="zh-CN"/>
        </w:rPr>
      </w:pPr>
      <w:r>
        <w:rPr>
          <w:rFonts w:ascii="Times New Roman" w:hAnsi="Times New Roman" w:eastAsia="SimSun"/>
          <w:b w:val="0"/>
          <w:sz w:val="21"/>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pPr>
        <w:ind w:firstLine="839"/>
        <w:jc w:val="both"/>
        <w:rPr>
          <w:lang w:eastAsia="zh-CN"/>
        </w:rPr>
      </w:pPr>
      <w:r>
        <w:rPr>
          <w:rFonts w:ascii="Times New Roman" w:hAnsi="Times New Roman" w:eastAsia="SimSun"/>
          <w:b w:val="0"/>
          <w:sz w:val="21"/>
          <w:lang w:eastAsia="zh-CN"/>
        </w:rPr>
        <w:t>此外，谨向在比赛准备和论文写作过程中给予我们支持与帮助的老师、同学表示诚挚谢意。</w:t>
      </w:r>
    </w:p>
    <w:sectPr>
      <w:footerReference r:id="rId6" w:type="first"/>
      <w:footerReference r:id="rId5" w:type="default"/>
      <w:pgSz w:w="12240" w:h="15840"/>
      <w:pgMar w:top="1440" w:right="1797" w:bottom="1440" w:left="1797" w:header="720" w:footer="720" w:gutter="0"/>
      <w:pgNumType w:start="1"/>
      <w:cols w:space="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BBF09B1B">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2086D">
    <w:pPr>
      <w:pStyle w:val="2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3F1D1">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703F1D1">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D1993">
    <w:pPr>
      <w:pStyle w:val="2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826F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C826F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17AAFB0"/>
    <w:multiLevelType w:val="singleLevel"/>
    <w:tmpl w:val="017AAFB0"/>
    <w:lvl w:ilvl="0" w:tentative="0">
      <w:start w:val="3"/>
      <w:numFmt w:val="chineseCounting"/>
      <w:suff w:val="space"/>
      <w:lvlText w:val="（%1）"/>
      <w:lvlJc w:val="left"/>
      <w:rPr>
        <w:rFonts w:hint="eastAsia"/>
      </w:rPr>
    </w:lvl>
  </w:abstractNum>
  <w:abstractNum w:abstractNumId="7">
    <w:nsid w:val="26B222F3"/>
    <w:multiLevelType w:val="multilevel"/>
    <w:tmpl w:val="26B222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99D"/>
    <w:rsid w:val="0000396D"/>
    <w:rsid w:val="00005CD2"/>
    <w:rsid w:val="00034616"/>
    <w:rsid w:val="0006063C"/>
    <w:rsid w:val="000A42D2"/>
    <w:rsid w:val="000B48C8"/>
    <w:rsid w:val="000B5BE1"/>
    <w:rsid w:val="000D27B9"/>
    <w:rsid w:val="000E2A76"/>
    <w:rsid w:val="000F7B2D"/>
    <w:rsid w:val="00107F16"/>
    <w:rsid w:val="00147393"/>
    <w:rsid w:val="0015074B"/>
    <w:rsid w:val="00173169"/>
    <w:rsid w:val="00187F75"/>
    <w:rsid w:val="001C1342"/>
    <w:rsid w:val="001C5D60"/>
    <w:rsid w:val="00204B62"/>
    <w:rsid w:val="00205702"/>
    <w:rsid w:val="00234FB1"/>
    <w:rsid w:val="0029639D"/>
    <w:rsid w:val="002A0EC1"/>
    <w:rsid w:val="002B5854"/>
    <w:rsid w:val="002E4560"/>
    <w:rsid w:val="002F0884"/>
    <w:rsid w:val="00306CD1"/>
    <w:rsid w:val="00326F90"/>
    <w:rsid w:val="00350533"/>
    <w:rsid w:val="00366A04"/>
    <w:rsid w:val="00385B3E"/>
    <w:rsid w:val="004511DB"/>
    <w:rsid w:val="00474696"/>
    <w:rsid w:val="004C5DEF"/>
    <w:rsid w:val="004F054D"/>
    <w:rsid w:val="004F7A17"/>
    <w:rsid w:val="00503DCA"/>
    <w:rsid w:val="00555C29"/>
    <w:rsid w:val="00563086"/>
    <w:rsid w:val="0057597C"/>
    <w:rsid w:val="00594AFF"/>
    <w:rsid w:val="00596F79"/>
    <w:rsid w:val="00621AB8"/>
    <w:rsid w:val="00672E69"/>
    <w:rsid w:val="006A4122"/>
    <w:rsid w:val="006B1A39"/>
    <w:rsid w:val="006D5F54"/>
    <w:rsid w:val="007268CF"/>
    <w:rsid w:val="00753916"/>
    <w:rsid w:val="007613C4"/>
    <w:rsid w:val="00772AE4"/>
    <w:rsid w:val="007A0949"/>
    <w:rsid w:val="007A5AAE"/>
    <w:rsid w:val="007C0680"/>
    <w:rsid w:val="007C1562"/>
    <w:rsid w:val="007C2389"/>
    <w:rsid w:val="008144C5"/>
    <w:rsid w:val="00830A8F"/>
    <w:rsid w:val="00863295"/>
    <w:rsid w:val="0087439F"/>
    <w:rsid w:val="008D5E47"/>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11374"/>
    <w:rsid w:val="00B147A0"/>
    <w:rsid w:val="00B47730"/>
    <w:rsid w:val="00B67F58"/>
    <w:rsid w:val="00B84757"/>
    <w:rsid w:val="00B84E09"/>
    <w:rsid w:val="00BA25F1"/>
    <w:rsid w:val="00C35DD7"/>
    <w:rsid w:val="00C775D2"/>
    <w:rsid w:val="00CB0664"/>
    <w:rsid w:val="00CB380C"/>
    <w:rsid w:val="00D11543"/>
    <w:rsid w:val="00D20D93"/>
    <w:rsid w:val="00D45198"/>
    <w:rsid w:val="00D52139"/>
    <w:rsid w:val="00DF53C9"/>
    <w:rsid w:val="00E11FF5"/>
    <w:rsid w:val="00E14788"/>
    <w:rsid w:val="00E804D9"/>
    <w:rsid w:val="00E81D15"/>
    <w:rsid w:val="00EB5E7C"/>
    <w:rsid w:val="00EE5FCC"/>
    <w:rsid w:val="00F5534C"/>
    <w:rsid w:val="00F76A63"/>
    <w:rsid w:val="00FC693F"/>
    <w:rsid w:val="03BE7AAE"/>
    <w:rsid w:val="0B44010B"/>
    <w:rsid w:val="0D7A2C98"/>
    <w:rsid w:val="0E4F7C80"/>
    <w:rsid w:val="12FE3A23"/>
    <w:rsid w:val="13857CA0"/>
    <w:rsid w:val="14DA401C"/>
    <w:rsid w:val="15AC7932"/>
    <w:rsid w:val="1D29223A"/>
    <w:rsid w:val="1D490663"/>
    <w:rsid w:val="25D30D3F"/>
    <w:rsid w:val="27475541"/>
    <w:rsid w:val="27DD7C53"/>
    <w:rsid w:val="28221B0A"/>
    <w:rsid w:val="28CF1C92"/>
    <w:rsid w:val="2C062248"/>
    <w:rsid w:val="3273368E"/>
    <w:rsid w:val="355157DD"/>
    <w:rsid w:val="38EA21D0"/>
    <w:rsid w:val="396E4C10"/>
    <w:rsid w:val="3BFC52F7"/>
    <w:rsid w:val="40102492"/>
    <w:rsid w:val="413218AC"/>
    <w:rsid w:val="42075BA1"/>
    <w:rsid w:val="45E32481"/>
    <w:rsid w:val="4624093F"/>
    <w:rsid w:val="4A436561"/>
    <w:rsid w:val="4D0478AD"/>
    <w:rsid w:val="506D5769"/>
    <w:rsid w:val="53B303F3"/>
    <w:rsid w:val="546D5D37"/>
    <w:rsid w:val="549E05E6"/>
    <w:rsid w:val="5B0D2022"/>
    <w:rsid w:val="5F311EB7"/>
    <w:rsid w:val="6074044E"/>
    <w:rsid w:val="625B18C5"/>
    <w:rsid w:val="62F15D85"/>
    <w:rsid w:val="65DA224B"/>
    <w:rsid w:val="69AA4EE0"/>
    <w:rsid w:val="6D6D6950"/>
    <w:rsid w:val="70F03A21"/>
    <w:rsid w:val="71237A52"/>
    <w:rsid w:val="759251A6"/>
    <w:rsid w:val="75A86F24"/>
    <w:rsid w:val="768A0573"/>
    <w:rsid w:val="79295CAB"/>
    <w:rsid w:val="7B9A1E51"/>
    <w:rsid w:val="7BFA33E6"/>
    <w:rsid w:val="7C653614"/>
    <w:rsid w:val="7E5F3B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7"/>
    <w:qFormat/>
    <w:uiPriority w:val="9"/>
    <w:pPr>
      <w:keepNext/>
      <w:keepLines/>
      <w:spacing w:before="480" w:after="0"/>
      <w:outlineLvl w:val="0"/>
    </w:pPr>
    <w:rPr>
      <w:rFonts w:eastAsia="黑体" w:cstheme="majorBidi"/>
      <w:b/>
      <w:bCs/>
      <w:color w:val="000000" w:themeColor="text1"/>
      <w:sz w:val="30"/>
      <w:szCs w:val="28"/>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eastAsia="楷体" w:cstheme="majorBidi"/>
      <w:b/>
      <w:bCs/>
      <w:color w:val="000000" w:themeColor="text1"/>
      <w:sz w:val="28"/>
      <w:szCs w:val="26"/>
      <w14:textFill>
        <w14:solidFill>
          <w14:schemeClr w14:val="tx1"/>
        </w14:solidFill>
      </w14:textFill>
    </w:rPr>
  </w:style>
  <w:style w:type="paragraph" w:styleId="5">
    <w:name w:val="heading 3"/>
    <w:basedOn w:val="1"/>
    <w:next w:val="1"/>
    <w:link w:val="149"/>
    <w:unhideWhenUsed/>
    <w:qFormat/>
    <w:uiPriority w:val="9"/>
    <w:pPr>
      <w:keepNext/>
      <w:keepLines/>
      <w:spacing w:before="200" w:after="0"/>
      <w:outlineLvl w:val="2"/>
    </w:pPr>
    <w:rPr>
      <w:rFonts w:cstheme="majorBidi"/>
      <w:b/>
      <w:bCs/>
      <w:color w:val="000000" w:themeColor="text1"/>
      <w14:textFill>
        <w14:solidFill>
          <w14:schemeClr w14:val="tx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9">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macro"/>
    <w:link w:val="15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480" w:lineRule="exact"/>
      <w:jc w:val="center"/>
    </w:pPr>
    <w:rPr>
      <w:bCs/>
      <w:color w:val="000000" w:themeColor="text1"/>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8"/>
    <w:unhideWhenUsed/>
    <w:qFormat/>
    <w:uiPriority w:val="99"/>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3"/>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5"/>
    <w:unhideWhenUsed/>
    <w:qFormat/>
    <w:uiPriority w:val="99"/>
    <w:pPr>
      <w:tabs>
        <w:tab w:val="center" w:pos="4680"/>
        <w:tab w:val="right" w:pos="9360"/>
      </w:tabs>
      <w:spacing w:after="0" w:line="240" w:lineRule="auto"/>
    </w:pPr>
  </w:style>
  <w:style w:type="paragraph" w:styleId="27">
    <w:name w:val="header"/>
    <w:basedOn w:val="1"/>
    <w:link w:val="144"/>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style>
  <w:style w:type="paragraph" w:styleId="29">
    <w:name w:val="Subtitle"/>
    <w:basedOn w:val="1"/>
    <w:next w:val="1"/>
    <w:link w:val="151"/>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able of figures"/>
    <w:basedOn w:val="1"/>
    <w:next w:val="1"/>
    <w:unhideWhenUsed/>
    <w:qFormat/>
    <w:uiPriority w:val="99"/>
    <w:pPr>
      <w:ind w:left="200" w:leftChars="200" w:hanging="200" w:hangingChars="200"/>
    </w:pPr>
  </w:style>
  <w:style w:type="paragraph" w:styleId="32">
    <w:name w:val="toc 2"/>
    <w:basedOn w:val="1"/>
    <w:next w:val="1"/>
    <w:autoRedefine/>
    <w:unhideWhenUsed/>
    <w:qFormat/>
    <w:uiPriority w:val="39"/>
    <w:pPr>
      <w:ind w:left="420" w:leftChars="200"/>
    </w:pPr>
  </w:style>
  <w:style w:type="paragraph" w:styleId="33">
    <w:name w:val="Body Text 2"/>
    <w:basedOn w:val="1"/>
    <w:link w:val="154"/>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qFormat/>
    <w:uiPriority w:val="99"/>
    <w:pPr>
      <w:spacing w:beforeAutospacing="1" w:after="0" w:afterAutospacing="1"/>
    </w:pPr>
    <w:rPr>
      <w:rFonts w:cs="Times New Roman"/>
      <w:lang w:eastAsia="zh-CN"/>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annotation subject"/>
    <w:basedOn w:val="17"/>
    <w:next w:val="17"/>
    <w:link w:val="179"/>
    <w:semiHidden/>
    <w:unhideWhenUsed/>
    <w:qFormat/>
    <w:uiPriority w:val="99"/>
    <w:rPr>
      <w:b/>
      <w:bCs/>
    </w:rPr>
  </w:style>
  <w:style w:type="table" w:styleId="40">
    <w:name w:val="Table Grid"/>
    <w:basedOn w:val="3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0">
    <w:name w:val="Strong"/>
    <w:basedOn w:val="139"/>
    <w:qFormat/>
    <w:uiPriority w:val="22"/>
    <w:rPr>
      <w:b/>
      <w:bCs/>
    </w:rPr>
  </w:style>
  <w:style w:type="character" w:styleId="141">
    <w:name w:val="Emphasis"/>
    <w:basedOn w:val="139"/>
    <w:qFormat/>
    <w:uiPriority w:val="20"/>
    <w:rPr>
      <w:i/>
      <w:iCs/>
    </w:rPr>
  </w:style>
  <w:style w:type="character" w:styleId="142">
    <w:name w:val="Hyperlink"/>
    <w:basedOn w:val="139"/>
    <w:unhideWhenUsed/>
    <w:qFormat/>
    <w:uiPriority w:val="99"/>
    <w:rPr>
      <w:color w:val="0000FF" w:themeColor="hyperlink"/>
      <w:u w:val="single"/>
      <w14:textFill>
        <w14:solidFill>
          <w14:schemeClr w14:val="hlink"/>
        </w14:solidFill>
      </w14:textFill>
    </w:rPr>
  </w:style>
  <w:style w:type="character" w:styleId="143">
    <w:name w:val="annotation reference"/>
    <w:basedOn w:val="139"/>
    <w:semiHidden/>
    <w:unhideWhenUsed/>
    <w:uiPriority w:val="99"/>
    <w:rPr>
      <w:sz w:val="21"/>
      <w:szCs w:val="21"/>
    </w:rPr>
  </w:style>
  <w:style w:type="character" w:customStyle="1" w:styleId="144">
    <w:name w:val="页眉 字符"/>
    <w:basedOn w:val="139"/>
    <w:link w:val="27"/>
    <w:qFormat/>
    <w:uiPriority w:val="99"/>
  </w:style>
  <w:style w:type="character" w:customStyle="1" w:styleId="145">
    <w:name w:val="页脚 字符"/>
    <w:basedOn w:val="139"/>
    <w:link w:val="26"/>
    <w:qFormat/>
    <w:uiPriority w:val="99"/>
  </w:style>
  <w:style w:type="paragraph" w:styleId="146">
    <w:name w:val="No Spacing"/>
    <w:qFormat/>
    <w:uiPriority w:val="1"/>
    <w:rPr>
      <w:rFonts w:asciiTheme="minorHAnsi" w:hAnsiTheme="minorHAnsi" w:eastAsiaTheme="minorEastAsia" w:cstheme="minorBidi"/>
      <w:sz w:val="22"/>
      <w:szCs w:val="22"/>
      <w:lang w:val="en-US" w:eastAsia="en-US" w:bidi="ar-SA"/>
    </w:rPr>
  </w:style>
  <w:style w:type="character" w:customStyle="1" w:styleId="147">
    <w:name w:val="标题 1 字符"/>
    <w:basedOn w:val="139"/>
    <w:link w:val="3"/>
    <w:qFormat/>
    <w:uiPriority w:val="9"/>
    <w:rPr>
      <w:rFonts w:ascii="Times New Roman" w:hAnsi="Times New Roman" w:eastAsia="黑体" w:cstheme="majorBidi"/>
      <w:b/>
      <w:bCs/>
      <w:color w:val="000000" w:themeColor="text1"/>
      <w:sz w:val="30"/>
      <w:szCs w:val="28"/>
      <w14:textFill>
        <w14:solidFill>
          <w14:schemeClr w14:val="tx1"/>
        </w14:solidFill>
      </w14:textFill>
    </w:rPr>
  </w:style>
  <w:style w:type="character" w:customStyle="1" w:styleId="148">
    <w:name w:val="标题 2 字符"/>
    <w:basedOn w:val="139"/>
    <w:link w:val="4"/>
    <w:qFormat/>
    <w:uiPriority w:val="9"/>
    <w:rPr>
      <w:rFonts w:ascii="Times New Roman" w:hAnsi="Times New Roman" w:eastAsia="楷体" w:cstheme="majorBidi"/>
      <w:b/>
      <w:bCs/>
      <w:color w:val="000000" w:themeColor="text1"/>
      <w:sz w:val="26"/>
      <w:szCs w:val="26"/>
      <w14:textFill>
        <w14:solidFill>
          <w14:schemeClr w14:val="tx1"/>
        </w14:solidFill>
      </w14:textFill>
    </w:rPr>
  </w:style>
  <w:style w:type="character" w:customStyle="1" w:styleId="149">
    <w:name w:val="标题 3 字符"/>
    <w:basedOn w:val="139"/>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50">
    <w:name w:val="标题 字符"/>
    <w:basedOn w:val="139"/>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39"/>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39"/>
    <w:link w:val="20"/>
    <w:qFormat/>
    <w:uiPriority w:val="99"/>
  </w:style>
  <w:style w:type="character" w:customStyle="1" w:styleId="154">
    <w:name w:val="正文文本 2 字符"/>
    <w:basedOn w:val="139"/>
    <w:link w:val="33"/>
    <w:qFormat/>
    <w:uiPriority w:val="99"/>
  </w:style>
  <w:style w:type="character" w:customStyle="1" w:styleId="155">
    <w:name w:val="正文文本 3 字符"/>
    <w:basedOn w:val="139"/>
    <w:link w:val="18"/>
    <w:qFormat/>
    <w:uiPriority w:val="99"/>
    <w:rPr>
      <w:sz w:val="16"/>
      <w:szCs w:val="16"/>
    </w:rPr>
  </w:style>
  <w:style w:type="character" w:customStyle="1" w:styleId="156">
    <w:name w:val="宏文本 字符"/>
    <w:basedOn w:val="139"/>
    <w:link w:val="2"/>
    <w:qFormat/>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39"/>
    <w:link w:val="157"/>
    <w:qFormat/>
    <w:uiPriority w:val="29"/>
    <w:rPr>
      <w:i/>
      <w:iCs/>
      <w:color w:val="000000" w:themeColor="text1"/>
      <w14:textFill>
        <w14:solidFill>
          <w14:schemeClr w14:val="tx1"/>
        </w14:solidFill>
      </w14:textFill>
    </w:rPr>
  </w:style>
  <w:style w:type="character" w:customStyle="1" w:styleId="159">
    <w:name w:val="标题 4 字符"/>
    <w:basedOn w:val="13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39"/>
    <w:link w:val="7"/>
    <w:semiHidden/>
    <w:qFormat/>
    <w:uiPriority w:val="9"/>
    <w:rPr>
      <w:rFonts w:asciiTheme="majorHAnsi" w:hAnsiTheme="majorHAnsi" w:eastAsiaTheme="majorEastAsia" w:cstheme="majorBidi"/>
      <w:color w:val="254061" w:themeColor="accent1" w:themeShade="80"/>
    </w:rPr>
  </w:style>
  <w:style w:type="character" w:customStyle="1" w:styleId="161">
    <w:name w:val="标题 6 字符"/>
    <w:basedOn w:val="139"/>
    <w:link w:val="8"/>
    <w:semiHidden/>
    <w:qFormat/>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3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3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3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39"/>
    <w:link w:val="165"/>
    <w:qFormat/>
    <w:uiPriority w:val="30"/>
    <w:rPr>
      <w:b/>
      <w:bCs/>
      <w:i/>
      <w:iCs/>
      <w:color w:val="4F81BD" w:themeColor="accent1"/>
      <w14:textFill>
        <w14:solidFill>
          <w14:schemeClr w14:val="accent1"/>
        </w14:solidFill>
      </w14:textFill>
    </w:rPr>
  </w:style>
  <w:style w:type="character" w:customStyle="1" w:styleId="167">
    <w:name w:val="不明显强调1"/>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明显强调1"/>
    <w:basedOn w:val="139"/>
    <w:qFormat/>
    <w:uiPriority w:val="21"/>
    <w:rPr>
      <w:b/>
      <w:bCs/>
      <w:i/>
      <w:iCs/>
      <w:color w:val="4F81BD" w:themeColor="accent1"/>
      <w14:textFill>
        <w14:solidFill>
          <w14:schemeClr w14:val="accent1"/>
        </w14:solidFill>
      </w14:textFill>
    </w:rPr>
  </w:style>
  <w:style w:type="character" w:customStyle="1" w:styleId="169">
    <w:name w:val="不明显参考1"/>
    <w:basedOn w:val="139"/>
    <w:qFormat/>
    <w:uiPriority w:val="31"/>
    <w:rPr>
      <w:smallCaps/>
      <w:color w:val="C0504D" w:themeColor="accent2"/>
      <w:u w:val="single"/>
      <w14:textFill>
        <w14:solidFill>
          <w14:schemeClr w14:val="accent2"/>
        </w14:solidFill>
      </w14:textFill>
    </w:rPr>
  </w:style>
  <w:style w:type="character" w:customStyle="1" w:styleId="170">
    <w:name w:val="明显参考1"/>
    <w:basedOn w:val="139"/>
    <w:qFormat/>
    <w:uiPriority w:val="32"/>
    <w:rPr>
      <w:b/>
      <w:bCs/>
      <w:smallCaps/>
      <w:color w:val="C0504D" w:themeColor="accent2"/>
      <w:spacing w:val="5"/>
      <w:u w:val="single"/>
      <w14:textFill>
        <w14:solidFill>
          <w14:schemeClr w14:val="accent2"/>
        </w14:solidFill>
      </w14:textFill>
    </w:rPr>
  </w:style>
  <w:style w:type="character" w:customStyle="1" w:styleId="171">
    <w:name w:val="书籍标题1"/>
    <w:basedOn w:val="139"/>
    <w:qFormat/>
    <w:uiPriority w:val="33"/>
    <w:rPr>
      <w:b/>
      <w:bCs/>
      <w:smallCaps/>
      <w:spacing w:val="5"/>
    </w:rPr>
  </w:style>
  <w:style w:type="paragraph" w:customStyle="1" w:styleId="172">
    <w:name w:val="TOC 标题1"/>
    <w:basedOn w:val="3"/>
    <w:next w:val="1"/>
    <w:semiHidden/>
    <w:unhideWhenUsed/>
    <w:qFormat/>
    <w:uiPriority w:val="39"/>
    <w:pPr>
      <w:outlineLvl w:val="9"/>
    </w:pPr>
  </w:style>
  <w:style w:type="paragraph" w:customStyle="1" w:styleId="173">
    <w:name w:val="图目录111"/>
    <w:basedOn w:val="1"/>
    <w:qFormat/>
    <w:uiPriority w:val="0"/>
    <w:pPr>
      <w:jc w:val="center"/>
    </w:pPr>
    <w:rPr>
      <w:lang w:eastAsia="zh-CN"/>
    </w:rPr>
  </w:style>
  <w:style w:type="paragraph" w:customStyle="1" w:styleId="174">
    <w:name w:val="表目录111"/>
    <w:basedOn w:val="1"/>
    <w:qFormat/>
    <w:uiPriority w:val="0"/>
    <w:pPr>
      <w:jc w:val="center"/>
    </w:pPr>
    <w:rPr>
      <w:lang w:eastAsia="zh-CN"/>
    </w:rPr>
  </w:style>
  <w:style w:type="character" w:customStyle="1" w:styleId="175">
    <w:name w:val="font61"/>
    <w:basedOn w:val="139"/>
    <w:qFormat/>
    <w:uiPriority w:val="0"/>
    <w:rPr>
      <w:rFonts w:hint="eastAsia" w:ascii="宋体" w:hAnsi="宋体" w:eastAsia="宋体" w:cs="宋体"/>
      <w:b/>
      <w:bCs/>
      <w:color w:val="000000"/>
      <w:sz w:val="24"/>
      <w:szCs w:val="24"/>
      <w:u w:val="none"/>
    </w:rPr>
  </w:style>
  <w:style w:type="character" w:customStyle="1" w:styleId="176">
    <w:name w:val="font11"/>
    <w:basedOn w:val="139"/>
    <w:qFormat/>
    <w:uiPriority w:val="0"/>
    <w:rPr>
      <w:rFonts w:hint="default" w:ascii="Times New Roman" w:hAnsi="Times New Roman" w:cs="Times New Roman"/>
      <w:b/>
      <w:bCs/>
      <w:color w:val="000000"/>
      <w:sz w:val="24"/>
      <w:szCs w:val="24"/>
      <w:u w:val="none"/>
    </w:rPr>
  </w:style>
  <w:style w:type="paragraph" w:customStyle="1" w:styleId="177">
    <w:name w:val="公式"/>
    <w:basedOn w:val="1"/>
    <w:qFormat/>
    <w:uiPriority w:val="0"/>
    <w:pPr>
      <w:spacing w:after="120"/>
      <w:jc w:val="center"/>
    </w:pPr>
    <w:rPr>
      <w:sz w:val="22"/>
    </w:rPr>
  </w:style>
  <w:style w:type="character" w:customStyle="1" w:styleId="178">
    <w:name w:val="批注文字 字符"/>
    <w:basedOn w:val="139"/>
    <w:link w:val="17"/>
    <w:qFormat/>
    <w:uiPriority w:val="99"/>
    <w:rPr>
      <w:rFonts w:cstheme="minorBidi"/>
      <w:sz w:val="24"/>
      <w:szCs w:val="22"/>
      <w:lang w:eastAsia="en-US"/>
    </w:rPr>
  </w:style>
  <w:style w:type="character" w:customStyle="1" w:styleId="179">
    <w:name w:val="批注主题 字符"/>
    <w:basedOn w:val="178"/>
    <w:link w:val="38"/>
    <w:semiHidden/>
    <w:qFormat/>
    <w:uiPriority w:val="99"/>
    <w:rPr>
      <w:rFonts w:cstheme="minorBidi"/>
      <w:b/>
      <w:bCs/>
      <w:sz w:val="24"/>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9508</Words>
  <Characters>12607</Characters>
  <Lines>235</Lines>
  <Paragraphs>66</Paragraphs>
  <TotalTime>0</TotalTime>
  <ScaleCrop>false</ScaleCrop>
  <LinksUpToDate>false</LinksUpToDate>
  <CharactersWithSpaces>13242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2026-05-07T17:27:00Z</dcterms:created>
  <dc:creator>python-docx</dc:creator>
  <dc:description>generated by python-docx</dc:description>
  <cp:lastModifiedBy>WPS_1602242958</cp:lastModifiedBy>
  <dcterms:modified xsi:type="dcterms:W3CDTF">2026-05-08T08:15:31Z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9FA3D1FA460F4F4B9139B3F388C736DD_13</vt:lpwstr>
  </property>
</Properties>
</file>