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49D46">
      <w:pPr>
        <w:spacing w:line="600" w:lineRule="exact"/>
        <w:ind w:right="-94"/>
        <w:rPr>
          <w:rFonts w:ascii="黑体" w:hAnsi="黑体" w:eastAsia="黑体"/>
          <w:sz w:val="32"/>
          <w:szCs w:val="32"/>
          <w:lang w:eastAsia="zh-CN"/>
        </w:rPr>
      </w:pPr>
      <w:r>
        <w:rPr>
          <w:rFonts w:hint="eastAsia" w:ascii="黑体" w:hAnsi="黑体" w:eastAsia="黑体"/>
          <w:sz w:val="32"/>
          <w:szCs w:val="32"/>
          <w:lang w:eastAsia="zh-CN"/>
        </w:rPr>
        <w:t>作品编号：TJJM20260419281026</w:t>
      </w:r>
    </w:p>
    <w:p w14:paraId="39D2721A">
      <w:pPr>
        <w:spacing w:after="0" w:line="600" w:lineRule="exact"/>
        <w:ind w:right="-96"/>
        <w:rPr>
          <w:rFonts w:ascii="黑体" w:hAnsi="黑体" w:eastAsia="黑体"/>
          <w:szCs w:val="24"/>
          <w:lang w:eastAsia="zh-CN"/>
        </w:rPr>
      </w:pPr>
    </w:p>
    <w:p w14:paraId="597029F5">
      <w:pPr>
        <w:spacing w:after="0" w:line="600" w:lineRule="exact"/>
        <w:ind w:right="-96"/>
        <w:rPr>
          <w:rFonts w:ascii="黑体" w:hAnsi="黑体" w:eastAsia="黑体"/>
          <w:szCs w:val="24"/>
          <w:lang w:val="en" w:eastAsia="zh-CN"/>
        </w:rPr>
      </w:pPr>
    </w:p>
    <w:p w14:paraId="3F068607">
      <w:pPr>
        <w:spacing w:after="0" w:line="600" w:lineRule="exact"/>
        <w:ind w:right="-96"/>
        <w:rPr>
          <w:rFonts w:ascii="黑体" w:hAnsi="黑体" w:eastAsia="黑体"/>
          <w:szCs w:val="24"/>
          <w:lang w:val="en" w:eastAsia="zh-CN"/>
        </w:rPr>
      </w:pPr>
    </w:p>
    <w:p w14:paraId="78509534">
      <w:pPr>
        <w:spacing w:line="20" w:lineRule="atLeast"/>
        <w:rPr>
          <w:rFonts w:ascii="方正小标宋简体" w:hAnsi="等线" w:eastAsia="方正小标宋简体" w:cs="方正小标宋_GBK"/>
          <w:w w:val="95"/>
          <w:sz w:val="44"/>
          <w:szCs w:val="44"/>
          <w:lang w:eastAsia="zh-CN" w:bidi="ar"/>
        </w:rPr>
      </w:pPr>
      <w:r>
        <w:rPr>
          <w:rFonts w:hint="eastAsia" w:ascii="方正小标宋简体" w:hAnsi="等线" w:eastAsia="方正小标宋简体" w:cs="方正小标宋_GBK"/>
          <w:w w:val="95"/>
          <w:sz w:val="44"/>
          <w:szCs w:val="44"/>
          <w:lang w:eastAsia="zh-CN" w:bidi="ar"/>
        </w:rPr>
        <w:t>2026年（第十二届）全国大学生统计建模大赛</w:t>
      </w:r>
    </w:p>
    <w:p w14:paraId="4678E3DA">
      <w:pPr>
        <w:spacing w:line="900" w:lineRule="atLeast"/>
        <w:jc w:val="center"/>
        <w:rPr>
          <w:rFonts w:ascii="方正小标宋简体" w:hAnsi="等线" w:eastAsia="方正小标宋简体" w:cs="方正小标宋_GBK"/>
          <w:sz w:val="52"/>
          <w:szCs w:val="52"/>
          <w:lang w:bidi="ar"/>
        </w:rPr>
      </w:pPr>
      <w:r>
        <w:rPr>
          <w:rFonts w:hint="eastAsia" w:ascii="方正小标宋简体" w:hAnsi="等线" w:eastAsia="方正小标宋简体" w:cs="方正小标宋_GBK"/>
          <w:sz w:val="52"/>
          <w:szCs w:val="52"/>
          <w:lang w:bidi="ar"/>
        </w:rPr>
        <w:t>参 赛 作 品</w:t>
      </w:r>
    </w:p>
    <w:p w14:paraId="26C9F4B1">
      <w:pPr>
        <w:spacing w:line="900" w:lineRule="atLeast"/>
        <w:jc w:val="both"/>
        <w:rPr>
          <w:rFonts w:ascii="方正小标宋简体" w:hAnsi="等线" w:eastAsia="方正小标宋简体" w:cs="方正小标宋_GBK"/>
          <w:sz w:val="52"/>
          <w:szCs w:val="52"/>
          <w:lang w:bidi="ar"/>
        </w:rPr>
      </w:pPr>
    </w:p>
    <w:tbl>
      <w:tblPr>
        <w:tblStyle w:val="40"/>
        <w:tblW w:w="4999" w:type="pct"/>
        <w:jc w:val="center"/>
        <w:tblLayout w:type="autofit"/>
        <w:tblCellMar>
          <w:top w:w="0" w:type="dxa"/>
          <w:left w:w="108" w:type="dxa"/>
          <w:bottom w:w="0" w:type="dxa"/>
          <w:right w:w="108" w:type="dxa"/>
        </w:tblCellMar>
      </w:tblPr>
      <w:tblGrid>
        <w:gridCol w:w="2213"/>
        <w:gridCol w:w="6647"/>
      </w:tblGrid>
      <w:tr w14:paraId="493A7BE8">
        <w:tblPrEx>
          <w:tblCellMar>
            <w:top w:w="0" w:type="dxa"/>
            <w:left w:w="108" w:type="dxa"/>
            <w:bottom w:w="0" w:type="dxa"/>
            <w:right w:w="108" w:type="dxa"/>
          </w:tblCellMar>
        </w:tblPrEx>
        <w:trPr>
          <w:trHeight w:val="1285" w:hRule="atLeast"/>
          <w:jc w:val="center"/>
        </w:trPr>
        <w:tc>
          <w:tcPr>
            <w:tcW w:w="1249" w:type="pct"/>
            <w:vAlign w:val="center"/>
          </w:tcPr>
          <w:p w14:paraId="2CBD039E">
            <w:pPr>
              <w:spacing w:line="240" w:lineRule="auto"/>
              <w:jc w:val="center"/>
              <w:textAlignment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1" w:type="pct"/>
            <w:tcBorders>
              <w:top w:val="nil"/>
              <w:left w:val="nil"/>
              <w:bottom w:val="single" w:color="auto" w:sz="12" w:space="0"/>
              <w:right w:val="nil"/>
            </w:tcBorders>
            <w:vAlign w:val="center"/>
          </w:tcPr>
          <w:p w14:paraId="6A408BA7">
            <w:pPr>
              <w:spacing w:line="240" w:lineRule="auto"/>
              <w:jc w:val="center"/>
              <w:textAlignment w:val="center"/>
              <w:rPr>
                <w:rFonts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110F65FE">
        <w:tblPrEx>
          <w:tblCellMar>
            <w:top w:w="0" w:type="dxa"/>
            <w:left w:w="108" w:type="dxa"/>
            <w:bottom w:w="0" w:type="dxa"/>
            <w:right w:w="108" w:type="dxa"/>
          </w:tblCellMar>
        </w:tblPrEx>
        <w:trPr>
          <w:trHeight w:val="1207" w:hRule="atLeast"/>
          <w:jc w:val="center"/>
        </w:trPr>
        <w:tc>
          <w:tcPr>
            <w:tcW w:w="1249" w:type="pct"/>
            <w:vAlign w:val="center"/>
          </w:tcPr>
          <w:p w14:paraId="63B03EE2">
            <w:pPr>
              <w:spacing w:line="240" w:lineRule="auto"/>
              <w:jc w:val="center"/>
              <w:textAlignment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1" w:type="pct"/>
            <w:tcBorders>
              <w:top w:val="single" w:color="auto" w:sz="12" w:space="0"/>
              <w:left w:val="nil"/>
              <w:bottom w:val="single" w:color="auto" w:sz="12" w:space="0"/>
              <w:right w:val="nil"/>
            </w:tcBorders>
            <w:vAlign w:val="center"/>
          </w:tcPr>
          <w:p w14:paraId="7B694881">
            <w:pPr>
              <w:spacing w:after="0" w:line="240" w:lineRule="auto"/>
              <w:jc w:val="center"/>
              <w:textAlignment w:val="center"/>
              <w:rPr>
                <w:rFonts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1CA8E060">
        <w:tblPrEx>
          <w:tblCellMar>
            <w:top w:w="0" w:type="dxa"/>
            <w:left w:w="108" w:type="dxa"/>
            <w:bottom w:w="0" w:type="dxa"/>
            <w:right w:w="108" w:type="dxa"/>
          </w:tblCellMar>
        </w:tblPrEx>
        <w:trPr>
          <w:trHeight w:val="1030" w:hRule="atLeast"/>
          <w:jc w:val="center"/>
        </w:trPr>
        <w:tc>
          <w:tcPr>
            <w:tcW w:w="1249" w:type="pct"/>
            <w:vAlign w:val="center"/>
          </w:tcPr>
          <w:p w14:paraId="16C86EC2">
            <w:pPr>
              <w:spacing w:line="240" w:lineRule="auto"/>
              <w:jc w:val="center"/>
              <w:textAlignment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1" w:type="pct"/>
            <w:tcBorders>
              <w:top w:val="single" w:color="auto" w:sz="12" w:space="0"/>
              <w:left w:val="nil"/>
              <w:bottom w:val="single" w:color="auto" w:sz="12" w:space="0"/>
              <w:right w:val="nil"/>
            </w:tcBorders>
            <w:vAlign w:val="center"/>
          </w:tcPr>
          <w:p w14:paraId="224DC5C5">
            <w:pPr>
              <w:spacing w:after="120" w:line="240" w:lineRule="auto"/>
              <w:jc w:val="center"/>
              <w:textAlignment w:val="center"/>
              <w:rPr>
                <w:rFonts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2538223E">
        <w:tblPrEx>
          <w:tblCellMar>
            <w:top w:w="0" w:type="dxa"/>
            <w:left w:w="108" w:type="dxa"/>
            <w:bottom w:w="0" w:type="dxa"/>
            <w:right w:w="108" w:type="dxa"/>
          </w:tblCellMar>
        </w:tblPrEx>
        <w:trPr>
          <w:trHeight w:val="1190" w:hRule="atLeast"/>
          <w:jc w:val="center"/>
        </w:trPr>
        <w:tc>
          <w:tcPr>
            <w:tcW w:w="1249" w:type="pct"/>
            <w:vAlign w:val="center"/>
          </w:tcPr>
          <w:p w14:paraId="15B47322">
            <w:pPr>
              <w:spacing w:line="240" w:lineRule="auto"/>
              <w:jc w:val="center"/>
              <w:textAlignment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1" w:type="pct"/>
            <w:tcBorders>
              <w:top w:val="single" w:color="auto" w:sz="12" w:space="0"/>
              <w:left w:val="nil"/>
              <w:bottom w:val="single" w:color="auto" w:sz="12" w:space="0"/>
              <w:right w:val="nil"/>
            </w:tcBorders>
            <w:vAlign w:val="center"/>
          </w:tcPr>
          <w:p w14:paraId="46B191EE">
            <w:pPr>
              <w:spacing w:after="120" w:line="240" w:lineRule="auto"/>
              <w:jc w:val="center"/>
              <w:textAlignment w:val="center"/>
              <w:rPr>
                <w:rFonts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758662A3">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3F82F74F">
      <w:pPr>
        <w:spacing w:line="480" w:lineRule="exact"/>
        <w:jc w:val="center"/>
        <w:rPr>
          <w:sz w:val="28"/>
          <w:szCs w:val="28"/>
        </w:rPr>
      </w:pPr>
      <w:r>
        <w:rPr>
          <w:rFonts w:eastAsia="黑体"/>
          <w:b/>
          <w:sz w:val="28"/>
          <w:szCs w:val="28"/>
        </w:rPr>
        <w:t>目 录</w:t>
      </w:r>
    </w:p>
    <w:p w14:paraId="1E56615A">
      <w:pPr>
        <w:pStyle w:val="29"/>
        <w:tabs>
          <w:tab w:val="right" w:leader="dot" w:pos="8646"/>
        </w:tabs>
      </w:pPr>
      <w:r>
        <w:rPr>
          <w:lang w:eastAsia="zh-CN"/>
        </w:rPr>
        <w:fldChar w:fldCharType="begin"/>
      </w:r>
      <w:r>
        <w:rPr>
          <w:lang w:eastAsia="zh-CN"/>
        </w:rPr>
        <w:instrText xml:space="preserve"> TOC \o "1-3" \h \z \u </w:instrText>
      </w:r>
      <w:r>
        <w:rPr>
          <w:lang w:eastAsia="zh-CN"/>
        </w:rPr>
        <w:fldChar w:fldCharType="separate"/>
      </w:r>
      <w:r>
        <w:fldChar w:fldCharType="begin"/>
      </w:r>
      <w:r>
        <w:instrText xml:space="preserve"> HYPERLINK \l "_Toc17149" </w:instrText>
      </w:r>
      <w:r>
        <w:fldChar w:fldCharType="separate"/>
      </w:r>
      <w:r>
        <w:rPr>
          <w:szCs w:val="30"/>
          <w:lang w:eastAsia="zh-CN"/>
        </w:rPr>
        <w:t>一、引言</w:t>
      </w:r>
      <w:r>
        <w:tab/>
      </w:r>
      <w:r>
        <w:fldChar w:fldCharType="begin"/>
      </w:r>
      <w:r>
        <w:instrText xml:space="preserve"> PAGEREF _Toc17149 \h </w:instrText>
      </w:r>
      <w:r>
        <w:fldChar w:fldCharType="separate"/>
      </w:r>
      <w:r>
        <w:t>1</w:t>
      </w:r>
      <w:r>
        <w:fldChar w:fldCharType="end"/>
      </w:r>
      <w:r>
        <w:fldChar w:fldCharType="end"/>
      </w:r>
    </w:p>
    <w:p w14:paraId="72E17064">
      <w:pPr>
        <w:pStyle w:val="33"/>
        <w:tabs>
          <w:tab w:val="right" w:leader="dot" w:pos="8646"/>
        </w:tabs>
        <w:ind w:left="480"/>
      </w:pPr>
      <w:r>
        <w:fldChar w:fldCharType="begin"/>
      </w:r>
      <w:r>
        <w:instrText xml:space="preserve"> HYPERLINK \l "_Toc12936" </w:instrText>
      </w:r>
      <w:r>
        <w:fldChar w:fldCharType="separate"/>
      </w:r>
      <w:r>
        <w:rPr>
          <w:rFonts w:ascii="楷体" w:hAnsi="楷体"/>
          <w:lang w:eastAsia="zh-CN"/>
        </w:rPr>
        <w:t>（一）研究背景与问题提出</w:t>
      </w:r>
      <w:r>
        <w:tab/>
      </w:r>
      <w:r>
        <w:fldChar w:fldCharType="begin"/>
      </w:r>
      <w:r>
        <w:instrText xml:space="preserve"> PAGEREF _Toc12936 \h </w:instrText>
      </w:r>
      <w:r>
        <w:fldChar w:fldCharType="separate"/>
      </w:r>
      <w:r>
        <w:t>1</w:t>
      </w:r>
      <w:r>
        <w:fldChar w:fldCharType="end"/>
      </w:r>
      <w:r>
        <w:fldChar w:fldCharType="end"/>
      </w:r>
    </w:p>
    <w:p w14:paraId="4DA19D18">
      <w:pPr>
        <w:pStyle w:val="33"/>
        <w:tabs>
          <w:tab w:val="right" w:leader="dot" w:pos="8646"/>
        </w:tabs>
        <w:ind w:left="480"/>
      </w:pPr>
      <w:r>
        <w:fldChar w:fldCharType="begin"/>
      </w:r>
      <w:r>
        <w:instrText xml:space="preserve"> HYPERLINK \l "_Toc3209" </w:instrText>
      </w:r>
      <w:r>
        <w:fldChar w:fldCharType="separate"/>
      </w:r>
      <w:r>
        <w:rPr>
          <w:rFonts w:ascii="楷体" w:hAnsi="楷体"/>
          <w:lang w:eastAsia="zh-CN"/>
        </w:rPr>
        <w:t>（二）研究问题与研究价值</w:t>
      </w:r>
      <w:r>
        <w:tab/>
      </w:r>
      <w:r>
        <w:fldChar w:fldCharType="begin"/>
      </w:r>
      <w:r>
        <w:instrText xml:space="preserve"> PAGEREF _Toc3209 \h </w:instrText>
      </w:r>
      <w:r>
        <w:fldChar w:fldCharType="separate"/>
      </w:r>
      <w:r>
        <w:t>1</w:t>
      </w:r>
      <w:r>
        <w:fldChar w:fldCharType="end"/>
      </w:r>
      <w:r>
        <w:fldChar w:fldCharType="end"/>
      </w:r>
    </w:p>
    <w:p w14:paraId="4C1489CB">
      <w:pPr>
        <w:pStyle w:val="33"/>
        <w:tabs>
          <w:tab w:val="right" w:leader="dot" w:pos="8646"/>
        </w:tabs>
        <w:ind w:left="480"/>
      </w:pPr>
      <w:r>
        <w:fldChar w:fldCharType="begin"/>
      </w:r>
      <w:r>
        <w:instrText xml:space="preserve"> HYPERLINK \l "_Toc20622" </w:instrText>
      </w:r>
      <w:r>
        <w:fldChar w:fldCharType="separate"/>
      </w:r>
      <w:r>
        <w:rPr>
          <w:rFonts w:ascii="楷体" w:hAnsi="楷体"/>
          <w:lang w:eastAsia="zh-CN"/>
        </w:rPr>
        <w:t>（三）研究思路与核心内容</w:t>
      </w:r>
      <w:r>
        <w:tab/>
      </w:r>
      <w:r>
        <w:fldChar w:fldCharType="begin"/>
      </w:r>
      <w:r>
        <w:instrText xml:space="preserve"> PAGEREF _Toc20622 \h </w:instrText>
      </w:r>
      <w:r>
        <w:fldChar w:fldCharType="separate"/>
      </w:r>
      <w:r>
        <w:t>1</w:t>
      </w:r>
      <w:r>
        <w:fldChar w:fldCharType="end"/>
      </w:r>
      <w:r>
        <w:fldChar w:fldCharType="end"/>
      </w:r>
    </w:p>
    <w:p w14:paraId="4AF7160C">
      <w:pPr>
        <w:pStyle w:val="33"/>
        <w:tabs>
          <w:tab w:val="right" w:leader="dot" w:pos="8646"/>
        </w:tabs>
        <w:ind w:left="480"/>
      </w:pPr>
      <w:r>
        <w:fldChar w:fldCharType="begin"/>
      </w:r>
      <w:r>
        <w:instrText xml:space="preserve"> HYPERLINK \l "_Toc27283" </w:instrText>
      </w:r>
      <w:r>
        <w:fldChar w:fldCharType="separate"/>
      </w:r>
      <w:r>
        <w:rPr>
          <w:rFonts w:ascii="楷体" w:hAnsi="楷体"/>
          <w:lang w:eastAsia="zh-CN"/>
        </w:rPr>
        <w:t>（四）可能的边际贡献</w:t>
      </w:r>
      <w:r>
        <w:tab/>
      </w:r>
      <w:r>
        <w:fldChar w:fldCharType="begin"/>
      </w:r>
      <w:r>
        <w:instrText xml:space="preserve"> PAGEREF _Toc27283 \h </w:instrText>
      </w:r>
      <w:r>
        <w:fldChar w:fldCharType="separate"/>
      </w:r>
      <w:r>
        <w:t>2</w:t>
      </w:r>
      <w:r>
        <w:fldChar w:fldCharType="end"/>
      </w:r>
      <w:r>
        <w:fldChar w:fldCharType="end"/>
      </w:r>
    </w:p>
    <w:p w14:paraId="0415BA62">
      <w:pPr>
        <w:pStyle w:val="29"/>
        <w:tabs>
          <w:tab w:val="right" w:leader="dot" w:pos="8646"/>
        </w:tabs>
      </w:pPr>
      <w:r>
        <w:fldChar w:fldCharType="begin"/>
      </w:r>
      <w:r>
        <w:instrText xml:space="preserve"> HYPERLINK \l "_Toc5559" </w:instrText>
      </w:r>
      <w:r>
        <w:fldChar w:fldCharType="separate"/>
      </w:r>
      <w:r>
        <w:rPr>
          <w:szCs w:val="30"/>
          <w:lang w:eastAsia="zh-CN"/>
        </w:rPr>
        <w:t>二、文献综述与理论分析</w:t>
      </w:r>
      <w:r>
        <w:tab/>
      </w:r>
      <w:r>
        <w:fldChar w:fldCharType="begin"/>
      </w:r>
      <w:r>
        <w:instrText xml:space="preserve"> PAGEREF _Toc5559 \h </w:instrText>
      </w:r>
      <w:r>
        <w:fldChar w:fldCharType="separate"/>
      </w:r>
      <w:r>
        <w:t>3</w:t>
      </w:r>
      <w:r>
        <w:fldChar w:fldCharType="end"/>
      </w:r>
      <w:r>
        <w:fldChar w:fldCharType="end"/>
      </w:r>
    </w:p>
    <w:p w14:paraId="509BE3EB">
      <w:pPr>
        <w:pStyle w:val="33"/>
        <w:tabs>
          <w:tab w:val="right" w:leader="dot" w:pos="8646"/>
        </w:tabs>
        <w:ind w:left="480"/>
      </w:pPr>
      <w:r>
        <w:fldChar w:fldCharType="begin"/>
      </w:r>
      <w:r>
        <w:instrText xml:space="preserve"> HYPERLINK \l "_Toc26210" </w:instrText>
      </w:r>
      <w:r>
        <w:fldChar w:fldCharType="separate"/>
      </w:r>
      <w:r>
        <w:rPr>
          <w:rFonts w:ascii="楷体" w:hAnsi="楷体"/>
          <w:lang w:eastAsia="zh-CN"/>
        </w:rPr>
        <w:t>（一）碳排放效率测度研究</w:t>
      </w:r>
      <w:r>
        <w:tab/>
      </w:r>
      <w:r>
        <w:fldChar w:fldCharType="begin"/>
      </w:r>
      <w:r>
        <w:instrText xml:space="preserve"> PAGEREF _Toc26210 \h </w:instrText>
      </w:r>
      <w:r>
        <w:fldChar w:fldCharType="separate"/>
      </w:r>
      <w:r>
        <w:t>3</w:t>
      </w:r>
      <w:r>
        <w:fldChar w:fldCharType="end"/>
      </w:r>
      <w:r>
        <w:fldChar w:fldCharType="end"/>
      </w:r>
    </w:p>
    <w:p w14:paraId="07838F8F">
      <w:pPr>
        <w:pStyle w:val="33"/>
        <w:tabs>
          <w:tab w:val="right" w:leader="dot" w:pos="8646"/>
        </w:tabs>
        <w:ind w:left="480"/>
      </w:pPr>
      <w:r>
        <w:fldChar w:fldCharType="begin"/>
      </w:r>
      <w:r>
        <w:instrText xml:space="preserve"> HYPERLINK \l "_Toc1297" </w:instrText>
      </w:r>
      <w:r>
        <w:fldChar w:fldCharType="separate"/>
      </w:r>
      <w:r>
        <w:rPr>
          <w:rFonts w:ascii="楷体" w:hAnsi="楷体"/>
          <w:lang w:eastAsia="zh-CN"/>
        </w:rPr>
        <w:t>（二）夜间灯光遥感数据应用研究</w:t>
      </w:r>
      <w:r>
        <w:tab/>
      </w:r>
      <w:r>
        <w:fldChar w:fldCharType="begin"/>
      </w:r>
      <w:r>
        <w:instrText xml:space="preserve"> PAGEREF _Toc1297 \h </w:instrText>
      </w:r>
      <w:r>
        <w:fldChar w:fldCharType="separate"/>
      </w:r>
      <w:r>
        <w:t>3</w:t>
      </w:r>
      <w:r>
        <w:fldChar w:fldCharType="end"/>
      </w:r>
      <w:r>
        <w:fldChar w:fldCharType="end"/>
      </w:r>
    </w:p>
    <w:p w14:paraId="5D27049D">
      <w:pPr>
        <w:pStyle w:val="33"/>
        <w:tabs>
          <w:tab w:val="right" w:leader="dot" w:pos="8646"/>
        </w:tabs>
        <w:ind w:left="480"/>
      </w:pPr>
      <w:r>
        <w:fldChar w:fldCharType="begin"/>
      </w:r>
      <w:r>
        <w:instrText xml:space="preserve"> HYPERLINK \l "_Toc8738" </w:instrText>
      </w:r>
      <w:r>
        <w:fldChar w:fldCharType="separate"/>
      </w:r>
      <w:r>
        <w:rPr>
          <w:rFonts w:ascii="楷体" w:hAnsi="楷体"/>
          <w:lang w:eastAsia="zh-CN"/>
        </w:rPr>
        <w:t>（三）影响因素与空间效应研究</w:t>
      </w:r>
      <w:r>
        <w:tab/>
      </w:r>
      <w:r>
        <w:fldChar w:fldCharType="begin"/>
      </w:r>
      <w:r>
        <w:instrText xml:space="preserve"> PAGEREF _Toc8738 \h </w:instrText>
      </w:r>
      <w:r>
        <w:fldChar w:fldCharType="separate"/>
      </w:r>
      <w:r>
        <w:t>3</w:t>
      </w:r>
      <w:r>
        <w:fldChar w:fldCharType="end"/>
      </w:r>
      <w:r>
        <w:fldChar w:fldCharType="end"/>
      </w:r>
    </w:p>
    <w:p w14:paraId="3CE8E68F">
      <w:pPr>
        <w:pStyle w:val="33"/>
        <w:tabs>
          <w:tab w:val="right" w:leader="dot" w:pos="8646"/>
        </w:tabs>
        <w:ind w:left="480"/>
      </w:pPr>
      <w:r>
        <w:fldChar w:fldCharType="begin"/>
      </w:r>
      <w:r>
        <w:instrText xml:space="preserve"> HYPERLINK \l "_Toc7687" </w:instrText>
      </w:r>
      <w:r>
        <w:fldChar w:fldCharType="separate"/>
      </w:r>
      <w:r>
        <w:rPr>
          <w:rFonts w:ascii="楷体" w:hAnsi="楷体"/>
          <w:lang w:eastAsia="zh-CN"/>
        </w:rPr>
        <w:t>（四）理论机制与研究假设</w:t>
      </w:r>
      <w:r>
        <w:tab/>
      </w:r>
      <w:r>
        <w:fldChar w:fldCharType="begin"/>
      </w:r>
      <w:r>
        <w:instrText xml:space="preserve"> PAGEREF _Toc7687 \h </w:instrText>
      </w:r>
      <w:r>
        <w:fldChar w:fldCharType="separate"/>
      </w:r>
      <w:r>
        <w:t>4</w:t>
      </w:r>
      <w:r>
        <w:fldChar w:fldCharType="end"/>
      </w:r>
      <w:r>
        <w:fldChar w:fldCharType="end"/>
      </w:r>
    </w:p>
    <w:p w14:paraId="4DE1C887">
      <w:pPr>
        <w:pStyle w:val="29"/>
        <w:tabs>
          <w:tab w:val="right" w:leader="dot" w:pos="8646"/>
        </w:tabs>
      </w:pPr>
      <w:r>
        <w:fldChar w:fldCharType="begin"/>
      </w:r>
      <w:r>
        <w:instrText xml:space="preserve"> HYPERLINK \l "_Toc13754" </w:instrText>
      </w:r>
      <w:r>
        <w:fldChar w:fldCharType="separate"/>
      </w:r>
      <w:r>
        <w:rPr>
          <w:szCs w:val="30"/>
          <w:lang w:eastAsia="zh-CN"/>
        </w:rPr>
        <w:t>三、研究设计</w:t>
      </w:r>
      <w:r>
        <w:tab/>
      </w:r>
      <w:r>
        <w:fldChar w:fldCharType="begin"/>
      </w:r>
      <w:r>
        <w:instrText xml:space="preserve"> PAGEREF _Toc13754 \h </w:instrText>
      </w:r>
      <w:r>
        <w:fldChar w:fldCharType="separate"/>
      </w:r>
      <w:r>
        <w:t>5</w:t>
      </w:r>
      <w:r>
        <w:fldChar w:fldCharType="end"/>
      </w:r>
      <w:r>
        <w:fldChar w:fldCharType="end"/>
      </w:r>
    </w:p>
    <w:p w14:paraId="69D6AEF1">
      <w:pPr>
        <w:pStyle w:val="33"/>
        <w:tabs>
          <w:tab w:val="right" w:leader="dot" w:pos="8646"/>
        </w:tabs>
        <w:ind w:left="480"/>
      </w:pPr>
      <w:r>
        <w:fldChar w:fldCharType="begin"/>
      </w:r>
      <w:r>
        <w:instrText xml:space="preserve"> HYPERLINK \l "_Toc32359" </w:instrText>
      </w:r>
      <w:r>
        <w:fldChar w:fldCharType="separate"/>
      </w:r>
      <w:r>
        <w:rPr>
          <w:rFonts w:ascii="楷体" w:hAnsi="楷体"/>
          <w:lang w:eastAsia="zh-CN"/>
        </w:rPr>
        <w:t>（一）研究对象与样本范围</w:t>
      </w:r>
      <w:r>
        <w:tab/>
      </w:r>
      <w:r>
        <w:fldChar w:fldCharType="begin"/>
      </w:r>
      <w:r>
        <w:instrText xml:space="preserve"> PAGEREF _Toc32359 \h </w:instrText>
      </w:r>
      <w:r>
        <w:fldChar w:fldCharType="separate"/>
      </w:r>
      <w:r>
        <w:t>5</w:t>
      </w:r>
      <w:r>
        <w:fldChar w:fldCharType="end"/>
      </w:r>
      <w:r>
        <w:fldChar w:fldCharType="end"/>
      </w:r>
    </w:p>
    <w:p w14:paraId="6C0253D3">
      <w:pPr>
        <w:pStyle w:val="33"/>
        <w:tabs>
          <w:tab w:val="right" w:leader="dot" w:pos="8646"/>
        </w:tabs>
        <w:ind w:left="480"/>
      </w:pPr>
      <w:r>
        <w:fldChar w:fldCharType="begin"/>
      </w:r>
      <w:r>
        <w:instrText xml:space="preserve"> HYPERLINK \l "_Toc8002" </w:instrText>
      </w:r>
      <w:r>
        <w:fldChar w:fldCharType="separate"/>
      </w:r>
      <w:r>
        <w:rPr>
          <w:rFonts w:ascii="楷体" w:hAnsi="楷体"/>
          <w:lang w:eastAsia="zh-CN"/>
        </w:rPr>
        <w:t>（二）三阶段研究框架</w:t>
      </w:r>
      <w:r>
        <w:tab/>
      </w:r>
      <w:r>
        <w:fldChar w:fldCharType="begin"/>
      </w:r>
      <w:r>
        <w:instrText xml:space="preserve"> PAGEREF _Toc8002 \h </w:instrText>
      </w:r>
      <w:r>
        <w:fldChar w:fldCharType="separate"/>
      </w:r>
      <w:r>
        <w:t>6</w:t>
      </w:r>
      <w:r>
        <w:fldChar w:fldCharType="end"/>
      </w:r>
      <w:r>
        <w:fldChar w:fldCharType="end"/>
      </w:r>
    </w:p>
    <w:p w14:paraId="3056C4A8">
      <w:pPr>
        <w:pStyle w:val="33"/>
        <w:tabs>
          <w:tab w:val="right" w:leader="dot" w:pos="8646"/>
        </w:tabs>
        <w:ind w:left="480"/>
      </w:pPr>
      <w:r>
        <w:fldChar w:fldCharType="begin"/>
      </w:r>
      <w:r>
        <w:instrText xml:space="preserve"> HYPERLINK \l "_Toc3451" </w:instrText>
      </w:r>
      <w:r>
        <w:fldChar w:fldCharType="separate"/>
      </w:r>
      <w:r>
        <w:rPr>
          <w:rFonts w:ascii="楷体" w:hAnsi="楷体"/>
          <w:lang w:eastAsia="zh-CN"/>
        </w:rPr>
        <w:t>（三）第一阶段碳排放效率测度指标体系</w:t>
      </w:r>
      <w:r>
        <w:tab/>
      </w:r>
      <w:r>
        <w:fldChar w:fldCharType="begin"/>
      </w:r>
      <w:r>
        <w:instrText xml:space="preserve"> PAGEREF _Toc3451 \h </w:instrText>
      </w:r>
      <w:r>
        <w:fldChar w:fldCharType="separate"/>
      </w:r>
      <w:r>
        <w:t>6</w:t>
      </w:r>
      <w:r>
        <w:fldChar w:fldCharType="end"/>
      </w:r>
      <w:r>
        <w:fldChar w:fldCharType="end"/>
      </w:r>
    </w:p>
    <w:p w14:paraId="0BC33661">
      <w:pPr>
        <w:pStyle w:val="33"/>
        <w:tabs>
          <w:tab w:val="right" w:leader="dot" w:pos="8646"/>
        </w:tabs>
        <w:ind w:left="480"/>
      </w:pPr>
      <w:r>
        <w:fldChar w:fldCharType="begin"/>
      </w:r>
      <w:r>
        <w:instrText xml:space="preserve"> HYPERLINK \l "_Toc19488" </w:instrText>
      </w:r>
      <w:r>
        <w:fldChar w:fldCharType="separate"/>
      </w:r>
      <w:r>
        <w:rPr>
          <w:rFonts w:ascii="楷体" w:hAnsi="楷体"/>
          <w:lang w:eastAsia="zh-CN"/>
        </w:rPr>
        <w:t>（四）第二阶段回归变量与模型设定</w:t>
      </w:r>
      <w:r>
        <w:tab/>
      </w:r>
      <w:r>
        <w:fldChar w:fldCharType="begin"/>
      </w:r>
      <w:r>
        <w:instrText xml:space="preserve"> PAGEREF _Toc19488 \h </w:instrText>
      </w:r>
      <w:r>
        <w:fldChar w:fldCharType="separate"/>
      </w:r>
      <w:r>
        <w:t>7</w:t>
      </w:r>
      <w:r>
        <w:fldChar w:fldCharType="end"/>
      </w:r>
      <w:r>
        <w:fldChar w:fldCharType="end"/>
      </w:r>
    </w:p>
    <w:p w14:paraId="5B09D671">
      <w:pPr>
        <w:pStyle w:val="33"/>
        <w:tabs>
          <w:tab w:val="right" w:leader="dot" w:pos="8646"/>
        </w:tabs>
        <w:ind w:left="480"/>
      </w:pPr>
      <w:r>
        <w:fldChar w:fldCharType="begin"/>
      </w:r>
      <w:r>
        <w:instrText xml:space="preserve"> HYPERLINK \l "_Toc16695" </w:instrText>
      </w:r>
      <w:r>
        <w:fldChar w:fldCharType="separate"/>
      </w:r>
      <w:r>
        <w:rPr>
          <w:rFonts w:ascii="楷体" w:hAnsi="楷体"/>
          <w:lang w:eastAsia="zh-CN"/>
        </w:rPr>
        <w:t>（五）第三阶段空间相关性与空间分析思路</w:t>
      </w:r>
      <w:r>
        <w:tab/>
      </w:r>
      <w:r>
        <w:fldChar w:fldCharType="begin"/>
      </w:r>
      <w:r>
        <w:instrText xml:space="preserve"> PAGEREF _Toc16695 \h </w:instrText>
      </w:r>
      <w:r>
        <w:fldChar w:fldCharType="separate"/>
      </w:r>
      <w:r>
        <w:t>7</w:t>
      </w:r>
      <w:r>
        <w:fldChar w:fldCharType="end"/>
      </w:r>
      <w:r>
        <w:fldChar w:fldCharType="end"/>
      </w:r>
    </w:p>
    <w:p w14:paraId="23749787">
      <w:pPr>
        <w:pStyle w:val="29"/>
        <w:tabs>
          <w:tab w:val="right" w:leader="dot" w:pos="8646"/>
        </w:tabs>
      </w:pPr>
      <w:r>
        <w:fldChar w:fldCharType="begin"/>
      </w:r>
      <w:r>
        <w:instrText xml:space="preserve"> HYPERLINK \l "_Toc10260" </w:instrText>
      </w:r>
      <w:r>
        <w:fldChar w:fldCharType="separate"/>
      </w:r>
      <w:r>
        <w:rPr>
          <w:szCs w:val="30"/>
          <w:lang w:eastAsia="zh-CN"/>
        </w:rPr>
        <w:t>四、数据来源、预处理与变量构造</w:t>
      </w:r>
      <w:r>
        <w:tab/>
      </w:r>
      <w:r>
        <w:fldChar w:fldCharType="begin"/>
      </w:r>
      <w:r>
        <w:instrText xml:space="preserve"> PAGEREF _Toc10260 \h </w:instrText>
      </w:r>
      <w:r>
        <w:fldChar w:fldCharType="separate"/>
      </w:r>
      <w:r>
        <w:t>8</w:t>
      </w:r>
      <w:r>
        <w:fldChar w:fldCharType="end"/>
      </w:r>
      <w:r>
        <w:fldChar w:fldCharType="end"/>
      </w:r>
    </w:p>
    <w:p w14:paraId="4AE5CDCA">
      <w:pPr>
        <w:pStyle w:val="33"/>
        <w:tabs>
          <w:tab w:val="right" w:leader="dot" w:pos="8646"/>
        </w:tabs>
        <w:ind w:left="480"/>
      </w:pPr>
      <w:r>
        <w:fldChar w:fldCharType="begin"/>
      </w:r>
      <w:r>
        <w:instrText xml:space="preserve"> HYPERLINK \l "_Toc21893" </w:instrText>
      </w:r>
      <w:r>
        <w:fldChar w:fldCharType="separate"/>
      </w:r>
      <w:r>
        <w:rPr>
          <w:rFonts w:ascii="楷体" w:hAnsi="楷体"/>
          <w:lang w:eastAsia="zh-CN"/>
        </w:rPr>
        <w:t>（一）数据来源与单位说明</w:t>
      </w:r>
      <w:r>
        <w:tab/>
      </w:r>
      <w:r>
        <w:fldChar w:fldCharType="begin"/>
      </w:r>
      <w:r>
        <w:instrText xml:space="preserve"> PAGEREF _Toc21893 \h </w:instrText>
      </w:r>
      <w:r>
        <w:fldChar w:fldCharType="separate"/>
      </w:r>
      <w:r>
        <w:t>8</w:t>
      </w:r>
      <w:r>
        <w:fldChar w:fldCharType="end"/>
      </w:r>
      <w:r>
        <w:fldChar w:fldCharType="end"/>
      </w:r>
    </w:p>
    <w:p w14:paraId="6D149D9D">
      <w:pPr>
        <w:pStyle w:val="33"/>
        <w:tabs>
          <w:tab w:val="right" w:leader="dot" w:pos="8646"/>
        </w:tabs>
        <w:ind w:left="480"/>
      </w:pPr>
      <w:r>
        <w:fldChar w:fldCharType="begin"/>
      </w:r>
      <w:r>
        <w:instrText xml:space="preserve"> HYPERLINK \l "_Toc18886" </w:instrText>
      </w:r>
      <w:r>
        <w:fldChar w:fldCharType="separate"/>
      </w:r>
      <w:r>
        <w:rPr>
          <w:rFonts w:ascii="楷体" w:hAnsi="楷体"/>
          <w:lang w:eastAsia="zh-CN"/>
        </w:rPr>
        <w:t>（二）样本构建与清洗处理</w:t>
      </w:r>
      <w:r>
        <w:tab/>
      </w:r>
      <w:r>
        <w:fldChar w:fldCharType="begin"/>
      </w:r>
      <w:r>
        <w:instrText xml:space="preserve"> PAGEREF _Toc18886 \h </w:instrText>
      </w:r>
      <w:r>
        <w:fldChar w:fldCharType="separate"/>
      </w:r>
      <w:r>
        <w:t>9</w:t>
      </w:r>
      <w:r>
        <w:fldChar w:fldCharType="end"/>
      </w:r>
      <w:r>
        <w:fldChar w:fldCharType="end"/>
      </w:r>
    </w:p>
    <w:p w14:paraId="4AEF8B11">
      <w:pPr>
        <w:pStyle w:val="33"/>
        <w:tabs>
          <w:tab w:val="right" w:leader="dot" w:pos="8646"/>
        </w:tabs>
        <w:ind w:left="480"/>
      </w:pPr>
      <w:r>
        <w:fldChar w:fldCharType="begin"/>
      </w:r>
      <w:r>
        <w:instrText xml:space="preserve"> HYPERLINK \l "_Toc20275" </w:instrText>
      </w:r>
      <w:r>
        <w:fldChar w:fldCharType="separate"/>
      </w:r>
      <w:r>
        <w:rPr>
          <w:rFonts w:ascii="楷体" w:hAnsi="楷体"/>
          <w:lang w:eastAsia="zh-CN"/>
        </w:rPr>
        <w:t>（三）缺失值、异常值与变量分布检验</w:t>
      </w:r>
      <w:r>
        <w:tab/>
      </w:r>
      <w:r>
        <w:fldChar w:fldCharType="begin"/>
      </w:r>
      <w:r>
        <w:instrText xml:space="preserve"> PAGEREF _Toc20275 \h </w:instrText>
      </w:r>
      <w:r>
        <w:fldChar w:fldCharType="separate"/>
      </w:r>
      <w:r>
        <w:t>9</w:t>
      </w:r>
      <w:r>
        <w:fldChar w:fldCharType="end"/>
      </w:r>
      <w:r>
        <w:fldChar w:fldCharType="end"/>
      </w:r>
    </w:p>
    <w:p w14:paraId="62B6EEE7">
      <w:pPr>
        <w:pStyle w:val="33"/>
        <w:tabs>
          <w:tab w:val="right" w:leader="dot" w:pos="8646"/>
        </w:tabs>
        <w:ind w:left="480"/>
      </w:pPr>
      <w:r>
        <w:fldChar w:fldCharType="begin"/>
      </w:r>
      <w:r>
        <w:instrText xml:space="preserve"> HYPERLINK \l "_Toc20621" </w:instrText>
      </w:r>
      <w:r>
        <w:fldChar w:fldCharType="separate"/>
      </w:r>
      <w:r>
        <w:rPr>
          <w:rFonts w:ascii="楷体" w:hAnsi="楷体"/>
          <w:lang w:eastAsia="zh-CN"/>
        </w:rPr>
        <w:t>（四）关键变量构造与口径说明</w:t>
      </w:r>
      <w:r>
        <w:tab/>
      </w:r>
      <w:r>
        <w:fldChar w:fldCharType="begin"/>
      </w:r>
      <w:r>
        <w:instrText xml:space="preserve"> PAGEREF _Toc20621 \h </w:instrText>
      </w:r>
      <w:r>
        <w:fldChar w:fldCharType="separate"/>
      </w:r>
      <w:r>
        <w:t>12</w:t>
      </w:r>
      <w:r>
        <w:fldChar w:fldCharType="end"/>
      </w:r>
      <w:r>
        <w:fldChar w:fldCharType="end"/>
      </w:r>
    </w:p>
    <w:p w14:paraId="1EF80B0E">
      <w:pPr>
        <w:pStyle w:val="33"/>
        <w:tabs>
          <w:tab w:val="right" w:leader="dot" w:pos="8646"/>
        </w:tabs>
        <w:ind w:left="480"/>
      </w:pPr>
      <w:r>
        <w:fldChar w:fldCharType="begin"/>
      </w:r>
      <w:r>
        <w:instrText xml:space="preserve"> HYPERLINK \l "_Toc12049" </w:instrText>
      </w:r>
      <w:r>
        <w:fldChar w:fldCharType="separate"/>
      </w:r>
      <w:r>
        <w:rPr>
          <w:rFonts w:ascii="楷体" w:hAnsi="楷体"/>
          <w:lang w:eastAsia="zh-CN"/>
        </w:rPr>
        <w:t>（五）描述性统计与先验相关关系</w:t>
      </w:r>
      <w:r>
        <w:tab/>
      </w:r>
      <w:r>
        <w:fldChar w:fldCharType="begin"/>
      </w:r>
      <w:r>
        <w:instrText xml:space="preserve"> PAGEREF _Toc12049 \h </w:instrText>
      </w:r>
      <w:r>
        <w:fldChar w:fldCharType="separate"/>
      </w:r>
      <w:r>
        <w:t>12</w:t>
      </w:r>
      <w:r>
        <w:fldChar w:fldCharType="end"/>
      </w:r>
      <w:r>
        <w:fldChar w:fldCharType="end"/>
      </w:r>
    </w:p>
    <w:p w14:paraId="2CCCEA95">
      <w:pPr>
        <w:pStyle w:val="29"/>
        <w:tabs>
          <w:tab w:val="right" w:leader="dot" w:pos="8646"/>
        </w:tabs>
      </w:pPr>
      <w:r>
        <w:fldChar w:fldCharType="begin"/>
      </w:r>
      <w:r>
        <w:instrText xml:space="preserve"> HYPERLINK \l "_Toc25981" </w:instrText>
      </w:r>
      <w:r>
        <w:fldChar w:fldCharType="separate"/>
      </w:r>
      <w:r>
        <w:rPr>
          <w:szCs w:val="30"/>
          <w:lang w:eastAsia="zh-CN"/>
        </w:rPr>
        <w:t>五、</w:t>
      </w:r>
      <w:r>
        <w:rPr>
          <w:rFonts w:hint="eastAsia"/>
          <w:szCs w:val="30"/>
          <w:lang w:eastAsia="zh-CN"/>
        </w:rPr>
        <w:t>省域</w:t>
      </w:r>
      <w:r>
        <w:rPr>
          <w:szCs w:val="30"/>
          <w:lang w:eastAsia="zh-CN"/>
        </w:rPr>
        <w:t>碳排放效率测度结果</w:t>
      </w:r>
      <w:r>
        <w:tab/>
      </w:r>
      <w:r>
        <w:fldChar w:fldCharType="begin"/>
      </w:r>
      <w:r>
        <w:instrText xml:space="preserve"> PAGEREF _Toc25981 \h </w:instrText>
      </w:r>
      <w:r>
        <w:fldChar w:fldCharType="separate"/>
      </w:r>
      <w:r>
        <w:t>14</w:t>
      </w:r>
      <w:r>
        <w:fldChar w:fldCharType="end"/>
      </w:r>
      <w:r>
        <w:fldChar w:fldCharType="end"/>
      </w:r>
    </w:p>
    <w:p w14:paraId="4C502F71">
      <w:pPr>
        <w:pStyle w:val="33"/>
        <w:tabs>
          <w:tab w:val="right" w:leader="dot" w:pos="8646"/>
        </w:tabs>
        <w:ind w:left="480"/>
      </w:pPr>
      <w:r>
        <w:fldChar w:fldCharType="begin"/>
      </w:r>
      <w:r>
        <w:instrText xml:space="preserve"> HYPERLINK \l "_Toc7999" </w:instrText>
      </w:r>
      <w:r>
        <w:fldChar w:fldCharType="separate"/>
      </w:r>
      <w:r>
        <w:rPr>
          <w:rFonts w:ascii="楷体" w:hAnsi="楷体"/>
          <w:lang w:eastAsia="zh-CN"/>
        </w:rPr>
        <w:t>（一）静态碳排放效率的总体特征</w:t>
      </w:r>
      <w:r>
        <w:tab/>
      </w:r>
      <w:r>
        <w:fldChar w:fldCharType="begin"/>
      </w:r>
      <w:r>
        <w:instrText xml:space="preserve"> PAGEREF _Toc7999 \h </w:instrText>
      </w:r>
      <w:r>
        <w:fldChar w:fldCharType="separate"/>
      </w:r>
      <w:r>
        <w:t>14</w:t>
      </w:r>
      <w:r>
        <w:fldChar w:fldCharType="end"/>
      </w:r>
      <w:r>
        <w:fldChar w:fldCharType="end"/>
      </w:r>
    </w:p>
    <w:p w14:paraId="3B38EFAC">
      <w:pPr>
        <w:pStyle w:val="33"/>
        <w:tabs>
          <w:tab w:val="right" w:leader="dot" w:pos="8646"/>
        </w:tabs>
        <w:ind w:left="480"/>
      </w:pPr>
      <w:r>
        <w:fldChar w:fldCharType="begin"/>
      </w:r>
      <w:r>
        <w:instrText xml:space="preserve"> HYPERLINK \l "_Toc8721" </w:instrText>
      </w:r>
      <w:r>
        <w:fldChar w:fldCharType="separate"/>
      </w:r>
      <w:r>
        <w:rPr>
          <w:rFonts w:ascii="楷体" w:hAnsi="楷体"/>
          <w:lang w:eastAsia="zh-CN"/>
        </w:rPr>
        <w:t>（</w:t>
      </w:r>
      <w:r>
        <w:rPr>
          <w:rFonts w:hint="eastAsia" w:ascii="楷体" w:hAnsi="楷体"/>
          <w:lang w:eastAsia="zh-CN"/>
        </w:rPr>
        <w:t>二</w:t>
      </w:r>
      <w:r>
        <w:rPr>
          <w:rFonts w:ascii="楷体" w:hAnsi="楷体"/>
          <w:lang w:eastAsia="zh-CN"/>
        </w:rPr>
        <w:t>）动态演进特征分析</w:t>
      </w:r>
      <w:r>
        <w:tab/>
      </w:r>
      <w:r>
        <w:fldChar w:fldCharType="begin"/>
      </w:r>
      <w:r>
        <w:instrText xml:space="preserve"> PAGEREF _Toc8721 \h </w:instrText>
      </w:r>
      <w:r>
        <w:fldChar w:fldCharType="separate"/>
      </w:r>
      <w:r>
        <w:t>19</w:t>
      </w:r>
      <w:r>
        <w:fldChar w:fldCharType="end"/>
      </w:r>
      <w:r>
        <w:fldChar w:fldCharType="end"/>
      </w:r>
    </w:p>
    <w:p w14:paraId="124F695C">
      <w:pPr>
        <w:pStyle w:val="33"/>
        <w:tabs>
          <w:tab w:val="right" w:leader="dot" w:pos="8646"/>
        </w:tabs>
        <w:ind w:left="480"/>
      </w:pPr>
      <w:r>
        <w:fldChar w:fldCharType="begin"/>
      </w:r>
      <w:r>
        <w:instrText xml:space="preserve"> HYPERLINK \l "_Toc29636" </w:instrText>
      </w:r>
      <w:r>
        <w:fldChar w:fldCharType="separate"/>
      </w:r>
      <w:r>
        <w:rPr>
          <w:rFonts w:ascii="楷体" w:hAnsi="楷体"/>
          <w:lang w:eastAsia="zh-CN"/>
        </w:rPr>
        <w:t>（</w:t>
      </w:r>
      <w:r>
        <w:rPr>
          <w:rFonts w:hint="eastAsia" w:ascii="楷体" w:hAnsi="楷体"/>
          <w:lang w:eastAsia="zh-CN"/>
        </w:rPr>
        <w:t>三</w:t>
      </w:r>
      <w:r>
        <w:rPr>
          <w:rFonts w:ascii="楷体" w:hAnsi="楷体"/>
          <w:lang w:eastAsia="zh-CN"/>
        </w:rPr>
        <w:t>）效率分解与成因讨论</w:t>
      </w:r>
      <w:r>
        <w:tab/>
      </w:r>
      <w:r>
        <w:fldChar w:fldCharType="begin"/>
      </w:r>
      <w:r>
        <w:instrText xml:space="preserve"> PAGEREF _Toc29636 \h </w:instrText>
      </w:r>
      <w:r>
        <w:fldChar w:fldCharType="separate"/>
      </w:r>
      <w:r>
        <w:t>21</w:t>
      </w:r>
      <w:r>
        <w:fldChar w:fldCharType="end"/>
      </w:r>
      <w:r>
        <w:fldChar w:fldCharType="end"/>
      </w:r>
    </w:p>
    <w:p w14:paraId="0B89BA07">
      <w:pPr>
        <w:pStyle w:val="29"/>
        <w:tabs>
          <w:tab w:val="right" w:leader="dot" w:pos="8646"/>
        </w:tabs>
      </w:pPr>
      <w:r>
        <w:fldChar w:fldCharType="begin"/>
      </w:r>
      <w:r>
        <w:instrText xml:space="preserve"> HYPERLINK \l "_Toc28897" </w:instrText>
      </w:r>
      <w:r>
        <w:fldChar w:fldCharType="separate"/>
      </w:r>
      <w:r>
        <w:rPr>
          <w:szCs w:val="30"/>
          <w:lang w:eastAsia="zh-CN"/>
        </w:rPr>
        <w:t>六、</w:t>
      </w:r>
      <w:r>
        <w:rPr>
          <w:rFonts w:hint="eastAsia"/>
          <w:szCs w:val="30"/>
          <w:lang w:eastAsia="zh-CN"/>
        </w:rPr>
        <w:t>夜间灯光强度</w:t>
      </w:r>
      <w:r>
        <w:rPr>
          <w:szCs w:val="30"/>
          <w:lang w:eastAsia="zh-CN"/>
        </w:rPr>
        <w:t>对碳排放效率的影响</w:t>
      </w:r>
      <w:r>
        <w:tab/>
      </w:r>
      <w:r>
        <w:fldChar w:fldCharType="begin"/>
      </w:r>
      <w:r>
        <w:instrText xml:space="preserve"> PAGEREF _Toc28897 \h </w:instrText>
      </w:r>
      <w:r>
        <w:fldChar w:fldCharType="separate"/>
      </w:r>
      <w:r>
        <w:t>21</w:t>
      </w:r>
      <w:r>
        <w:fldChar w:fldCharType="end"/>
      </w:r>
      <w:r>
        <w:fldChar w:fldCharType="end"/>
      </w:r>
    </w:p>
    <w:p w14:paraId="3DB25C96">
      <w:pPr>
        <w:pStyle w:val="33"/>
        <w:tabs>
          <w:tab w:val="right" w:leader="dot" w:pos="8646"/>
        </w:tabs>
        <w:ind w:left="480"/>
      </w:pPr>
      <w:r>
        <w:fldChar w:fldCharType="begin"/>
      </w:r>
      <w:r>
        <w:instrText xml:space="preserve"> HYPERLINK \l "_Toc24790" </w:instrText>
      </w:r>
      <w:r>
        <w:fldChar w:fldCharType="separate"/>
      </w:r>
      <w:r>
        <w:rPr>
          <w:rFonts w:ascii="楷体" w:hAnsi="楷体"/>
          <w:lang w:eastAsia="zh-CN"/>
        </w:rPr>
        <w:t>（一）基准模型设定与估计思路</w:t>
      </w:r>
      <w:r>
        <w:tab/>
      </w:r>
      <w:r>
        <w:fldChar w:fldCharType="begin"/>
      </w:r>
      <w:r>
        <w:instrText xml:space="preserve"> PAGEREF _Toc24790 \h </w:instrText>
      </w:r>
      <w:r>
        <w:fldChar w:fldCharType="separate"/>
      </w:r>
      <w:r>
        <w:t>21</w:t>
      </w:r>
      <w:r>
        <w:fldChar w:fldCharType="end"/>
      </w:r>
      <w:r>
        <w:fldChar w:fldCharType="end"/>
      </w:r>
    </w:p>
    <w:p w14:paraId="7E96A940">
      <w:pPr>
        <w:pStyle w:val="33"/>
        <w:tabs>
          <w:tab w:val="right" w:leader="dot" w:pos="8646"/>
        </w:tabs>
        <w:ind w:left="480"/>
      </w:pPr>
      <w:r>
        <w:fldChar w:fldCharType="begin"/>
      </w:r>
      <w:r>
        <w:instrText xml:space="preserve"> HYPERLINK \l "_Toc24900" </w:instrText>
      </w:r>
      <w:r>
        <w:fldChar w:fldCharType="separate"/>
      </w:r>
      <w:r>
        <w:rPr>
          <w:rFonts w:ascii="楷体" w:hAnsi="楷体"/>
          <w:lang w:eastAsia="zh-CN"/>
        </w:rPr>
        <w:t>（二）影响因素分析</w:t>
      </w:r>
      <w:r>
        <w:tab/>
      </w:r>
      <w:r>
        <w:fldChar w:fldCharType="begin"/>
      </w:r>
      <w:r>
        <w:instrText xml:space="preserve"> PAGEREF _Toc24900 \h </w:instrText>
      </w:r>
      <w:r>
        <w:fldChar w:fldCharType="separate"/>
      </w:r>
      <w:r>
        <w:t>22</w:t>
      </w:r>
      <w:r>
        <w:fldChar w:fldCharType="end"/>
      </w:r>
      <w:r>
        <w:fldChar w:fldCharType="end"/>
      </w:r>
    </w:p>
    <w:p w14:paraId="74E7F661">
      <w:pPr>
        <w:pStyle w:val="33"/>
        <w:tabs>
          <w:tab w:val="right" w:leader="dot" w:pos="8646"/>
        </w:tabs>
        <w:ind w:left="480"/>
      </w:pPr>
      <w:r>
        <w:fldChar w:fldCharType="begin"/>
      </w:r>
      <w:r>
        <w:instrText xml:space="preserve"> HYPERLINK \l "_Toc7302" </w:instrText>
      </w:r>
      <w:r>
        <w:fldChar w:fldCharType="separate"/>
      </w:r>
      <w:r>
        <w:rPr>
          <w:rFonts w:ascii="楷体" w:hAnsi="楷体"/>
          <w:lang w:eastAsia="zh-CN"/>
        </w:rPr>
        <w:t>（三）基准回归结果与可视化表达</w:t>
      </w:r>
      <w:r>
        <w:tab/>
      </w:r>
      <w:r>
        <w:fldChar w:fldCharType="begin"/>
      </w:r>
      <w:r>
        <w:instrText xml:space="preserve"> PAGEREF _Toc7302 \h </w:instrText>
      </w:r>
      <w:r>
        <w:fldChar w:fldCharType="separate"/>
      </w:r>
      <w:r>
        <w:t>22</w:t>
      </w:r>
      <w:r>
        <w:fldChar w:fldCharType="end"/>
      </w:r>
      <w:r>
        <w:fldChar w:fldCharType="end"/>
      </w:r>
    </w:p>
    <w:p w14:paraId="01E3EA71">
      <w:pPr>
        <w:pStyle w:val="29"/>
        <w:tabs>
          <w:tab w:val="right" w:leader="dot" w:pos="8646"/>
        </w:tabs>
      </w:pPr>
      <w:r>
        <w:fldChar w:fldCharType="begin"/>
      </w:r>
      <w:r>
        <w:instrText xml:space="preserve"> HYPERLINK \l "_Toc27857" </w:instrText>
      </w:r>
      <w:r>
        <w:fldChar w:fldCharType="separate"/>
      </w:r>
      <w:r>
        <w:rPr>
          <w:szCs w:val="30"/>
          <w:lang w:eastAsia="zh-CN"/>
        </w:rPr>
        <w:t>七、空间相关性与空间溢出分析</w:t>
      </w:r>
      <w:r>
        <w:tab/>
      </w:r>
      <w:r>
        <w:fldChar w:fldCharType="begin"/>
      </w:r>
      <w:r>
        <w:instrText xml:space="preserve"> PAGEREF _Toc27857 \h </w:instrText>
      </w:r>
      <w:r>
        <w:fldChar w:fldCharType="separate"/>
      </w:r>
      <w:r>
        <w:t>24</w:t>
      </w:r>
      <w:r>
        <w:fldChar w:fldCharType="end"/>
      </w:r>
      <w:r>
        <w:fldChar w:fldCharType="end"/>
      </w:r>
    </w:p>
    <w:p w14:paraId="1FA5A6A0">
      <w:pPr>
        <w:pStyle w:val="33"/>
        <w:tabs>
          <w:tab w:val="right" w:leader="dot" w:pos="8646"/>
        </w:tabs>
        <w:ind w:left="480"/>
      </w:pPr>
      <w:r>
        <w:fldChar w:fldCharType="begin"/>
      </w:r>
      <w:r>
        <w:instrText xml:space="preserve"> HYPERLINK \l "_Toc3754" </w:instrText>
      </w:r>
      <w:r>
        <w:fldChar w:fldCharType="separate"/>
      </w:r>
      <w:r>
        <w:rPr>
          <w:rFonts w:ascii="楷体" w:hAnsi="楷体"/>
          <w:lang w:eastAsia="zh-CN"/>
        </w:rPr>
        <w:t>（一）Global Moran’s I 检验结果</w:t>
      </w:r>
      <w:r>
        <w:tab/>
      </w:r>
      <w:r>
        <w:fldChar w:fldCharType="begin"/>
      </w:r>
      <w:r>
        <w:instrText xml:space="preserve"> PAGEREF _Toc3754 \h </w:instrText>
      </w:r>
      <w:r>
        <w:fldChar w:fldCharType="separate"/>
      </w:r>
      <w:r>
        <w:t>24</w:t>
      </w:r>
      <w:r>
        <w:fldChar w:fldCharType="end"/>
      </w:r>
      <w:r>
        <w:fldChar w:fldCharType="end"/>
      </w:r>
    </w:p>
    <w:p w14:paraId="30F61D19">
      <w:pPr>
        <w:pStyle w:val="33"/>
        <w:tabs>
          <w:tab w:val="right" w:leader="dot" w:pos="8646"/>
        </w:tabs>
        <w:ind w:left="480"/>
      </w:pPr>
      <w:r>
        <w:fldChar w:fldCharType="begin"/>
      </w:r>
      <w:r>
        <w:instrText xml:space="preserve"> HYPERLINK \l "_Toc26141" </w:instrText>
      </w:r>
      <w:r>
        <w:fldChar w:fldCharType="separate"/>
      </w:r>
      <w:r>
        <w:rPr>
          <w:rFonts w:ascii="楷体" w:hAnsi="楷体"/>
          <w:lang w:eastAsia="zh-CN"/>
        </w:rPr>
        <w:t>（二）局部空间聚集与可能的溢出路径</w:t>
      </w:r>
      <w:r>
        <w:tab/>
      </w:r>
      <w:r>
        <w:fldChar w:fldCharType="begin"/>
      </w:r>
      <w:r>
        <w:instrText xml:space="preserve"> PAGEREF _Toc26141 \h </w:instrText>
      </w:r>
      <w:r>
        <w:fldChar w:fldCharType="separate"/>
      </w:r>
      <w:r>
        <w:t>25</w:t>
      </w:r>
      <w:r>
        <w:fldChar w:fldCharType="end"/>
      </w:r>
      <w:r>
        <w:fldChar w:fldCharType="end"/>
      </w:r>
    </w:p>
    <w:p w14:paraId="6CC711CF">
      <w:pPr>
        <w:pStyle w:val="33"/>
        <w:tabs>
          <w:tab w:val="right" w:leader="dot" w:pos="8646"/>
        </w:tabs>
        <w:ind w:left="480"/>
      </w:pPr>
      <w:r>
        <w:fldChar w:fldCharType="begin"/>
      </w:r>
      <w:r>
        <w:instrText xml:space="preserve"> HYPERLINK \l "_Toc2366" </w:instrText>
      </w:r>
      <w:r>
        <w:fldChar w:fldCharType="separate"/>
      </w:r>
      <w:r>
        <w:rPr>
          <w:rFonts w:hint="eastAsia"/>
          <w:lang w:eastAsia="zh-CN"/>
        </w:rPr>
        <w:t xml:space="preserve">（三） </w:t>
      </w:r>
      <w:r>
        <w:rPr>
          <w:lang w:eastAsia="zh-CN"/>
        </w:rPr>
        <w:t>空间杜宾模型结果与效应分解</w:t>
      </w:r>
      <w:r>
        <w:tab/>
      </w:r>
      <w:r>
        <w:fldChar w:fldCharType="begin"/>
      </w:r>
      <w:r>
        <w:instrText xml:space="preserve"> PAGEREF _Toc2366 \h </w:instrText>
      </w:r>
      <w:r>
        <w:fldChar w:fldCharType="separate"/>
      </w:r>
      <w:r>
        <w:t>28</w:t>
      </w:r>
      <w:r>
        <w:fldChar w:fldCharType="end"/>
      </w:r>
      <w:r>
        <w:fldChar w:fldCharType="end"/>
      </w:r>
    </w:p>
    <w:p w14:paraId="2C032836">
      <w:pPr>
        <w:pStyle w:val="29"/>
        <w:tabs>
          <w:tab w:val="right" w:leader="dot" w:pos="8646"/>
        </w:tabs>
      </w:pPr>
      <w:r>
        <w:fldChar w:fldCharType="begin"/>
      </w:r>
      <w:r>
        <w:instrText xml:space="preserve"> HYPERLINK \l "_Toc16931" </w:instrText>
      </w:r>
      <w:r>
        <w:fldChar w:fldCharType="separate"/>
      </w:r>
      <w:r>
        <w:rPr>
          <w:szCs w:val="30"/>
          <w:lang w:eastAsia="zh-CN"/>
        </w:rPr>
        <w:t>八、面板回归模型诊断与稳健性检验</w:t>
      </w:r>
      <w:r>
        <w:tab/>
      </w:r>
      <w:r>
        <w:fldChar w:fldCharType="begin"/>
      </w:r>
      <w:r>
        <w:instrText xml:space="preserve"> PAGEREF _Toc16931 \h </w:instrText>
      </w:r>
      <w:r>
        <w:fldChar w:fldCharType="separate"/>
      </w:r>
      <w:r>
        <w:t>29</w:t>
      </w:r>
      <w:r>
        <w:fldChar w:fldCharType="end"/>
      </w:r>
      <w:r>
        <w:fldChar w:fldCharType="end"/>
      </w:r>
    </w:p>
    <w:p w14:paraId="102A7CC2">
      <w:pPr>
        <w:pStyle w:val="33"/>
        <w:tabs>
          <w:tab w:val="right" w:leader="dot" w:pos="8646"/>
        </w:tabs>
        <w:ind w:left="480"/>
      </w:pPr>
      <w:r>
        <w:fldChar w:fldCharType="begin"/>
      </w:r>
      <w:r>
        <w:instrText xml:space="preserve"> HYPERLINK \l "_Toc5259" </w:instrText>
      </w:r>
      <w:r>
        <w:fldChar w:fldCharType="separate"/>
      </w:r>
      <w:r>
        <w:rPr>
          <w:rFonts w:ascii="楷体" w:hAnsi="楷体"/>
          <w:lang w:eastAsia="zh-CN"/>
        </w:rPr>
        <w:t>（一）模型诊断</w:t>
      </w:r>
      <w:r>
        <w:tab/>
      </w:r>
      <w:r>
        <w:fldChar w:fldCharType="begin"/>
      </w:r>
      <w:r>
        <w:instrText xml:space="preserve"> PAGEREF _Toc5259 \h </w:instrText>
      </w:r>
      <w:r>
        <w:fldChar w:fldCharType="separate"/>
      </w:r>
      <w:r>
        <w:t>29</w:t>
      </w:r>
      <w:r>
        <w:fldChar w:fldCharType="end"/>
      </w:r>
      <w:r>
        <w:fldChar w:fldCharType="end"/>
      </w:r>
    </w:p>
    <w:p w14:paraId="4900C97C">
      <w:pPr>
        <w:pStyle w:val="33"/>
        <w:tabs>
          <w:tab w:val="right" w:leader="dot" w:pos="8646"/>
        </w:tabs>
        <w:ind w:left="480"/>
      </w:pPr>
      <w:r>
        <w:fldChar w:fldCharType="begin"/>
      </w:r>
      <w:r>
        <w:instrText xml:space="preserve"> HYPERLINK \l "_Toc14908" </w:instrText>
      </w:r>
      <w:r>
        <w:fldChar w:fldCharType="separate"/>
      </w:r>
      <w:r>
        <w:rPr>
          <w:rFonts w:ascii="楷体" w:hAnsi="楷体"/>
          <w:lang w:eastAsia="zh-CN"/>
        </w:rPr>
        <w:t>（二）</w:t>
      </w:r>
      <w:r>
        <w:rPr>
          <w:rFonts w:hint="eastAsia" w:ascii="楷体" w:hAnsi="楷体"/>
          <w:lang w:eastAsia="zh-CN"/>
        </w:rPr>
        <w:t>稳健性检验</w:t>
      </w:r>
      <w:r>
        <w:tab/>
      </w:r>
      <w:r>
        <w:fldChar w:fldCharType="begin"/>
      </w:r>
      <w:r>
        <w:instrText xml:space="preserve"> PAGEREF _Toc14908 \h </w:instrText>
      </w:r>
      <w:r>
        <w:fldChar w:fldCharType="separate"/>
      </w:r>
      <w:r>
        <w:t>31</w:t>
      </w:r>
      <w:r>
        <w:fldChar w:fldCharType="end"/>
      </w:r>
      <w:r>
        <w:fldChar w:fldCharType="end"/>
      </w:r>
    </w:p>
    <w:p w14:paraId="3E3E7DED">
      <w:pPr>
        <w:pStyle w:val="33"/>
        <w:tabs>
          <w:tab w:val="right" w:leader="dot" w:pos="8646"/>
        </w:tabs>
        <w:ind w:left="480"/>
      </w:pPr>
      <w:r>
        <w:fldChar w:fldCharType="begin"/>
      </w:r>
      <w:r>
        <w:instrText xml:space="preserve"> HYPERLINK \l "_Toc30172" </w:instrText>
      </w:r>
      <w:r>
        <w:fldChar w:fldCharType="separate"/>
      </w:r>
      <w:r>
        <w:rPr>
          <w:rFonts w:ascii="楷体" w:hAnsi="楷体"/>
          <w:lang w:eastAsia="zh-CN"/>
        </w:rPr>
        <w:t>（三）区域异质性的补充说明</w:t>
      </w:r>
      <w:r>
        <w:tab/>
      </w:r>
      <w:r>
        <w:fldChar w:fldCharType="begin"/>
      </w:r>
      <w:r>
        <w:instrText xml:space="preserve"> PAGEREF _Toc30172 \h </w:instrText>
      </w:r>
      <w:r>
        <w:fldChar w:fldCharType="separate"/>
      </w:r>
      <w:r>
        <w:t>31</w:t>
      </w:r>
      <w:r>
        <w:fldChar w:fldCharType="end"/>
      </w:r>
      <w:r>
        <w:fldChar w:fldCharType="end"/>
      </w:r>
    </w:p>
    <w:p w14:paraId="7E71CBCE">
      <w:pPr>
        <w:pStyle w:val="29"/>
        <w:tabs>
          <w:tab w:val="right" w:leader="dot" w:pos="8646"/>
        </w:tabs>
      </w:pPr>
      <w:r>
        <w:fldChar w:fldCharType="begin"/>
      </w:r>
      <w:r>
        <w:instrText xml:space="preserve"> HYPERLINK \l "_Toc29333" </w:instrText>
      </w:r>
      <w:r>
        <w:fldChar w:fldCharType="separate"/>
      </w:r>
      <w:r>
        <w:rPr>
          <w:szCs w:val="30"/>
          <w:lang w:eastAsia="zh-CN"/>
        </w:rPr>
        <w:t>九、研究结论与政策建议</w:t>
      </w:r>
      <w:r>
        <w:tab/>
      </w:r>
      <w:r>
        <w:fldChar w:fldCharType="begin"/>
      </w:r>
      <w:r>
        <w:instrText xml:space="preserve"> PAGEREF _Toc29333 \h </w:instrText>
      </w:r>
      <w:r>
        <w:fldChar w:fldCharType="separate"/>
      </w:r>
      <w:r>
        <w:t>32</w:t>
      </w:r>
      <w:r>
        <w:fldChar w:fldCharType="end"/>
      </w:r>
      <w:r>
        <w:fldChar w:fldCharType="end"/>
      </w:r>
    </w:p>
    <w:p w14:paraId="6EA48E73">
      <w:pPr>
        <w:pStyle w:val="33"/>
        <w:tabs>
          <w:tab w:val="right" w:leader="dot" w:pos="8646"/>
        </w:tabs>
        <w:ind w:left="480"/>
      </w:pPr>
      <w:r>
        <w:fldChar w:fldCharType="begin"/>
      </w:r>
      <w:r>
        <w:instrText xml:space="preserve"> HYPERLINK \l "_Toc3210" </w:instrText>
      </w:r>
      <w:r>
        <w:fldChar w:fldCharType="separate"/>
      </w:r>
      <w:r>
        <w:rPr>
          <w:rFonts w:ascii="楷体" w:hAnsi="楷体"/>
          <w:lang w:eastAsia="zh-CN"/>
        </w:rPr>
        <w:t>（一）研究结论</w:t>
      </w:r>
      <w:r>
        <w:tab/>
      </w:r>
      <w:r>
        <w:fldChar w:fldCharType="begin"/>
      </w:r>
      <w:r>
        <w:instrText xml:space="preserve"> PAGEREF _Toc3210 \h </w:instrText>
      </w:r>
      <w:r>
        <w:fldChar w:fldCharType="separate"/>
      </w:r>
      <w:r>
        <w:t>32</w:t>
      </w:r>
      <w:r>
        <w:fldChar w:fldCharType="end"/>
      </w:r>
      <w:r>
        <w:fldChar w:fldCharType="end"/>
      </w:r>
    </w:p>
    <w:p w14:paraId="39F9D248">
      <w:pPr>
        <w:pStyle w:val="33"/>
        <w:tabs>
          <w:tab w:val="right" w:leader="dot" w:pos="8646"/>
        </w:tabs>
        <w:ind w:left="480"/>
      </w:pPr>
      <w:r>
        <w:fldChar w:fldCharType="begin"/>
      </w:r>
      <w:r>
        <w:instrText xml:space="preserve"> HYPERLINK \l "_Toc29053" </w:instrText>
      </w:r>
      <w:r>
        <w:fldChar w:fldCharType="separate"/>
      </w:r>
      <w:r>
        <w:rPr>
          <w:rFonts w:ascii="楷体" w:hAnsi="楷体"/>
          <w:lang w:eastAsia="zh-CN"/>
        </w:rPr>
        <w:t>（二）政策建议</w:t>
      </w:r>
      <w:r>
        <w:tab/>
      </w:r>
      <w:r>
        <w:fldChar w:fldCharType="begin"/>
      </w:r>
      <w:r>
        <w:instrText xml:space="preserve"> PAGEREF _Toc29053 \h </w:instrText>
      </w:r>
      <w:r>
        <w:fldChar w:fldCharType="separate"/>
      </w:r>
      <w:r>
        <w:t>33</w:t>
      </w:r>
      <w:r>
        <w:fldChar w:fldCharType="end"/>
      </w:r>
      <w:r>
        <w:fldChar w:fldCharType="end"/>
      </w:r>
    </w:p>
    <w:p w14:paraId="4004DB6A">
      <w:pPr>
        <w:pStyle w:val="29"/>
        <w:tabs>
          <w:tab w:val="right" w:leader="dot" w:pos="8646"/>
        </w:tabs>
      </w:pPr>
      <w:r>
        <w:fldChar w:fldCharType="begin"/>
      </w:r>
      <w:r>
        <w:instrText xml:space="preserve"> HYPERLINK \l "_Toc16541" </w:instrText>
      </w:r>
      <w:r>
        <w:fldChar w:fldCharType="separate"/>
      </w:r>
      <w:r>
        <w:t>参考文献</w:t>
      </w:r>
      <w:r>
        <w:tab/>
      </w:r>
      <w:r>
        <w:fldChar w:fldCharType="begin"/>
      </w:r>
      <w:r>
        <w:instrText xml:space="preserve"> PAGEREF _Toc16541 \h </w:instrText>
      </w:r>
      <w:r>
        <w:fldChar w:fldCharType="separate"/>
      </w:r>
      <w:r>
        <w:t>34</w:t>
      </w:r>
      <w:r>
        <w:fldChar w:fldCharType="end"/>
      </w:r>
      <w:r>
        <w:fldChar w:fldCharType="end"/>
      </w:r>
    </w:p>
    <w:p w14:paraId="15624162">
      <w:pPr>
        <w:pStyle w:val="29"/>
        <w:tabs>
          <w:tab w:val="right" w:leader="dot" w:pos="8646"/>
        </w:tabs>
      </w:pPr>
      <w:r>
        <w:fldChar w:fldCharType="begin"/>
      </w:r>
      <w:r>
        <w:instrText xml:space="preserve"> HYPERLINK \l "_Toc22022" </w:instrText>
      </w:r>
      <w:r>
        <w:fldChar w:fldCharType="separate"/>
      </w:r>
      <w:r>
        <w:rPr>
          <w:lang w:eastAsia="zh-CN"/>
        </w:rPr>
        <w:t>附录</w:t>
      </w:r>
      <w:r>
        <w:tab/>
      </w:r>
      <w:r>
        <w:fldChar w:fldCharType="begin"/>
      </w:r>
      <w:r>
        <w:instrText xml:space="preserve"> PAGEREF _Toc22022 \h </w:instrText>
      </w:r>
      <w:r>
        <w:fldChar w:fldCharType="separate"/>
      </w:r>
      <w:r>
        <w:t>37</w:t>
      </w:r>
      <w:r>
        <w:fldChar w:fldCharType="end"/>
      </w:r>
      <w:r>
        <w:fldChar w:fldCharType="end"/>
      </w:r>
    </w:p>
    <w:p w14:paraId="75731834">
      <w:pPr>
        <w:pStyle w:val="33"/>
        <w:tabs>
          <w:tab w:val="right" w:leader="dot" w:pos="8646"/>
        </w:tabs>
        <w:ind w:left="480"/>
      </w:pPr>
      <w:r>
        <w:fldChar w:fldCharType="begin"/>
      </w:r>
      <w:r>
        <w:instrText xml:space="preserve"> HYPERLINK \l "_Toc22366" </w:instrText>
      </w:r>
      <w:r>
        <w:fldChar w:fldCharType="separate"/>
      </w:r>
      <w:r>
        <w:rPr>
          <w:lang w:eastAsia="zh-CN"/>
        </w:rPr>
        <w:t>附录</w:t>
      </w:r>
      <w:r>
        <w:rPr>
          <w:rFonts w:hint="eastAsia"/>
          <w:lang w:eastAsia="zh-CN"/>
        </w:rPr>
        <w:t>A</w:t>
      </w:r>
      <w:r>
        <w:rPr>
          <w:lang w:eastAsia="zh-CN"/>
        </w:rPr>
        <w:t xml:space="preserve"> 核心模型公式</w:t>
      </w:r>
      <w:r>
        <w:tab/>
      </w:r>
      <w:r>
        <w:fldChar w:fldCharType="begin"/>
      </w:r>
      <w:r>
        <w:instrText xml:space="preserve"> PAGEREF _Toc22366 \h </w:instrText>
      </w:r>
      <w:r>
        <w:fldChar w:fldCharType="separate"/>
      </w:r>
      <w:r>
        <w:t>37</w:t>
      </w:r>
      <w:r>
        <w:fldChar w:fldCharType="end"/>
      </w:r>
      <w:r>
        <w:fldChar w:fldCharType="end"/>
      </w:r>
    </w:p>
    <w:p w14:paraId="5B74674B">
      <w:pPr>
        <w:pStyle w:val="25"/>
        <w:tabs>
          <w:tab w:val="right" w:leader="dot" w:pos="8646"/>
        </w:tabs>
        <w:ind w:left="960"/>
      </w:pPr>
      <w:r>
        <w:fldChar w:fldCharType="begin"/>
      </w:r>
      <w:r>
        <w:instrText xml:space="preserve"> HYPERLINK \l "_Toc28877" </w:instrText>
      </w:r>
      <w:r>
        <w:fldChar w:fldCharType="separate"/>
      </w:r>
      <w:r>
        <w:rPr>
          <w:rFonts w:hint="eastAsia"/>
          <w:lang w:eastAsia="zh-CN"/>
        </w:rPr>
        <w:t>A1 夜间灯光强度</w:t>
      </w:r>
      <w:r>
        <w:rPr>
          <w:lang w:eastAsia="zh-CN"/>
        </w:rPr>
        <w:t>指标构造</w:t>
      </w:r>
      <w:r>
        <w:tab/>
      </w:r>
      <w:r>
        <w:fldChar w:fldCharType="begin"/>
      </w:r>
      <w:r>
        <w:instrText xml:space="preserve"> PAGEREF _Toc28877 \h </w:instrText>
      </w:r>
      <w:r>
        <w:fldChar w:fldCharType="separate"/>
      </w:r>
      <w:r>
        <w:t>37</w:t>
      </w:r>
      <w:r>
        <w:fldChar w:fldCharType="end"/>
      </w:r>
      <w:r>
        <w:fldChar w:fldCharType="end"/>
      </w:r>
    </w:p>
    <w:p w14:paraId="1BAB915F">
      <w:pPr>
        <w:pStyle w:val="25"/>
        <w:tabs>
          <w:tab w:val="right" w:leader="dot" w:pos="8646"/>
        </w:tabs>
        <w:ind w:left="960"/>
      </w:pPr>
      <w:r>
        <w:fldChar w:fldCharType="begin"/>
      </w:r>
      <w:r>
        <w:instrText xml:space="preserve"> HYPERLINK \l "_Toc25994" </w:instrText>
      </w:r>
      <w:r>
        <w:fldChar w:fldCharType="separate"/>
      </w:r>
      <w:r>
        <w:rPr>
          <w:rFonts w:hint="eastAsia"/>
          <w:lang w:eastAsia="zh-CN"/>
        </w:rPr>
        <w:t xml:space="preserve">A2 </w:t>
      </w:r>
      <w:r>
        <w:t>超效率SBM模型</w:t>
      </w:r>
      <w:r>
        <w:tab/>
      </w:r>
      <w:r>
        <w:fldChar w:fldCharType="begin"/>
      </w:r>
      <w:r>
        <w:instrText xml:space="preserve"> PAGEREF _Toc25994 \h </w:instrText>
      </w:r>
      <w:r>
        <w:fldChar w:fldCharType="separate"/>
      </w:r>
      <w:r>
        <w:t>38</w:t>
      </w:r>
      <w:r>
        <w:fldChar w:fldCharType="end"/>
      </w:r>
      <w:r>
        <w:fldChar w:fldCharType="end"/>
      </w:r>
    </w:p>
    <w:p w14:paraId="1FF4BD49">
      <w:pPr>
        <w:pStyle w:val="25"/>
        <w:tabs>
          <w:tab w:val="right" w:leader="dot" w:pos="8646"/>
        </w:tabs>
        <w:ind w:left="960"/>
      </w:pPr>
      <w:r>
        <w:fldChar w:fldCharType="begin"/>
      </w:r>
      <w:r>
        <w:instrText xml:space="preserve"> HYPERLINK \l "_Toc14310" </w:instrText>
      </w:r>
      <w:r>
        <w:fldChar w:fldCharType="separate"/>
      </w:r>
      <w:r>
        <w:rPr>
          <w:rFonts w:hint="eastAsia"/>
          <w:lang w:eastAsia="zh-CN"/>
        </w:rPr>
        <w:t xml:space="preserve">A3 </w:t>
      </w:r>
      <w:r>
        <w:rPr>
          <w:lang w:eastAsia="zh-CN"/>
        </w:rPr>
        <w:t>Malmquist指数分解</w:t>
      </w:r>
      <w:r>
        <w:tab/>
      </w:r>
      <w:r>
        <w:fldChar w:fldCharType="begin"/>
      </w:r>
      <w:r>
        <w:instrText xml:space="preserve"> PAGEREF _Toc14310 \h </w:instrText>
      </w:r>
      <w:r>
        <w:fldChar w:fldCharType="separate"/>
      </w:r>
      <w:r>
        <w:t>38</w:t>
      </w:r>
      <w:r>
        <w:fldChar w:fldCharType="end"/>
      </w:r>
      <w:r>
        <w:fldChar w:fldCharType="end"/>
      </w:r>
    </w:p>
    <w:p w14:paraId="0B0E4FD9">
      <w:pPr>
        <w:pStyle w:val="25"/>
        <w:tabs>
          <w:tab w:val="right" w:leader="dot" w:pos="8646"/>
        </w:tabs>
        <w:ind w:left="960"/>
      </w:pPr>
      <w:r>
        <w:fldChar w:fldCharType="begin"/>
      </w:r>
      <w:r>
        <w:instrText xml:space="preserve"> HYPERLINK \l "_Toc5127" </w:instrText>
      </w:r>
      <w:r>
        <w:fldChar w:fldCharType="separate"/>
      </w:r>
      <w:r>
        <w:rPr>
          <w:rFonts w:hint="eastAsia"/>
          <w:lang w:eastAsia="zh-CN"/>
        </w:rPr>
        <w:t xml:space="preserve">A4 </w:t>
      </w:r>
      <w:r>
        <w:rPr>
          <w:lang w:eastAsia="zh-CN"/>
        </w:rPr>
        <w:t>双向固定效应模型</w:t>
      </w:r>
      <w:r>
        <w:tab/>
      </w:r>
      <w:r>
        <w:fldChar w:fldCharType="begin"/>
      </w:r>
      <w:r>
        <w:instrText xml:space="preserve"> PAGEREF _Toc5127 \h </w:instrText>
      </w:r>
      <w:r>
        <w:fldChar w:fldCharType="separate"/>
      </w:r>
      <w:r>
        <w:t>38</w:t>
      </w:r>
      <w:r>
        <w:fldChar w:fldCharType="end"/>
      </w:r>
      <w:r>
        <w:fldChar w:fldCharType="end"/>
      </w:r>
    </w:p>
    <w:p w14:paraId="3F19DF65">
      <w:pPr>
        <w:pStyle w:val="25"/>
        <w:tabs>
          <w:tab w:val="right" w:leader="dot" w:pos="8646"/>
        </w:tabs>
        <w:ind w:left="960"/>
      </w:pPr>
      <w:r>
        <w:fldChar w:fldCharType="begin"/>
      </w:r>
      <w:r>
        <w:instrText xml:space="preserve"> HYPERLINK \l "_Toc5948" </w:instrText>
      </w:r>
      <w:r>
        <w:fldChar w:fldCharType="separate"/>
      </w:r>
      <w:r>
        <w:rPr>
          <w:rFonts w:hint="eastAsia"/>
          <w:lang w:eastAsia="zh-CN"/>
        </w:rPr>
        <w:t xml:space="preserve">A5 </w:t>
      </w:r>
      <w:r>
        <w:t>全局Moran’s I</w:t>
      </w:r>
      <w:r>
        <w:tab/>
      </w:r>
      <w:r>
        <w:fldChar w:fldCharType="begin"/>
      </w:r>
      <w:r>
        <w:instrText xml:space="preserve"> PAGEREF _Toc5948 \h </w:instrText>
      </w:r>
      <w:r>
        <w:fldChar w:fldCharType="separate"/>
      </w:r>
      <w:r>
        <w:t>38</w:t>
      </w:r>
      <w:r>
        <w:fldChar w:fldCharType="end"/>
      </w:r>
      <w:r>
        <w:fldChar w:fldCharType="end"/>
      </w:r>
    </w:p>
    <w:p w14:paraId="5E9BFBEF">
      <w:pPr>
        <w:pStyle w:val="25"/>
        <w:tabs>
          <w:tab w:val="right" w:leader="dot" w:pos="8646"/>
        </w:tabs>
        <w:ind w:left="960"/>
      </w:pPr>
      <w:r>
        <w:fldChar w:fldCharType="begin"/>
      </w:r>
      <w:r>
        <w:instrText xml:space="preserve"> HYPERLINK \l "_Toc21315" </w:instrText>
      </w:r>
      <w:r>
        <w:fldChar w:fldCharType="separate"/>
      </w:r>
      <w:r>
        <w:rPr>
          <w:rFonts w:hint="eastAsia"/>
          <w:lang w:eastAsia="zh-CN"/>
        </w:rPr>
        <w:t xml:space="preserve">A6 </w:t>
      </w:r>
      <w:r>
        <w:rPr>
          <w:lang w:eastAsia="zh-CN"/>
        </w:rPr>
        <w:t>多重共线性检验</w:t>
      </w:r>
      <w:r>
        <w:tab/>
      </w:r>
      <w:r>
        <w:fldChar w:fldCharType="begin"/>
      </w:r>
      <w:r>
        <w:instrText xml:space="preserve"> PAGEREF _Toc21315 \h </w:instrText>
      </w:r>
      <w:r>
        <w:fldChar w:fldCharType="separate"/>
      </w:r>
      <w:r>
        <w:t>39</w:t>
      </w:r>
      <w:r>
        <w:fldChar w:fldCharType="end"/>
      </w:r>
      <w:r>
        <w:fldChar w:fldCharType="end"/>
      </w:r>
    </w:p>
    <w:p w14:paraId="211CDC4A">
      <w:pPr>
        <w:pStyle w:val="33"/>
        <w:tabs>
          <w:tab w:val="right" w:leader="dot" w:pos="8646"/>
        </w:tabs>
        <w:ind w:left="480"/>
      </w:pPr>
      <w:r>
        <w:fldChar w:fldCharType="begin"/>
      </w:r>
      <w:r>
        <w:instrText xml:space="preserve"> HYPERLINK \l "_Toc26859" </w:instrText>
      </w:r>
      <w:r>
        <w:fldChar w:fldCharType="separate"/>
      </w:r>
      <w:r>
        <w:rPr>
          <w:lang w:eastAsia="zh-CN"/>
        </w:rPr>
        <w:t>附录</w:t>
      </w:r>
      <w:r>
        <w:rPr>
          <w:rFonts w:hint="eastAsia"/>
          <w:lang w:eastAsia="zh-CN"/>
        </w:rPr>
        <w:t>B</w:t>
      </w:r>
      <w:r>
        <w:rPr>
          <w:lang w:eastAsia="zh-CN"/>
        </w:rPr>
        <w:t xml:space="preserve"> 核心代码</w:t>
      </w:r>
      <w:r>
        <w:tab/>
      </w:r>
      <w:r>
        <w:fldChar w:fldCharType="begin"/>
      </w:r>
      <w:r>
        <w:instrText xml:space="preserve"> PAGEREF _Toc26859 \h </w:instrText>
      </w:r>
      <w:r>
        <w:fldChar w:fldCharType="separate"/>
      </w:r>
      <w:r>
        <w:t>39</w:t>
      </w:r>
      <w:r>
        <w:fldChar w:fldCharType="end"/>
      </w:r>
      <w:r>
        <w:fldChar w:fldCharType="end"/>
      </w:r>
    </w:p>
    <w:p w14:paraId="6B3BBBE7">
      <w:pPr>
        <w:pStyle w:val="25"/>
        <w:tabs>
          <w:tab w:val="right" w:leader="dot" w:pos="8646"/>
        </w:tabs>
        <w:ind w:left="960"/>
      </w:pPr>
      <w:r>
        <w:fldChar w:fldCharType="begin"/>
      </w:r>
      <w:r>
        <w:instrText xml:space="preserve"> HYPERLINK \l "_Toc15025" </w:instrText>
      </w:r>
      <w:r>
        <w:fldChar w:fldCharType="separate"/>
      </w:r>
      <w:r>
        <w:rPr>
          <w:rFonts w:hint="eastAsia"/>
          <w:lang w:eastAsia="zh-CN"/>
        </w:rPr>
        <w:t xml:space="preserve">C1 </w:t>
      </w:r>
      <w:r>
        <w:rPr>
          <w:lang w:eastAsia="zh-CN"/>
        </w:rPr>
        <w:t>核心数据表说明</w:t>
      </w:r>
      <w:r>
        <w:tab/>
      </w:r>
      <w:r>
        <w:fldChar w:fldCharType="begin"/>
      </w:r>
      <w:r>
        <w:instrText xml:space="preserve"> PAGEREF _Toc15025 \h </w:instrText>
      </w:r>
      <w:r>
        <w:fldChar w:fldCharType="separate"/>
      </w:r>
      <w:r>
        <w:t>42</w:t>
      </w:r>
      <w:r>
        <w:fldChar w:fldCharType="end"/>
      </w:r>
      <w:r>
        <w:fldChar w:fldCharType="end"/>
      </w:r>
    </w:p>
    <w:p w14:paraId="6DA46F85">
      <w:pPr>
        <w:pStyle w:val="25"/>
        <w:tabs>
          <w:tab w:val="right" w:leader="dot" w:pos="8646"/>
        </w:tabs>
        <w:ind w:left="960"/>
      </w:pPr>
      <w:r>
        <w:fldChar w:fldCharType="begin"/>
      </w:r>
      <w:r>
        <w:instrText xml:space="preserve"> HYPERLINK \l "_Toc32084" </w:instrText>
      </w:r>
      <w:r>
        <w:fldChar w:fldCharType="separate"/>
      </w:r>
      <w:r>
        <w:rPr>
          <w:rFonts w:hint="eastAsia"/>
          <w:lang w:eastAsia="zh-CN"/>
        </w:rPr>
        <w:t xml:space="preserve">C2 </w:t>
      </w:r>
      <w:r>
        <w:t>四大区域划分</w:t>
      </w:r>
      <w:r>
        <w:tab/>
      </w:r>
      <w:r>
        <w:fldChar w:fldCharType="begin"/>
      </w:r>
      <w:r>
        <w:instrText xml:space="preserve"> PAGEREF _Toc32084 \h </w:instrText>
      </w:r>
      <w:r>
        <w:fldChar w:fldCharType="separate"/>
      </w:r>
      <w:r>
        <w:t>42</w:t>
      </w:r>
      <w:r>
        <w:fldChar w:fldCharType="end"/>
      </w:r>
      <w:r>
        <w:fldChar w:fldCharType="end"/>
      </w:r>
    </w:p>
    <w:p w14:paraId="58574304">
      <w:pPr>
        <w:pStyle w:val="25"/>
        <w:tabs>
          <w:tab w:val="right" w:leader="dot" w:pos="8646"/>
        </w:tabs>
        <w:ind w:left="960"/>
      </w:pPr>
      <w:r>
        <w:fldChar w:fldCharType="begin"/>
      </w:r>
      <w:r>
        <w:instrText xml:space="preserve"> HYPERLINK \l "_Toc31994" </w:instrText>
      </w:r>
      <w:r>
        <w:fldChar w:fldCharType="separate"/>
      </w:r>
      <w:r>
        <w:rPr>
          <w:rFonts w:hint="eastAsia"/>
          <w:lang w:eastAsia="zh-CN"/>
        </w:rPr>
        <w:t xml:space="preserve">C3 </w:t>
      </w:r>
      <w:r>
        <w:t>变量说明补充</w:t>
      </w:r>
      <w:r>
        <w:tab/>
      </w:r>
      <w:r>
        <w:fldChar w:fldCharType="begin"/>
      </w:r>
      <w:r>
        <w:instrText xml:space="preserve"> PAGEREF _Toc31994 \h </w:instrText>
      </w:r>
      <w:r>
        <w:fldChar w:fldCharType="separate"/>
      </w:r>
      <w:r>
        <w:t>43</w:t>
      </w:r>
      <w:r>
        <w:fldChar w:fldCharType="end"/>
      </w:r>
      <w:r>
        <w:fldChar w:fldCharType="end"/>
      </w:r>
    </w:p>
    <w:p w14:paraId="26B2DA7B">
      <w:pPr>
        <w:pStyle w:val="29"/>
        <w:tabs>
          <w:tab w:val="right" w:leader="dot" w:pos="8646"/>
        </w:tabs>
      </w:pPr>
      <w:r>
        <w:fldChar w:fldCharType="begin"/>
      </w:r>
      <w:r>
        <w:instrText xml:space="preserve"> HYPERLINK \l "_Toc6405" </w:instrText>
      </w:r>
      <w:r>
        <w:fldChar w:fldCharType="separate"/>
      </w:r>
      <w:r>
        <w:rPr>
          <w:lang w:eastAsia="zh-CN"/>
        </w:rPr>
        <w:t>致谢</w:t>
      </w:r>
      <w:r>
        <w:tab/>
      </w:r>
      <w:r>
        <w:fldChar w:fldCharType="begin"/>
      </w:r>
      <w:r>
        <w:instrText xml:space="preserve"> PAGEREF _Toc6405 \h </w:instrText>
      </w:r>
      <w:r>
        <w:fldChar w:fldCharType="separate"/>
      </w:r>
      <w:r>
        <w:t>45</w:t>
      </w:r>
      <w:r>
        <w:fldChar w:fldCharType="end"/>
      </w:r>
      <w:r>
        <w:fldChar w:fldCharType="end"/>
      </w:r>
    </w:p>
    <w:p w14:paraId="367454FC">
      <w:pPr>
        <w:jc w:val="both"/>
        <w:rPr>
          <w:lang w:eastAsia="zh-CN"/>
        </w:rPr>
      </w:pPr>
      <w:r>
        <w:rPr>
          <w:lang w:eastAsia="zh-CN"/>
        </w:rPr>
        <w:fldChar w:fldCharType="end"/>
      </w:r>
    </w:p>
    <w:p w14:paraId="27ED1925">
      <w:pPr>
        <w:jc w:val="both"/>
        <w:rPr>
          <w:lang w:eastAsia="zh-CN"/>
        </w:rPr>
      </w:pPr>
      <w:r>
        <w:rPr>
          <w:lang w:eastAsia="zh-CN"/>
        </w:rPr>
        <w:br w:type="page"/>
      </w:r>
    </w:p>
    <w:p w14:paraId="4DEA72DD">
      <w:pPr>
        <w:spacing w:line="480" w:lineRule="exact"/>
        <w:jc w:val="center"/>
        <w:rPr>
          <w:sz w:val="28"/>
          <w:szCs w:val="28"/>
          <w:lang w:eastAsia="zh-CN"/>
        </w:rPr>
      </w:pPr>
      <w:r>
        <w:rPr>
          <w:rFonts w:eastAsia="黑体"/>
          <w:b/>
          <w:sz w:val="28"/>
          <w:szCs w:val="28"/>
          <w:lang w:eastAsia="zh-CN"/>
        </w:rPr>
        <w:t>图目录</w:t>
      </w:r>
    </w:p>
    <w:p w14:paraId="36455AA2">
      <w:pPr>
        <w:pStyle w:val="32"/>
        <w:tabs>
          <w:tab w:val="right" w:leader="dot" w:pos="8646"/>
        </w:tabs>
        <w:ind w:left="960" w:hanging="480"/>
      </w:pPr>
      <w:r>
        <w:fldChar w:fldCharType="begin"/>
      </w:r>
      <w:r>
        <w:instrText xml:space="preserve">TOC \h \c "图"</w:instrText>
      </w:r>
      <w:r>
        <w:fldChar w:fldCharType="separate"/>
      </w:r>
      <w:r>
        <w:fldChar w:fldCharType="begin"/>
      </w:r>
      <w:r>
        <w:instrText xml:space="preserve"> HYPERLINK \l "_Toc10589" </w:instrText>
      </w:r>
      <w:r>
        <w:fldChar w:fldCharType="separate"/>
      </w:r>
      <w:r>
        <w:rPr>
          <w:lang w:eastAsia="zh-CN"/>
        </w:rPr>
        <w:t xml:space="preserve">图 </w:t>
      </w:r>
      <w:r>
        <w:t xml:space="preserve">1 </w:t>
      </w:r>
      <w:r>
        <w:rPr>
          <w:rFonts w:hint="eastAsia"/>
          <w:lang w:eastAsia="zh-CN"/>
        </w:rPr>
        <w:t xml:space="preserve"> </w:t>
      </w:r>
      <w:r>
        <w:rPr>
          <w:lang w:eastAsia="zh-CN"/>
        </w:rPr>
        <w:t>研究技术路线图</w:t>
      </w:r>
      <w:r>
        <w:tab/>
      </w:r>
      <w:r>
        <w:fldChar w:fldCharType="begin"/>
      </w:r>
      <w:r>
        <w:instrText xml:space="preserve"> PAGEREF _Toc10589 \h </w:instrText>
      </w:r>
      <w:r>
        <w:fldChar w:fldCharType="separate"/>
      </w:r>
      <w:r>
        <w:t>2</w:t>
      </w:r>
      <w:r>
        <w:fldChar w:fldCharType="end"/>
      </w:r>
      <w:r>
        <w:fldChar w:fldCharType="end"/>
      </w:r>
    </w:p>
    <w:p w14:paraId="1DB2C43B">
      <w:pPr>
        <w:pStyle w:val="32"/>
        <w:tabs>
          <w:tab w:val="right" w:leader="dot" w:pos="8646"/>
        </w:tabs>
        <w:ind w:left="960" w:hanging="480"/>
      </w:pPr>
      <w:r>
        <w:fldChar w:fldCharType="begin"/>
      </w:r>
      <w:r>
        <w:instrText xml:space="preserve"> HYPERLINK \l "_Toc4085" </w:instrText>
      </w:r>
      <w:r>
        <w:fldChar w:fldCharType="separate"/>
      </w:r>
      <w:r>
        <w:rPr>
          <w:lang w:eastAsia="zh-CN"/>
        </w:rPr>
        <w:t xml:space="preserve">图 </w:t>
      </w:r>
      <w:r>
        <w:t xml:space="preserve">2 </w:t>
      </w:r>
      <w:r>
        <w:rPr>
          <w:rFonts w:hint="eastAsia"/>
          <w:lang w:eastAsia="zh-CN"/>
        </w:rPr>
        <w:t xml:space="preserve"> 夜间灯光强度</w:t>
      </w:r>
      <w:r>
        <w:rPr>
          <w:lang w:eastAsia="zh-CN"/>
        </w:rPr>
        <w:t>影响碳排放效率的理论机制图</w:t>
      </w:r>
      <w:r>
        <w:tab/>
      </w:r>
      <w:r>
        <w:fldChar w:fldCharType="begin"/>
      </w:r>
      <w:r>
        <w:instrText xml:space="preserve"> PAGEREF _Toc4085 \h </w:instrText>
      </w:r>
      <w:r>
        <w:fldChar w:fldCharType="separate"/>
      </w:r>
      <w:r>
        <w:t>5</w:t>
      </w:r>
      <w:r>
        <w:fldChar w:fldCharType="end"/>
      </w:r>
      <w:r>
        <w:fldChar w:fldCharType="end"/>
      </w:r>
    </w:p>
    <w:p w14:paraId="6E1EDAEE">
      <w:pPr>
        <w:pStyle w:val="32"/>
        <w:tabs>
          <w:tab w:val="right" w:leader="dot" w:pos="8646"/>
        </w:tabs>
        <w:ind w:left="960" w:hanging="480"/>
      </w:pPr>
      <w:r>
        <w:fldChar w:fldCharType="begin"/>
      </w:r>
      <w:r>
        <w:instrText xml:space="preserve"> HYPERLINK \l "_Toc27389" </w:instrText>
      </w:r>
      <w:r>
        <w:fldChar w:fldCharType="separate"/>
      </w:r>
      <w:r>
        <w:rPr>
          <w:lang w:eastAsia="zh-CN"/>
        </w:rPr>
        <w:t xml:space="preserve">图 </w:t>
      </w:r>
      <w:r>
        <w:t xml:space="preserve">3 </w:t>
      </w:r>
      <w:r>
        <w:rPr>
          <w:rFonts w:hint="eastAsia"/>
          <w:lang w:eastAsia="zh-CN"/>
        </w:rPr>
        <w:t xml:space="preserve"> </w:t>
      </w:r>
      <w:r>
        <w:rPr>
          <w:lang w:eastAsia="zh-CN"/>
        </w:rPr>
        <w:t>样本构建流程图</w:t>
      </w:r>
      <w:r>
        <w:tab/>
      </w:r>
      <w:r>
        <w:fldChar w:fldCharType="begin"/>
      </w:r>
      <w:r>
        <w:instrText xml:space="preserve"> PAGEREF _Toc27389 \h </w:instrText>
      </w:r>
      <w:r>
        <w:fldChar w:fldCharType="separate"/>
      </w:r>
      <w:r>
        <w:t>9</w:t>
      </w:r>
      <w:r>
        <w:fldChar w:fldCharType="end"/>
      </w:r>
      <w:r>
        <w:fldChar w:fldCharType="end"/>
      </w:r>
    </w:p>
    <w:p w14:paraId="30C1D1F3">
      <w:pPr>
        <w:pStyle w:val="32"/>
        <w:tabs>
          <w:tab w:val="right" w:leader="dot" w:pos="8646"/>
        </w:tabs>
        <w:ind w:left="960" w:hanging="480"/>
      </w:pPr>
      <w:r>
        <w:fldChar w:fldCharType="begin"/>
      </w:r>
      <w:r>
        <w:instrText xml:space="preserve"> HYPERLINK \l "_Toc14829" </w:instrText>
      </w:r>
      <w:r>
        <w:fldChar w:fldCharType="separate"/>
      </w:r>
      <w:r>
        <w:rPr>
          <w:lang w:eastAsia="zh-CN"/>
        </w:rPr>
        <w:t xml:space="preserve">图 </w:t>
      </w:r>
      <w:r>
        <w:t xml:space="preserve">4 </w:t>
      </w:r>
      <w:r>
        <w:rPr>
          <w:rFonts w:hint="eastAsia"/>
          <w:lang w:eastAsia="zh-CN"/>
        </w:rPr>
        <w:t xml:space="preserve"> </w:t>
      </w:r>
      <w:r>
        <w:rPr>
          <w:lang w:eastAsia="zh-CN"/>
        </w:rPr>
        <w:t>变量缺失热力图</w:t>
      </w:r>
      <w:r>
        <w:tab/>
      </w:r>
      <w:r>
        <w:fldChar w:fldCharType="begin"/>
      </w:r>
      <w:r>
        <w:instrText xml:space="preserve"> PAGEREF _Toc14829 \h </w:instrText>
      </w:r>
      <w:r>
        <w:fldChar w:fldCharType="separate"/>
      </w:r>
      <w:r>
        <w:t>10</w:t>
      </w:r>
      <w:r>
        <w:fldChar w:fldCharType="end"/>
      </w:r>
      <w:r>
        <w:fldChar w:fldCharType="end"/>
      </w:r>
    </w:p>
    <w:p w14:paraId="16A029ED">
      <w:pPr>
        <w:pStyle w:val="32"/>
        <w:tabs>
          <w:tab w:val="right" w:leader="dot" w:pos="8646"/>
        </w:tabs>
        <w:ind w:left="960" w:hanging="480"/>
      </w:pPr>
      <w:r>
        <w:fldChar w:fldCharType="begin"/>
      </w:r>
      <w:r>
        <w:instrText xml:space="preserve"> HYPERLINK \l "_Toc19393" </w:instrText>
      </w:r>
      <w:r>
        <w:fldChar w:fldCharType="separate"/>
      </w:r>
      <w:r>
        <w:rPr>
          <w:lang w:eastAsia="zh-CN"/>
        </w:rPr>
        <w:t xml:space="preserve">图 </w:t>
      </w:r>
      <w:r>
        <w:t xml:space="preserve">5 </w:t>
      </w:r>
      <w:r>
        <w:rPr>
          <w:rFonts w:hint="eastAsia"/>
          <w:lang w:eastAsia="zh-CN"/>
        </w:rPr>
        <w:t xml:space="preserve"> </w:t>
      </w:r>
      <w:r>
        <w:rPr>
          <w:lang w:eastAsia="zh-CN"/>
        </w:rPr>
        <w:t>核心变量箱线图</w:t>
      </w:r>
      <w:r>
        <w:tab/>
      </w:r>
      <w:r>
        <w:fldChar w:fldCharType="begin"/>
      </w:r>
      <w:r>
        <w:instrText xml:space="preserve"> PAGEREF _Toc19393 \h </w:instrText>
      </w:r>
      <w:r>
        <w:fldChar w:fldCharType="separate"/>
      </w:r>
      <w:r>
        <w:t>11</w:t>
      </w:r>
      <w:r>
        <w:fldChar w:fldCharType="end"/>
      </w:r>
      <w:r>
        <w:fldChar w:fldCharType="end"/>
      </w:r>
    </w:p>
    <w:p w14:paraId="197529FD">
      <w:pPr>
        <w:pStyle w:val="32"/>
        <w:tabs>
          <w:tab w:val="right" w:leader="dot" w:pos="8646"/>
        </w:tabs>
        <w:ind w:left="960" w:hanging="480"/>
      </w:pPr>
      <w:r>
        <w:fldChar w:fldCharType="begin"/>
      </w:r>
      <w:r>
        <w:instrText xml:space="preserve"> HYPERLINK \l "_Toc31030" </w:instrText>
      </w:r>
      <w:r>
        <w:fldChar w:fldCharType="separate"/>
      </w:r>
      <w:r>
        <w:rPr>
          <w:lang w:eastAsia="zh-CN"/>
        </w:rPr>
        <w:t xml:space="preserve">图 </w:t>
      </w:r>
      <w:r>
        <w:t xml:space="preserve">6 </w:t>
      </w:r>
      <w:r>
        <w:rPr>
          <w:rFonts w:hint="eastAsia"/>
          <w:lang w:eastAsia="zh-CN"/>
        </w:rPr>
        <w:t xml:space="preserve"> 夜间灯光强度及其对数化指标分布图</w:t>
      </w:r>
      <w:r>
        <w:tab/>
      </w:r>
      <w:r>
        <w:fldChar w:fldCharType="begin"/>
      </w:r>
      <w:r>
        <w:instrText xml:space="preserve"> PAGEREF _Toc31030 \h </w:instrText>
      </w:r>
      <w:r>
        <w:fldChar w:fldCharType="separate"/>
      </w:r>
      <w:r>
        <w:t>11</w:t>
      </w:r>
      <w:r>
        <w:fldChar w:fldCharType="end"/>
      </w:r>
      <w:r>
        <w:fldChar w:fldCharType="end"/>
      </w:r>
    </w:p>
    <w:p w14:paraId="3ED88DED">
      <w:pPr>
        <w:pStyle w:val="32"/>
        <w:tabs>
          <w:tab w:val="right" w:leader="dot" w:pos="8646"/>
        </w:tabs>
        <w:ind w:left="960" w:hanging="480"/>
      </w:pPr>
      <w:r>
        <w:fldChar w:fldCharType="begin"/>
      </w:r>
      <w:r>
        <w:instrText xml:space="preserve"> HYPERLINK \l "_Toc8706" </w:instrText>
      </w:r>
      <w:r>
        <w:fldChar w:fldCharType="separate"/>
      </w:r>
      <w:r>
        <w:rPr>
          <w:lang w:eastAsia="zh-CN"/>
        </w:rPr>
        <w:t xml:space="preserve">图 </w:t>
      </w:r>
      <w:r>
        <w:t xml:space="preserve">7 </w:t>
      </w:r>
      <w:r>
        <w:rPr>
          <w:rFonts w:hint="eastAsia"/>
          <w:lang w:eastAsia="zh-CN"/>
        </w:rPr>
        <w:t xml:space="preserve"> 核心变量相关关系椭圆矩阵图</w:t>
      </w:r>
      <w:r>
        <w:tab/>
      </w:r>
      <w:r>
        <w:fldChar w:fldCharType="begin"/>
      </w:r>
      <w:r>
        <w:instrText xml:space="preserve"> PAGEREF _Toc8706 \h </w:instrText>
      </w:r>
      <w:r>
        <w:fldChar w:fldCharType="separate"/>
      </w:r>
      <w:r>
        <w:t>13</w:t>
      </w:r>
      <w:r>
        <w:fldChar w:fldCharType="end"/>
      </w:r>
      <w:r>
        <w:fldChar w:fldCharType="end"/>
      </w:r>
    </w:p>
    <w:p w14:paraId="14C98DB9">
      <w:pPr>
        <w:pStyle w:val="32"/>
        <w:tabs>
          <w:tab w:val="right" w:leader="dot" w:pos="8646"/>
        </w:tabs>
        <w:ind w:left="960" w:hanging="480"/>
      </w:pPr>
      <w:r>
        <w:fldChar w:fldCharType="begin"/>
      </w:r>
      <w:r>
        <w:instrText xml:space="preserve"> HYPERLINK \l "_Toc3231" </w:instrText>
      </w:r>
      <w:r>
        <w:fldChar w:fldCharType="separate"/>
      </w:r>
      <w:r>
        <w:rPr>
          <w:lang w:eastAsia="zh-CN"/>
        </w:rPr>
        <w:t xml:space="preserve">图 </w:t>
      </w:r>
      <w:r>
        <w:t xml:space="preserve">8 </w:t>
      </w:r>
      <w:r>
        <w:rPr>
          <w:rFonts w:hint="eastAsia"/>
          <w:lang w:eastAsia="zh-CN"/>
        </w:rPr>
        <w:t xml:space="preserve"> 核心解释变量VIF检验图</w:t>
      </w:r>
      <w:r>
        <w:tab/>
      </w:r>
      <w:r>
        <w:fldChar w:fldCharType="begin"/>
      </w:r>
      <w:r>
        <w:instrText xml:space="preserve"> PAGEREF _Toc3231 \h </w:instrText>
      </w:r>
      <w:r>
        <w:fldChar w:fldCharType="separate"/>
      </w:r>
      <w:r>
        <w:t>14</w:t>
      </w:r>
      <w:r>
        <w:fldChar w:fldCharType="end"/>
      </w:r>
      <w:r>
        <w:fldChar w:fldCharType="end"/>
      </w:r>
    </w:p>
    <w:p w14:paraId="134EB6C5">
      <w:pPr>
        <w:pStyle w:val="32"/>
        <w:tabs>
          <w:tab w:val="right" w:leader="dot" w:pos="8646"/>
        </w:tabs>
        <w:ind w:left="960" w:hanging="480"/>
      </w:pPr>
      <w:r>
        <w:fldChar w:fldCharType="begin"/>
      </w:r>
      <w:r>
        <w:instrText xml:space="preserve"> HYPERLINK \l "_Toc1446" </w:instrText>
      </w:r>
      <w:r>
        <w:fldChar w:fldCharType="separate"/>
      </w:r>
      <w:r>
        <w:t xml:space="preserve">图 9 </w:t>
      </w:r>
      <w:r>
        <w:rPr>
          <w:rFonts w:hint="eastAsia"/>
          <w:lang w:eastAsia="zh-CN"/>
        </w:rPr>
        <w:t xml:space="preserve"> 省域碳排放效率核密度图</w:t>
      </w:r>
      <w:r>
        <w:tab/>
      </w:r>
      <w:r>
        <w:fldChar w:fldCharType="begin"/>
      </w:r>
      <w:r>
        <w:instrText xml:space="preserve"> PAGEREF _Toc1446 \h </w:instrText>
      </w:r>
      <w:r>
        <w:fldChar w:fldCharType="separate"/>
      </w:r>
      <w:r>
        <w:t>15</w:t>
      </w:r>
      <w:r>
        <w:fldChar w:fldCharType="end"/>
      </w:r>
      <w:r>
        <w:fldChar w:fldCharType="end"/>
      </w:r>
    </w:p>
    <w:p w14:paraId="4DC65EC2">
      <w:pPr>
        <w:pStyle w:val="32"/>
        <w:tabs>
          <w:tab w:val="right" w:leader="dot" w:pos="8646"/>
        </w:tabs>
        <w:ind w:left="960" w:hanging="480"/>
      </w:pPr>
      <w:r>
        <w:fldChar w:fldCharType="begin"/>
      </w:r>
      <w:r>
        <w:instrText xml:space="preserve"> HYPERLINK \l "_Toc17099" </w:instrText>
      </w:r>
      <w:r>
        <w:fldChar w:fldCharType="separate"/>
      </w:r>
      <w:r>
        <w:rPr>
          <w:lang w:eastAsia="zh-CN"/>
        </w:rPr>
        <w:t xml:space="preserve">图 </w:t>
      </w:r>
      <w:r>
        <w:t xml:space="preserve">10 </w:t>
      </w:r>
      <w:r>
        <w:rPr>
          <w:rFonts w:hint="eastAsia"/>
          <w:lang w:eastAsia="zh-CN"/>
        </w:rPr>
        <w:t xml:space="preserve"> </w:t>
      </w:r>
      <w:r>
        <w:rPr>
          <w:lang w:eastAsia="zh-CN"/>
        </w:rPr>
        <w:t>省域碳排放效率空间分布图</w:t>
      </w:r>
      <w:r>
        <w:tab/>
      </w:r>
      <w:r>
        <w:fldChar w:fldCharType="begin"/>
      </w:r>
      <w:r>
        <w:instrText xml:space="preserve"> PAGEREF _Toc17099 \h </w:instrText>
      </w:r>
      <w:r>
        <w:fldChar w:fldCharType="separate"/>
      </w:r>
      <w:r>
        <w:t>16</w:t>
      </w:r>
      <w:r>
        <w:fldChar w:fldCharType="end"/>
      </w:r>
      <w:r>
        <w:fldChar w:fldCharType="end"/>
      </w:r>
    </w:p>
    <w:p w14:paraId="4E2E2559">
      <w:pPr>
        <w:pStyle w:val="32"/>
        <w:tabs>
          <w:tab w:val="right" w:leader="dot" w:pos="8646"/>
        </w:tabs>
        <w:ind w:left="960" w:hanging="480"/>
      </w:pPr>
      <w:r>
        <w:fldChar w:fldCharType="begin"/>
      </w:r>
      <w:r>
        <w:instrText xml:space="preserve"> HYPERLINK \l "_Toc28412" </w:instrText>
      </w:r>
      <w:r>
        <w:fldChar w:fldCharType="separate"/>
      </w:r>
      <w:r>
        <w:t xml:space="preserve">图 11 </w:t>
      </w:r>
      <w:r>
        <w:rPr>
          <w:rFonts w:hint="eastAsia"/>
          <w:lang w:eastAsia="zh-CN"/>
        </w:rPr>
        <w:t xml:space="preserve"> 2015-2022分区域碳排放效率箱线图</w:t>
      </w:r>
      <w:r>
        <w:tab/>
      </w:r>
      <w:r>
        <w:fldChar w:fldCharType="begin"/>
      </w:r>
      <w:r>
        <w:instrText xml:space="preserve"> PAGEREF _Toc28412 \h </w:instrText>
      </w:r>
      <w:r>
        <w:fldChar w:fldCharType="separate"/>
      </w:r>
      <w:r>
        <w:t>17</w:t>
      </w:r>
      <w:r>
        <w:fldChar w:fldCharType="end"/>
      </w:r>
      <w:r>
        <w:fldChar w:fldCharType="end"/>
      </w:r>
    </w:p>
    <w:p w14:paraId="5B5B9E3F">
      <w:pPr>
        <w:pStyle w:val="32"/>
        <w:tabs>
          <w:tab w:val="right" w:leader="dot" w:pos="8646"/>
        </w:tabs>
        <w:ind w:left="960" w:hanging="480"/>
      </w:pPr>
      <w:r>
        <w:fldChar w:fldCharType="begin"/>
      </w:r>
      <w:r>
        <w:instrText xml:space="preserve"> HYPERLINK \l "_Toc12337" </w:instrText>
      </w:r>
      <w:r>
        <w:fldChar w:fldCharType="separate"/>
      </w:r>
      <w:r>
        <w:t xml:space="preserve">图 12 </w:t>
      </w:r>
      <w:r>
        <w:rPr>
          <w:rFonts w:hint="eastAsia"/>
          <w:lang w:eastAsia="zh-CN"/>
        </w:rPr>
        <w:t xml:space="preserve"> 西部各省碳排放效率年际变化图</w:t>
      </w:r>
      <w:r>
        <w:tab/>
      </w:r>
      <w:r>
        <w:fldChar w:fldCharType="begin"/>
      </w:r>
      <w:r>
        <w:instrText xml:space="preserve"> PAGEREF _Toc12337 \h </w:instrText>
      </w:r>
      <w:r>
        <w:fldChar w:fldCharType="separate"/>
      </w:r>
      <w:r>
        <w:t>17</w:t>
      </w:r>
      <w:r>
        <w:fldChar w:fldCharType="end"/>
      </w:r>
      <w:r>
        <w:fldChar w:fldCharType="end"/>
      </w:r>
    </w:p>
    <w:p w14:paraId="64D2CBB3">
      <w:pPr>
        <w:pStyle w:val="32"/>
        <w:tabs>
          <w:tab w:val="right" w:leader="dot" w:pos="8646"/>
        </w:tabs>
        <w:ind w:left="960" w:hanging="480"/>
      </w:pPr>
      <w:r>
        <w:fldChar w:fldCharType="begin"/>
      </w:r>
      <w:r>
        <w:instrText xml:space="preserve"> HYPERLINK \l "_Toc15591" </w:instrText>
      </w:r>
      <w:r>
        <w:fldChar w:fldCharType="separate"/>
      </w:r>
      <w:r>
        <w:rPr>
          <w:lang w:eastAsia="zh-CN"/>
        </w:rPr>
        <w:t xml:space="preserve">图 </w:t>
      </w:r>
      <w:r>
        <w:t xml:space="preserve">13 </w:t>
      </w:r>
      <w:r>
        <w:rPr>
          <w:rFonts w:hint="eastAsia"/>
          <w:lang w:eastAsia="zh-CN"/>
        </w:rPr>
        <w:t xml:space="preserve"> 青海与西部均值投入产出指标对比图</w:t>
      </w:r>
      <w:r>
        <w:tab/>
      </w:r>
      <w:r>
        <w:fldChar w:fldCharType="begin"/>
      </w:r>
      <w:r>
        <w:instrText xml:space="preserve"> PAGEREF _Toc15591 \h </w:instrText>
      </w:r>
      <w:r>
        <w:fldChar w:fldCharType="separate"/>
      </w:r>
      <w:r>
        <w:t>18</w:t>
      </w:r>
      <w:r>
        <w:fldChar w:fldCharType="end"/>
      </w:r>
      <w:r>
        <w:fldChar w:fldCharType="end"/>
      </w:r>
    </w:p>
    <w:p w14:paraId="05DD72B0">
      <w:pPr>
        <w:pStyle w:val="32"/>
        <w:tabs>
          <w:tab w:val="right" w:leader="dot" w:pos="8646"/>
        </w:tabs>
        <w:ind w:left="960" w:hanging="480"/>
      </w:pPr>
      <w:r>
        <w:fldChar w:fldCharType="begin"/>
      </w:r>
      <w:r>
        <w:instrText xml:space="preserve"> HYPERLINK \l "_Toc1638" </w:instrText>
      </w:r>
      <w:r>
        <w:fldChar w:fldCharType="separate"/>
      </w:r>
      <w:r>
        <w:rPr>
          <w:lang w:eastAsia="zh-CN"/>
        </w:rPr>
        <w:t xml:space="preserve">图 </w:t>
      </w:r>
      <w:r>
        <w:t xml:space="preserve">14 </w:t>
      </w:r>
      <w:r>
        <w:rPr>
          <w:rFonts w:hint="eastAsia"/>
          <w:lang w:eastAsia="zh-CN"/>
        </w:rPr>
        <w:t xml:space="preserve"> 不同区域碳排放效率分布箱线图</w:t>
      </w:r>
      <w:r>
        <w:tab/>
      </w:r>
      <w:r>
        <w:fldChar w:fldCharType="begin"/>
      </w:r>
      <w:r>
        <w:instrText xml:space="preserve"> PAGEREF _Toc1638 \h </w:instrText>
      </w:r>
      <w:r>
        <w:fldChar w:fldCharType="separate"/>
      </w:r>
      <w:r>
        <w:t>18</w:t>
      </w:r>
      <w:r>
        <w:fldChar w:fldCharType="end"/>
      </w:r>
      <w:r>
        <w:fldChar w:fldCharType="end"/>
      </w:r>
    </w:p>
    <w:p w14:paraId="1B85898E">
      <w:pPr>
        <w:pStyle w:val="32"/>
        <w:tabs>
          <w:tab w:val="right" w:leader="dot" w:pos="8646"/>
        </w:tabs>
        <w:ind w:left="960" w:hanging="480"/>
      </w:pPr>
      <w:r>
        <w:fldChar w:fldCharType="begin"/>
      </w:r>
      <w:r>
        <w:instrText xml:space="preserve"> HYPERLINK \l "_Toc26175" </w:instrText>
      </w:r>
      <w:r>
        <w:fldChar w:fldCharType="separate"/>
      </w:r>
      <w:r>
        <w:rPr>
          <w:lang w:eastAsia="zh-CN"/>
        </w:rPr>
        <w:t xml:space="preserve">图 </w:t>
      </w:r>
      <w:r>
        <w:t xml:space="preserve">15 </w:t>
      </w:r>
      <w:r>
        <w:rPr>
          <w:rFonts w:hint="eastAsia"/>
          <w:lang w:eastAsia="zh-CN"/>
        </w:rPr>
        <w:t xml:space="preserve"> Malmquist指数及其分解项年度趋势图</w:t>
      </w:r>
      <w:r>
        <w:tab/>
      </w:r>
      <w:r>
        <w:fldChar w:fldCharType="begin"/>
      </w:r>
      <w:r>
        <w:instrText xml:space="preserve"> PAGEREF _Toc26175 \h </w:instrText>
      </w:r>
      <w:r>
        <w:fldChar w:fldCharType="separate"/>
      </w:r>
      <w:r>
        <w:t>20</w:t>
      </w:r>
      <w:r>
        <w:fldChar w:fldCharType="end"/>
      </w:r>
      <w:r>
        <w:fldChar w:fldCharType="end"/>
      </w:r>
    </w:p>
    <w:p w14:paraId="6CFAC83A">
      <w:pPr>
        <w:pStyle w:val="32"/>
        <w:tabs>
          <w:tab w:val="right" w:leader="dot" w:pos="8646"/>
        </w:tabs>
        <w:ind w:left="960" w:hanging="480"/>
      </w:pPr>
      <w:r>
        <w:fldChar w:fldCharType="begin"/>
      </w:r>
      <w:r>
        <w:instrText xml:space="preserve"> HYPERLINK \l "_Toc28831" </w:instrText>
      </w:r>
      <w:r>
        <w:fldChar w:fldCharType="separate"/>
      </w:r>
      <w:r>
        <w:t xml:space="preserve">图 16 </w:t>
      </w:r>
      <w:r>
        <w:rPr>
          <w:rFonts w:hint="eastAsia"/>
          <w:lang w:eastAsia="zh-CN"/>
        </w:rPr>
        <w:t xml:space="preserve"> 预测值-真实值散点图</w:t>
      </w:r>
      <w:r>
        <w:tab/>
      </w:r>
      <w:r>
        <w:fldChar w:fldCharType="begin"/>
      </w:r>
      <w:r>
        <w:instrText xml:space="preserve"> PAGEREF _Toc28831 \h </w:instrText>
      </w:r>
      <w:r>
        <w:fldChar w:fldCharType="separate"/>
      </w:r>
      <w:r>
        <w:t>23</w:t>
      </w:r>
      <w:r>
        <w:fldChar w:fldCharType="end"/>
      </w:r>
      <w:r>
        <w:fldChar w:fldCharType="end"/>
      </w:r>
    </w:p>
    <w:p w14:paraId="6BE04963">
      <w:pPr>
        <w:pStyle w:val="32"/>
        <w:tabs>
          <w:tab w:val="right" w:leader="dot" w:pos="8646"/>
        </w:tabs>
        <w:ind w:left="960" w:hanging="480"/>
      </w:pPr>
      <w:r>
        <w:fldChar w:fldCharType="begin"/>
      </w:r>
      <w:r>
        <w:instrText xml:space="preserve"> HYPERLINK \l "_Toc23156" </w:instrText>
      </w:r>
      <w:r>
        <w:fldChar w:fldCharType="separate"/>
      </w:r>
      <w:r>
        <w:rPr>
          <w:lang w:eastAsia="zh-CN"/>
        </w:rPr>
        <w:t xml:space="preserve">图 </w:t>
      </w:r>
      <w:r>
        <w:t xml:space="preserve">17 </w:t>
      </w:r>
      <w:r>
        <w:rPr>
          <w:rFonts w:hint="eastAsia"/>
          <w:lang w:eastAsia="zh-CN"/>
        </w:rPr>
        <w:t xml:space="preserve"> </w:t>
      </w:r>
      <w:r>
        <w:rPr>
          <w:lang w:eastAsia="zh-CN"/>
        </w:rPr>
        <w:t>控制双向固定效应后的</w:t>
      </w:r>
      <w:r>
        <w:rPr>
          <w:rFonts w:hint="eastAsia"/>
          <w:lang w:eastAsia="zh-CN"/>
        </w:rPr>
        <w:t>夜间灯光强度</w:t>
      </w:r>
      <w:r>
        <w:rPr>
          <w:lang w:eastAsia="zh-CN"/>
        </w:rPr>
        <w:t>与碳排放效率净关系图</w:t>
      </w:r>
      <w:r>
        <w:tab/>
      </w:r>
      <w:r>
        <w:fldChar w:fldCharType="begin"/>
      </w:r>
      <w:r>
        <w:instrText xml:space="preserve"> PAGEREF _Toc23156 \h </w:instrText>
      </w:r>
      <w:r>
        <w:fldChar w:fldCharType="separate"/>
      </w:r>
      <w:r>
        <w:t>23</w:t>
      </w:r>
      <w:r>
        <w:fldChar w:fldCharType="end"/>
      </w:r>
      <w:r>
        <w:fldChar w:fldCharType="end"/>
      </w:r>
    </w:p>
    <w:p w14:paraId="166C3F99">
      <w:pPr>
        <w:pStyle w:val="32"/>
        <w:tabs>
          <w:tab w:val="right" w:leader="dot" w:pos="8646"/>
        </w:tabs>
        <w:ind w:left="960" w:hanging="480"/>
      </w:pPr>
      <w:r>
        <w:fldChar w:fldCharType="begin"/>
      </w:r>
      <w:r>
        <w:instrText xml:space="preserve"> HYPERLINK \l "_Toc6514" </w:instrText>
      </w:r>
      <w:r>
        <w:fldChar w:fldCharType="separate"/>
      </w:r>
      <w:r>
        <w:rPr>
          <w:lang w:eastAsia="zh-CN"/>
        </w:rPr>
        <w:t xml:space="preserve">图 </w:t>
      </w:r>
      <w:r>
        <w:t xml:space="preserve">18 </w:t>
      </w:r>
      <w:r>
        <w:rPr>
          <w:rFonts w:hint="eastAsia"/>
          <w:lang w:eastAsia="zh-CN"/>
        </w:rPr>
        <w:t xml:space="preserve"> </w:t>
      </w:r>
      <w:r>
        <w:rPr>
          <w:lang w:eastAsia="zh-CN"/>
        </w:rPr>
        <w:t>基准回归结果可视化（系数森林图）</w:t>
      </w:r>
      <w:r>
        <w:tab/>
      </w:r>
      <w:r>
        <w:fldChar w:fldCharType="begin"/>
      </w:r>
      <w:r>
        <w:instrText xml:space="preserve"> PAGEREF _Toc6514 \h </w:instrText>
      </w:r>
      <w:r>
        <w:fldChar w:fldCharType="separate"/>
      </w:r>
      <w:r>
        <w:t>24</w:t>
      </w:r>
      <w:r>
        <w:fldChar w:fldCharType="end"/>
      </w:r>
      <w:r>
        <w:fldChar w:fldCharType="end"/>
      </w:r>
    </w:p>
    <w:p w14:paraId="51D081F6">
      <w:pPr>
        <w:pStyle w:val="32"/>
        <w:tabs>
          <w:tab w:val="right" w:leader="dot" w:pos="8646"/>
        </w:tabs>
        <w:ind w:left="960" w:hanging="480"/>
      </w:pPr>
      <w:r>
        <w:fldChar w:fldCharType="begin"/>
      </w:r>
      <w:r>
        <w:instrText xml:space="preserve"> HYPERLINK \l "_Toc21876" </w:instrText>
      </w:r>
      <w:r>
        <w:fldChar w:fldCharType="separate"/>
      </w:r>
      <w:r>
        <w:rPr>
          <w:lang w:eastAsia="zh-CN"/>
        </w:rPr>
        <w:t xml:space="preserve">图 </w:t>
      </w:r>
      <w:r>
        <w:t xml:space="preserve">19 </w:t>
      </w:r>
      <w:r>
        <w:rPr>
          <w:rFonts w:hint="eastAsia"/>
          <w:lang w:eastAsia="zh-CN"/>
        </w:rPr>
        <w:t xml:space="preserve"> </w:t>
      </w:r>
      <w:r>
        <w:rPr>
          <w:lang w:eastAsia="zh-CN"/>
        </w:rPr>
        <w:t>2015—2022年省域碳排放效率全局 Moran’s I 变化趋势</w:t>
      </w:r>
      <w:r>
        <w:tab/>
      </w:r>
      <w:r>
        <w:fldChar w:fldCharType="begin"/>
      </w:r>
      <w:r>
        <w:instrText xml:space="preserve"> PAGEREF _Toc21876 \h </w:instrText>
      </w:r>
      <w:r>
        <w:fldChar w:fldCharType="separate"/>
      </w:r>
      <w:r>
        <w:t>25</w:t>
      </w:r>
      <w:r>
        <w:fldChar w:fldCharType="end"/>
      </w:r>
      <w:r>
        <w:fldChar w:fldCharType="end"/>
      </w:r>
    </w:p>
    <w:p w14:paraId="471688BE">
      <w:pPr>
        <w:pStyle w:val="32"/>
        <w:tabs>
          <w:tab w:val="right" w:leader="dot" w:pos="8646"/>
        </w:tabs>
        <w:ind w:left="960" w:hanging="480"/>
      </w:pPr>
      <w:r>
        <w:fldChar w:fldCharType="begin"/>
      </w:r>
      <w:r>
        <w:instrText xml:space="preserve"> HYPERLINK \l "_Toc15836" </w:instrText>
      </w:r>
      <w:r>
        <w:fldChar w:fldCharType="separate"/>
      </w:r>
      <w:r>
        <w:rPr>
          <w:lang w:eastAsia="zh-CN"/>
        </w:rPr>
        <w:t xml:space="preserve">图 </w:t>
      </w:r>
      <w:r>
        <w:t xml:space="preserve">20 </w:t>
      </w:r>
      <w:r>
        <w:rPr>
          <w:rFonts w:hint="eastAsia"/>
          <w:lang w:eastAsia="zh-CN"/>
        </w:rPr>
        <w:t xml:space="preserve"> 2015-2018-2022年</w:t>
      </w:r>
      <w:r>
        <w:rPr>
          <w:lang w:eastAsia="zh-CN"/>
        </w:rPr>
        <w:t>Moran散点图</w:t>
      </w:r>
      <w:r>
        <w:tab/>
      </w:r>
      <w:r>
        <w:fldChar w:fldCharType="begin"/>
      </w:r>
      <w:r>
        <w:instrText xml:space="preserve"> PAGEREF _Toc15836 \h </w:instrText>
      </w:r>
      <w:r>
        <w:fldChar w:fldCharType="separate"/>
      </w:r>
      <w:r>
        <w:t>26</w:t>
      </w:r>
      <w:r>
        <w:fldChar w:fldCharType="end"/>
      </w:r>
      <w:r>
        <w:fldChar w:fldCharType="end"/>
      </w:r>
    </w:p>
    <w:p w14:paraId="4688BAB6">
      <w:pPr>
        <w:pStyle w:val="32"/>
        <w:tabs>
          <w:tab w:val="right" w:leader="dot" w:pos="8646"/>
        </w:tabs>
        <w:ind w:left="960" w:hanging="480"/>
      </w:pPr>
      <w:r>
        <w:fldChar w:fldCharType="begin"/>
      </w:r>
      <w:r>
        <w:instrText xml:space="preserve"> HYPERLINK \l "_Toc10959" </w:instrText>
      </w:r>
      <w:r>
        <w:fldChar w:fldCharType="separate"/>
      </w:r>
      <w:r>
        <w:rPr>
          <w:lang w:eastAsia="zh-CN"/>
        </w:rPr>
        <w:t xml:space="preserve">图 </w:t>
      </w:r>
      <w:r>
        <w:t xml:space="preserve">21 </w:t>
      </w:r>
      <w:r>
        <w:rPr>
          <w:rFonts w:hint="eastAsia"/>
          <w:lang w:eastAsia="zh-CN"/>
        </w:rPr>
        <w:t xml:space="preserve"> </w:t>
      </w:r>
      <w:r>
        <w:rPr>
          <w:lang w:eastAsia="zh-CN"/>
        </w:rPr>
        <w:t>LISA聚类图</w:t>
      </w:r>
      <w:r>
        <w:tab/>
      </w:r>
      <w:r>
        <w:fldChar w:fldCharType="begin"/>
      </w:r>
      <w:r>
        <w:instrText xml:space="preserve"> PAGEREF _Toc10959 \h </w:instrText>
      </w:r>
      <w:r>
        <w:fldChar w:fldCharType="separate"/>
      </w:r>
      <w:r>
        <w:t>27</w:t>
      </w:r>
      <w:r>
        <w:fldChar w:fldCharType="end"/>
      </w:r>
      <w:r>
        <w:fldChar w:fldCharType="end"/>
      </w:r>
    </w:p>
    <w:p w14:paraId="066FC238">
      <w:pPr>
        <w:pStyle w:val="32"/>
        <w:tabs>
          <w:tab w:val="right" w:leader="dot" w:pos="8646"/>
        </w:tabs>
        <w:ind w:left="960" w:hanging="480"/>
      </w:pPr>
      <w:r>
        <w:fldChar w:fldCharType="begin"/>
      </w:r>
      <w:r>
        <w:instrText xml:space="preserve"> HYPERLINK \l "_Toc29064" </w:instrText>
      </w:r>
      <w:r>
        <w:fldChar w:fldCharType="separate"/>
      </w:r>
      <w:r>
        <w:t xml:space="preserve">图 22 </w:t>
      </w:r>
      <w:r>
        <w:rPr>
          <w:rFonts w:hint="eastAsia"/>
          <w:lang w:eastAsia="zh-CN"/>
        </w:rPr>
        <w:t xml:space="preserve"> SDM空间效应森林图</w:t>
      </w:r>
      <w:r>
        <w:tab/>
      </w:r>
      <w:r>
        <w:fldChar w:fldCharType="begin"/>
      </w:r>
      <w:r>
        <w:instrText xml:space="preserve"> PAGEREF _Toc29064 \h </w:instrText>
      </w:r>
      <w:r>
        <w:fldChar w:fldCharType="separate"/>
      </w:r>
      <w:r>
        <w:t>28</w:t>
      </w:r>
      <w:r>
        <w:fldChar w:fldCharType="end"/>
      </w:r>
      <w:r>
        <w:fldChar w:fldCharType="end"/>
      </w:r>
    </w:p>
    <w:p w14:paraId="087A999E">
      <w:pPr>
        <w:pStyle w:val="32"/>
        <w:tabs>
          <w:tab w:val="right" w:leader="dot" w:pos="8646"/>
        </w:tabs>
        <w:ind w:left="960" w:hanging="480"/>
      </w:pPr>
      <w:r>
        <w:fldChar w:fldCharType="begin"/>
      </w:r>
      <w:r>
        <w:instrText xml:space="preserve"> HYPERLINK \l "_Toc19481" </w:instrText>
      </w:r>
      <w:r>
        <w:fldChar w:fldCharType="separate"/>
      </w:r>
      <w:r>
        <w:rPr>
          <w:lang w:eastAsia="zh-CN"/>
        </w:rPr>
        <w:t xml:space="preserve">图 </w:t>
      </w:r>
      <w:r>
        <w:t xml:space="preserve">23 </w:t>
      </w:r>
      <w:r>
        <w:rPr>
          <w:rFonts w:hint="eastAsia"/>
          <w:lang w:eastAsia="zh-CN"/>
        </w:rPr>
        <w:t xml:space="preserve"> 基准模型拟合与残差诊断图</w:t>
      </w:r>
      <w:r>
        <w:tab/>
      </w:r>
      <w:r>
        <w:fldChar w:fldCharType="begin"/>
      </w:r>
      <w:r>
        <w:instrText xml:space="preserve"> PAGEREF _Toc19481 \h </w:instrText>
      </w:r>
      <w:r>
        <w:fldChar w:fldCharType="separate"/>
      </w:r>
      <w:r>
        <w:t>30</w:t>
      </w:r>
      <w:r>
        <w:fldChar w:fldCharType="end"/>
      </w:r>
      <w:r>
        <w:fldChar w:fldCharType="end"/>
      </w:r>
    </w:p>
    <w:p w14:paraId="6263E982">
      <w:pPr>
        <w:pStyle w:val="32"/>
        <w:tabs>
          <w:tab w:val="right" w:leader="dot" w:pos="8646"/>
        </w:tabs>
        <w:ind w:left="960" w:hanging="480"/>
      </w:pPr>
      <w:r>
        <w:fldChar w:fldCharType="begin"/>
      </w:r>
      <w:r>
        <w:instrText xml:space="preserve"> HYPERLINK \l "_Toc30798" </w:instrText>
      </w:r>
      <w:r>
        <w:fldChar w:fldCharType="separate"/>
      </w:r>
      <w:r>
        <w:rPr>
          <w:lang w:eastAsia="zh-CN"/>
        </w:rPr>
        <w:t xml:space="preserve">图 </w:t>
      </w:r>
      <w:r>
        <w:t xml:space="preserve">24 </w:t>
      </w:r>
      <w:r>
        <w:rPr>
          <w:rFonts w:hint="eastAsia"/>
          <w:lang w:eastAsia="zh-CN"/>
        </w:rPr>
        <w:t xml:space="preserve"> 稳健性检验核心系数森林图</w:t>
      </w:r>
      <w:r>
        <w:tab/>
      </w:r>
      <w:r>
        <w:fldChar w:fldCharType="begin"/>
      </w:r>
      <w:r>
        <w:instrText xml:space="preserve"> PAGEREF _Toc30798 \h </w:instrText>
      </w:r>
      <w:r>
        <w:fldChar w:fldCharType="separate"/>
      </w:r>
      <w:r>
        <w:t>31</w:t>
      </w:r>
      <w:r>
        <w:fldChar w:fldCharType="end"/>
      </w:r>
      <w:r>
        <w:fldChar w:fldCharType="end"/>
      </w:r>
    </w:p>
    <w:p w14:paraId="2E021963">
      <w:pPr>
        <w:spacing w:line="480" w:lineRule="exact"/>
      </w:pPr>
      <w:r>
        <w:fldChar w:fldCharType="end"/>
      </w:r>
    </w:p>
    <w:p w14:paraId="2194B9CB">
      <w:pPr>
        <w:jc w:val="both"/>
        <w:rPr>
          <w:lang w:eastAsia="zh-CN"/>
        </w:rPr>
      </w:pPr>
      <w:r>
        <w:rPr>
          <w:lang w:eastAsia="zh-CN"/>
        </w:rPr>
        <w:br w:type="page"/>
      </w:r>
    </w:p>
    <w:p w14:paraId="61A85784">
      <w:pPr>
        <w:spacing w:line="480" w:lineRule="exact"/>
        <w:jc w:val="center"/>
        <w:rPr>
          <w:sz w:val="28"/>
          <w:szCs w:val="28"/>
          <w:lang w:eastAsia="zh-CN"/>
        </w:rPr>
      </w:pPr>
      <w:r>
        <w:rPr>
          <w:rFonts w:eastAsia="黑体"/>
          <w:b/>
          <w:sz w:val="28"/>
          <w:szCs w:val="28"/>
          <w:lang w:eastAsia="zh-CN"/>
        </w:rPr>
        <w:t>表目录</w:t>
      </w:r>
    </w:p>
    <w:p w14:paraId="12325AB1">
      <w:pPr>
        <w:pStyle w:val="32"/>
        <w:tabs>
          <w:tab w:val="right" w:leader="dot" w:pos="8646"/>
        </w:tabs>
        <w:ind w:left="960" w:hanging="480"/>
      </w:pPr>
      <w:r>
        <w:fldChar w:fldCharType="begin"/>
      </w:r>
      <w:r>
        <w:instrText xml:space="preserve">TOC \h \c "表"</w:instrText>
      </w:r>
      <w:r>
        <w:fldChar w:fldCharType="separate"/>
      </w:r>
      <w:r>
        <w:fldChar w:fldCharType="begin"/>
      </w:r>
      <w:r>
        <w:instrText xml:space="preserve"> HYPERLINK \l "_Toc4112" </w:instrText>
      </w:r>
      <w:r>
        <w:fldChar w:fldCharType="separate"/>
      </w:r>
      <w:r>
        <w:rPr>
          <w:lang w:eastAsia="zh-CN"/>
        </w:rPr>
        <w:t xml:space="preserve">表 </w:t>
      </w:r>
      <w:r>
        <w:t xml:space="preserve">1 </w:t>
      </w:r>
      <w:r>
        <w:rPr>
          <w:lang w:eastAsia="zh-CN"/>
        </w:rPr>
        <w:t>第一阶段碳排放效率测度指标体系</w:t>
      </w:r>
      <w:r>
        <w:tab/>
      </w:r>
      <w:r>
        <w:fldChar w:fldCharType="begin"/>
      </w:r>
      <w:r>
        <w:instrText xml:space="preserve"> PAGEREF _Toc4112 \h </w:instrText>
      </w:r>
      <w:r>
        <w:fldChar w:fldCharType="separate"/>
      </w:r>
      <w:r>
        <w:t>6</w:t>
      </w:r>
      <w:r>
        <w:fldChar w:fldCharType="end"/>
      </w:r>
      <w:r>
        <w:fldChar w:fldCharType="end"/>
      </w:r>
    </w:p>
    <w:p w14:paraId="30CDF5D1">
      <w:pPr>
        <w:pStyle w:val="32"/>
        <w:tabs>
          <w:tab w:val="right" w:leader="dot" w:pos="8646"/>
        </w:tabs>
        <w:ind w:left="960" w:hanging="480"/>
      </w:pPr>
      <w:r>
        <w:fldChar w:fldCharType="begin"/>
      </w:r>
      <w:r>
        <w:instrText xml:space="preserve"> HYPERLINK \l "_Toc30495" </w:instrText>
      </w:r>
      <w:r>
        <w:fldChar w:fldCharType="separate"/>
      </w:r>
      <w:r>
        <w:rPr>
          <w:lang w:eastAsia="zh-CN"/>
        </w:rPr>
        <w:t xml:space="preserve">表 </w:t>
      </w:r>
      <w:r>
        <w:t xml:space="preserve">2 </w:t>
      </w:r>
      <w:r>
        <w:rPr>
          <w:rFonts w:hint="eastAsia"/>
          <w:lang w:eastAsia="zh-CN"/>
        </w:rPr>
        <w:t xml:space="preserve"> </w:t>
      </w:r>
      <w:r>
        <w:rPr>
          <w:lang w:eastAsia="zh-CN"/>
        </w:rPr>
        <w:t>第二阶段回归变量定义</w:t>
      </w:r>
      <w:r>
        <w:tab/>
      </w:r>
      <w:r>
        <w:fldChar w:fldCharType="begin"/>
      </w:r>
      <w:r>
        <w:instrText xml:space="preserve"> PAGEREF _Toc30495 \h </w:instrText>
      </w:r>
      <w:r>
        <w:fldChar w:fldCharType="separate"/>
      </w:r>
      <w:r>
        <w:t>7</w:t>
      </w:r>
      <w:r>
        <w:fldChar w:fldCharType="end"/>
      </w:r>
      <w:r>
        <w:fldChar w:fldCharType="end"/>
      </w:r>
    </w:p>
    <w:p w14:paraId="685C31A2">
      <w:pPr>
        <w:pStyle w:val="32"/>
        <w:tabs>
          <w:tab w:val="right" w:leader="dot" w:pos="8646"/>
        </w:tabs>
        <w:ind w:left="960" w:hanging="480"/>
      </w:pPr>
      <w:r>
        <w:fldChar w:fldCharType="begin"/>
      </w:r>
      <w:r>
        <w:instrText xml:space="preserve"> HYPERLINK \l "_Toc2335" </w:instrText>
      </w:r>
      <w:r>
        <w:fldChar w:fldCharType="separate"/>
      </w:r>
      <w:r>
        <w:rPr>
          <w:lang w:eastAsia="zh-CN"/>
        </w:rPr>
        <w:t xml:space="preserve">表 </w:t>
      </w:r>
      <w:r>
        <w:t xml:space="preserve">3 </w:t>
      </w:r>
      <w:r>
        <w:rPr>
          <w:rFonts w:hint="eastAsia"/>
          <w:lang w:eastAsia="zh-CN"/>
        </w:rPr>
        <w:t xml:space="preserve"> </w:t>
      </w:r>
      <w:r>
        <w:rPr>
          <w:lang w:eastAsia="zh-CN"/>
        </w:rPr>
        <w:t>数据来源与单位说明表</w:t>
      </w:r>
      <w:r>
        <w:tab/>
      </w:r>
      <w:r>
        <w:fldChar w:fldCharType="begin"/>
      </w:r>
      <w:r>
        <w:instrText xml:space="preserve"> PAGEREF _Toc2335 \h </w:instrText>
      </w:r>
      <w:r>
        <w:fldChar w:fldCharType="separate"/>
      </w:r>
      <w:r>
        <w:t>8</w:t>
      </w:r>
      <w:r>
        <w:fldChar w:fldCharType="end"/>
      </w:r>
      <w:r>
        <w:fldChar w:fldCharType="end"/>
      </w:r>
    </w:p>
    <w:p w14:paraId="33E90478">
      <w:pPr>
        <w:pStyle w:val="32"/>
        <w:tabs>
          <w:tab w:val="right" w:leader="dot" w:pos="8646"/>
        </w:tabs>
        <w:ind w:left="960" w:hanging="480"/>
      </w:pPr>
      <w:r>
        <w:fldChar w:fldCharType="begin"/>
      </w:r>
      <w:r>
        <w:instrText xml:space="preserve"> HYPERLINK \l "_Toc28655" </w:instrText>
      </w:r>
      <w:r>
        <w:fldChar w:fldCharType="separate"/>
      </w:r>
      <w:r>
        <w:t xml:space="preserve">表 4 </w:t>
      </w:r>
      <w:r>
        <w:rPr>
          <w:rFonts w:hint="eastAsia"/>
          <w:lang w:eastAsia="zh-CN"/>
        </w:rPr>
        <w:t xml:space="preserve"> </w:t>
      </w:r>
      <w:r>
        <w:t>描述性统计表</w:t>
      </w:r>
      <w:r>
        <w:tab/>
      </w:r>
      <w:r>
        <w:fldChar w:fldCharType="begin"/>
      </w:r>
      <w:r>
        <w:instrText xml:space="preserve"> PAGEREF _Toc28655 \h </w:instrText>
      </w:r>
      <w:r>
        <w:fldChar w:fldCharType="separate"/>
      </w:r>
      <w:r>
        <w:t>12</w:t>
      </w:r>
      <w:r>
        <w:fldChar w:fldCharType="end"/>
      </w:r>
      <w:r>
        <w:fldChar w:fldCharType="end"/>
      </w:r>
    </w:p>
    <w:p w14:paraId="0D5D49A9">
      <w:pPr>
        <w:pStyle w:val="32"/>
        <w:tabs>
          <w:tab w:val="right" w:leader="dot" w:pos="8646"/>
        </w:tabs>
        <w:ind w:left="960" w:hanging="480"/>
      </w:pPr>
      <w:r>
        <w:fldChar w:fldCharType="begin"/>
      </w:r>
      <w:r>
        <w:instrText xml:space="preserve"> HYPERLINK \l "_Toc11059" </w:instrText>
      </w:r>
      <w:r>
        <w:fldChar w:fldCharType="separate"/>
      </w:r>
      <w:r>
        <w:rPr>
          <w:rFonts w:hint="eastAsia"/>
          <w:lang w:eastAsia="zh-CN"/>
        </w:rPr>
        <w:t xml:space="preserve">表 </w:t>
      </w:r>
      <w:r>
        <w:t xml:space="preserve">5 </w:t>
      </w:r>
      <w:r>
        <w:rPr>
          <w:rFonts w:hint="eastAsia"/>
          <w:lang w:eastAsia="zh-CN"/>
        </w:rPr>
        <w:t xml:space="preserve"> 2015—2022年全国平均碳排放效率年度统计</w:t>
      </w:r>
      <w:r>
        <w:tab/>
      </w:r>
      <w:r>
        <w:fldChar w:fldCharType="begin"/>
      </w:r>
      <w:r>
        <w:instrText xml:space="preserve"> PAGEREF _Toc11059 \h </w:instrText>
      </w:r>
      <w:r>
        <w:fldChar w:fldCharType="separate"/>
      </w:r>
      <w:r>
        <w:t>15</w:t>
      </w:r>
      <w:r>
        <w:fldChar w:fldCharType="end"/>
      </w:r>
      <w:r>
        <w:fldChar w:fldCharType="end"/>
      </w:r>
    </w:p>
    <w:p w14:paraId="4EDF989C">
      <w:pPr>
        <w:pStyle w:val="32"/>
        <w:tabs>
          <w:tab w:val="right" w:leader="dot" w:pos="8646"/>
        </w:tabs>
        <w:ind w:left="960" w:hanging="480"/>
      </w:pPr>
      <w:r>
        <w:fldChar w:fldCharType="begin"/>
      </w:r>
      <w:r>
        <w:instrText xml:space="preserve"> HYPERLINK \l "_Toc5255" </w:instrText>
      </w:r>
      <w:r>
        <w:fldChar w:fldCharType="separate"/>
      </w:r>
      <w:r>
        <w:t xml:space="preserve">表 6 </w:t>
      </w:r>
      <w:r>
        <w:rPr>
          <w:rFonts w:hint="eastAsia"/>
          <w:lang w:eastAsia="zh-CN"/>
        </w:rPr>
        <w:t xml:space="preserve"> </w:t>
      </w:r>
      <w:r>
        <w:t>Malmquist 指数年度均值</w:t>
      </w:r>
      <w:r>
        <w:tab/>
      </w:r>
      <w:r>
        <w:fldChar w:fldCharType="begin"/>
      </w:r>
      <w:r>
        <w:instrText xml:space="preserve"> PAGEREF _Toc5255 \h </w:instrText>
      </w:r>
      <w:r>
        <w:fldChar w:fldCharType="separate"/>
      </w:r>
      <w:r>
        <w:t>19</w:t>
      </w:r>
      <w:r>
        <w:fldChar w:fldCharType="end"/>
      </w:r>
      <w:r>
        <w:fldChar w:fldCharType="end"/>
      </w:r>
    </w:p>
    <w:p w14:paraId="72EE65B2">
      <w:pPr>
        <w:pStyle w:val="32"/>
        <w:tabs>
          <w:tab w:val="right" w:leader="dot" w:pos="8646"/>
        </w:tabs>
        <w:ind w:left="960" w:hanging="480"/>
      </w:pPr>
      <w:r>
        <w:fldChar w:fldCharType="begin"/>
      </w:r>
      <w:r>
        <w:instrText xml:space="preserve"> HYPERLINK \l "_Toc13931" </w:instrText>
      </w:r>
      <w:r>
        <w:fldChar w:fldCharType="separate"/>
      </w:r>
      <w:r>
        <w:rPr>
          <w:lang w:eastAsia="zh-CN"/>
        </w:rPr>
        <w:t xml:space="preserve">表 </w:t>
      </w:r>
      <w:r>
        <w:t xml:space="preserve">7 </w:t>
      </w:r>
      <w:r>
        <w:rPr>
          <w:rFonts w:hint="eastAsia"/>
          <w:lang w:eastAsia="zh-CN"/>
        </w:rPr>
        <w:t xml:space="preserve"> </w:t>
      </w:r>
      <w:r>
        <w:rPr>
          <w:lang w:eastAsia="zh-CN"/>
        </w:rPr>
        <w:t>双向固定效应基准回归结果</w:t>
      </w:r>
      <w:r>
        <w:tab/>
      </w:r>
      <w:r>
        <w:fldChar w:fldCharType="begin"/>
      </w:r>
      <w:r>
        <w:instrText xml:space="preserve"> PAGEREF _Toc13931 \h </w:instrText>
      </w:r>
      <w:r>
        <w:fldChar w:fldCharType="separate"/>
      </w:r>
      <w:r>
        <w:t>22</w:t>
      </w:r>
      <w:r>
        <w:fldChar w:fldCharType="end"/>
      </w:r>
      <w:r>
        <w:fldChar w:fldCharType="end"/>
      </w:r>
    </w:p>
    <w:p w14:paraId="3EC05360">
      <w:pPr>
        <w:pStyle w:val="32"/>
        <w:tabs>
          <w:tab w:val="right" w:leader="dot" w:pos="8646"/>
        </w:tabs>
        <w:ind w:left="960" w:hanging="480"/>
      </w:pPr>
      <w:r>
        <w:fldChar w:fldCharType="begin"/>
      </w:r>
      <w:r>
        <w:instrText xml:space="preserve"> HYPERLINK \l "_Toc5007" </w:instrText>
      </w:r>
      <w:r>
        <w:fldChar w:fldCharType="separate"/>
      </w:r>
      <w:r>
        <w:rPr>
          <w:lang w:eastAsia="zh-CN"/>
        </w:rPr>
        <w:t xml:space="preserve">表 </w:t>
      </w:r>
      <w:r>
        <w:t xml:space="preserve">8 </w:t>
      </w:r>
      <w:r>
        <w:rPr>
          <w:rFonts w:hint="eastAsia"/>
          <w:lang w:eastAsia="zh-CN"/>
        </w:rPr>
        <w:t xml:space="preserve"> </w:t>
      </w:r>
      <w:r>
        <w:rPr>
          <w:lang w:eastAsia="zh-CN"/>
        </w:rPr>
        <w:t>基准面板回归模型拟合统计量与诊断摘要</w:t>
      </w:r>
      <w:r>
        <w:tab/>
      </w:r>
      <w:r>
        <w:fldChar w:fldCharType="begin"/>
      </w:r>
      <w:r>
        <w:instrText xml:space="preserve"> PAGEREF _Toc5007 \h </w:instrText>
      </w:r>
      <w:r>
        <w:fldChar w:fldCharType="separate"/>
      </w:r>
      <w:r>
        <w:t>30</w:t>
      </w:r>
      <w:r>
        <w:fldChar w:fldCharType="end"/>
      </w:r>
      <w:r>
        <w:fldChar w:fldCharType="end"/>
      </w:r>
    </w:p>
    <w:p w14:paraId="734B717F">
      <w:r>
        <w:fldChar w:fldCharType="end"/>
      </w:r>
    </w:p>
    <w:p w14:paraId="304E1D5C">
      <w:pPr>
        <w:jc w:val="both"/>
        <w:rPr>
          <w:lang w:eastAsia="zh-CN"/>
        </w:rPr>
      </w:pPr>
      <w:r>
        <w:rPr>
          <w:lang w:eastAsia="zh-CN"/>
        </w:rPr>
        <w:br w:type="page"/>
      </w:r>
    </w:p>
    <w:p w14:paraId="3FC90E97">
      <w:pPr>
        <w:spacing w:line="480" w:lineRule="exact"/>
        <w:jc w:val="center"/>
        <w:rPr>
          <w:rFonts w:ascii="方正小标宋简体" w:eastAsia="方正小标宋简体"/>
          <w:sz w:val="32"/>
          <w:szCs w:val="32"/>
          <w:lang w:eastAsia="zh-CN"/>
        </w:rPr>
      </w:pPr>
      <w:r>
        <w:rPr>
          <w:rFonts w:hint="eastAsia" w:ascii="方正小标宋简体" w:eastAsia="方正小标宋简体"/>
          <w:b/>
          <w:sz w:val="32"/>
          <w:szCs w:val="32"/>
          <w:lang w:eastAsia="zh-CN"/>
        </w:rPr>
        <w:t>基于夜间灯光遥感数据的中国省域碳排放效率测度及影响因素的研究</w:t>
      </w:r>
    </w:p>
    <w:p w14:paraId="1F418B3A">
      <w:pPr>
        <w:spacing w:line="480" w:lineRule="exact"/>
        <w:jc w:val="center"/>
        <w:rPr>
          <w:lang w:eastAsia="zh-CN"/>
        </w:rPr>
      </w:pPr>
      <w:r>
        <w:rPr>
          <w:rFonts w:eastAsia="黑体"/>
          <w:b/>
          <w:sz w:val="28"/>
          <w:lang w:eastAsia="zh-CN"/>
        </w:rPr>
        <w:t>摘  要</w:t>
      </w:r>
    </w:p>
    <w:p w14:paraId="3086F7C7">
      <w:pPr>
        <w:spacing w:line="480" w:lineRule="exact"/>
        <w:ind w:firstLine="480" w:firstLineChars="200"/>
        <w:jc w:val="both"/>
        <w:rPr>
          <w:rFonts w:ascii="宋体" w:hAnsi="宋体"/>
          <w:lang w:eastAsia="zh-CN"/>
        </w:rPr>
      </w:pPr>
      <w:r>
        <w:rPr>
          <w:rFonts w:hint="eastAsia" w:ascii="宋体" w:hAnsi="宋体"/>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4DC609D">
      <w:pPr>
        <w:spacing w:line="480" w:lineRule="exact"/>
        <w:ind w:firstLine="480" w:firstLineChars="200"/>
        <w:jc w:val="both"/>
        <w:rPr>
          <w:rFonts w:ascii="宋体" w:hAnsi="宋体"/>
          <w:lang w:eastAsia="zh-CN"/>
        </w:rPr>
      </w:pPr>
      <w:r>
        <w:rPr>
          <w:rFonts w:hint="eastAsia" w:ascii="宋体" w:hAnsi="宋体"/>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55734046">
      <w:pPr>
        <w:jc w:val="both"/>
        <w:rPr>
          <w:rFonts w:ascii="黑体" w:hAnsi="黑体" w:eastAsia="黑体"/>
          <w:lang w:eastAsia="zh-CN"/>
        </w:rPr>
      </w:pPr>
      <w:r>
        <w:rPr>
          <w:rFonts w:ascii="黑体" w:hAnsi="黑体" w:eastAsia="黑体"/>
          <w:b/>
          <w:bCs/>
          <w:lang w:eastAsia="zh-CN"/>
        </w:rPr>
        <w:t>关键词：</w:t>
      </w:r>
      <w:r>
        <w:rPr>
          <w:rFonts w:ascii="黑体" w:hAnsi="黑体" w:eastAsia="黑体"/>
          <w:lang w:eastAsia="zh-CN"/>
        </w:rPr>
        <w:t>夜间灯光遥感数据；碳排放效率；超效率SBM；Malmquist指数；空间相关性</w:t>
      </w:r>
    </w:p>
    <w:p w14:paraId="4175A415">
      <w:pPr>
        <w:pageBreakBefore/>
        <w:jc w:val="center"/>
      </w:pPr>
      <w:r>
        <w:rPr>
          <w:rFonts w:eastAsia="Times New Roman"/>
          <w:b/>
          <w:sz w:val="28"/>
        </w:rPr>
        <w:t>Abstract</w:t>
      </w:r>
    </w:p>
    <w:p w14:paraId="59248D9F">
      <w:pPr>
        <w:ind w:firstLine="480" w:firstLineChars="200"/>
        <w:jc w:val="both"/>
      </w:pPr>
      <w: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6A59FE5A">
      <w:pPr>
        <w:jc w:val="both"/>
      </w:pPr>
      <w:r>
        <w:rPr>
          <w:b/>
          <w:bCs/>
        </w:rPr>
        <w:t>Key words:</w:t>
      </w:r>
      <w:r>
        <w:t xml:space="preserve"> nighttime light remote sensing; carbon emission efficiency; super-efficiency SBM; Malmquist index; spatial dependence</w:t>
      </w:r>
    </w:p>
    <w:p w14:paraId="197FAAA0">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51C16D21">
      <w:pPr>
        <w:spacing w:line="480" w:lineRule="exact"/>
        <w:jc w:val="center"/>
        <w:rPr>
          <w:rFonts w:ascii="方正小标宋简体" w:eastAsia="方正小标宋简体"/>
          <w:b/>
          <w:sz w:val="32"/>
          <w:szCs w:val="32"/>
          <w:lang w:eastAsia="zh-CN"/>
        </w:rPr>
      </w:pPr>
      <w:bookmarkStart w:id="0" w:name="_Toc17149"/>
      <w:r>
        <w:rPr>
          <w:rFonts w:hint="eastAsia" w:ascii="方正小标宋简体" w:eastAsia="方正小标宋简体"/>
          <w:b/>
          <w:sz w:val="32"/>
          <w:szCs w:val="32"/>
          <w:lang w:eastAsia="zh-CN"/>
        </w:rPr>
        <w:t>基于夜间灯光遥感数据的中国省域碳排放效率测度及影响因素的研究</w:t>
      </w:r>
    </w:p>
    <w:p w14:paraId="04845CE4">
      <w:pPr>
        <w:pStyle w:val="3"/>
        <w:jc w:val="both"/>
        <w:rPr>
          <w:color w:val="auto"/>
          <w:szCs w:val="30"/>
          <w:lang w:eastAsia="zh-CN"/>
        </w:rPr>
      </w:pPr>
      <w:r>
        <w:rPr>
          <w:color w:val="auto"/>
          <w:szCs w:val="30"/>
          <w:lang w:eastAsia="zh-CN"/>
        </w:rPr>
        <w:t>一、引言</w:t>
      </w:r>
      <w:bookmarkEnd w:id="0"/>
    </w:p>
    <w:p w14:paraId="64EC3865">
      <w:pPr>
        <w:pStyle w:val="4"/>
        <w:jc w:val="both"/>
        <w:rPr>
          <w:rFonts w:ascii="楷体" w:hAnsi="楷体"/>
          <w:color w:val="auto"/>
          <w:lang w:eastAsia="zh-CN"/>
        </w:rPr>
      </w:pPr>
      <w:bookmarkStart w:id="1" w:name="_Toc12936"/>
      <w:r>
        <w:rPr>
          <w:rFonts w:ascii="楷体" w:hAnsi="楷体"/>
          <w:color w:val="auto"/>
          <w:lang w:eastAsia="zh-CN"/>
        </w:rPr>
        <w:t>（一）研究背景与问题提出</w:t>
      </w:r>
      <w:bookmarkEnd w:id="1"/>
    </w:p>
    <w:p w14:paraId="553C62EA">
      <w:pPr>
        <w:spacing w:after="0" w:line="480" w:lineRule="exact"/>
        <w:ind w:firstLine="480" w:firstLineChars="200"/>
        <w:jc w:val="both"/>
        <w:rPr>
          <w:rFonts w:ascii="宋体" w:hAnsi="宋体"/>
          <w:lang w:eastAsia="zh-CN"/>
        </w:rPr>
      </w:pPr>
      <w:r>
        <w:rPr>
          <w:rFonts w:hint="eastAsia" w:ascii="宋体" w:hAnsi="宋体"/>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08AB9E40">
      <w:pPr>
        <w:pStyle w:val="4"/>
        <w:jc w:val="both"/>
        <w:rPr>
          <w:rFonts w:ascii="楷体" w:hAnsi="楷体"/>
          <w:color w:val="auto"/>
          <w:lang w:eastAsia="zh-CN"/>
        </w:rPr>
      </w:pPr>
      <w:bookmarkStart w:id="2" w:name="_Toc3209"/>
      <w:r>
        <w:rPr>
          <w:rFonts w:ascii="楷体" w:hAnsi="楷体"/>
          <w:color w:val="auto"/>
          <w:lang w:eastAsia="zh-CN"/>
        </w:rPr>
        <w:t>（二）研究问题与研究价值</w:t>
      </w:r>
      <w:bookmarkEnd w:id="2"/>
    </w:p>
    <w:p w14:paraId="3AE2BEAA">
      <w:pPr>
        <w:spacing w:after="0" w:line="480" w:lineRule="exact"/>
        <w:ind w:firstLine="480" w:firstLineChars="200"/>
        <w:jc w:val="both"/>
        <w:rPr>
          <w:rFonts w:ascii="宋体" w:hAnsi="宋体"/>
          <w:lang w:eastAsia="zh-CN"/>
        </w:rPr>
      </w:pPr>
      <w:r>
        <w:rPr>
          <w:rFonts w:ascii="宋体" w:hAnsi="宋体"/>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宋体" w:hAnsi="宋体"/>
          <w:lang w:eastAsia="zh-CN"/>
        </w:rPr>
        <w:t>省域</w:t>
      </w:r>
      <w:r>
        <w:rPr>
          <w:rFonts w:ascii="宋体" w:hAnsi="宋体"/>
          <w:lang w:eastAsia="zh-CN"/>
        </w:rPr>
        <w:t>碳排放效率是否存在空间相关性，以及某省夜间灯光强度是否会对周边省份碳排放效率产生溢出影响</w:t>
      </w:r>
    </w:p>
    <w:p w14:paraId="27B94930">
      <w:pPr>
        <w:pStyle w:val="4"/>
        <w:jc w:val="both"/>
        <w:rPr>
          <w:rFonts w:ascii="楷体" w:hAnsi="楷体"/>
          <w:color w:val="auto"/>
          <w:lang w:eastAsia="zh-CN"/>
        </w:rPr>
      </w:pPr>
      <w:bookmarkStart w:id="3" w:name="_Toc20622"/>
      <w:r>
        <w:rPr>
          <w:rFonts w:ascii="楷体" w:hAnsi="楷体"/>
          <w:color w:val="auto"/>
          <w:lang w:eastAsia="zh-CN"/>
        </w:rPr>
        <w:t>（三）研究思路与核心内容</w:t>
      </w:r>
      <w:bookmarkEnd w:id="3"/>
    </w:p>
    <w:p w14:paraId="0A399094">
      <w:pPr>
        <w:spacing w:after="0" w:line="480" w:lineRule="exact"/>
        <w:ind w:firstLine="480" w:firstLineChars="200"/>
        <w:jc w:val="both"/>
        <w:rPr>
          <w:lang w:eastAsia="zh-CN"/>
        </w:rPr>
      </w:pPr>
      <w:r>
        <w:rPr>
          <w:rFonts w:hint="eastAsia"/>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w:t>
      </w:r>
      <w:r>
        <w:rPr>
          <w:lang w:eastAsia="zh-CN"/>
        </w:rPr>
        <w:t>’</w:t>
      </w:r>
      <w:r>
        <w:rPr>
          <w:rFonts w:hint="eastAsia"/>
          <w:lang w:eastAsia="zh-CN"/>
        </w:rPr>
        <w:t>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5D6C44F2">
      <w:pPr>
        <w:pStyle w:val="4"/>
        <w:jc w:val="both"/>
        <w:rPr>
          <w:rFonts w:ascii="楷体" w:hAnsi="楷体"/>
          <w:color w:val="auto"/>
          <w:lang w:eastAsia="zh-CN"/>
        </w:rPr>
      </w:pPr>
      <w:bookmarkStart w:id="4" w:name="_Toc27283"/>
      <w:r>
        <w:rPr>
          <w:rFonts w:ascii="楷体" w:hAnsi="楷体"/>
          <w:color w:val="auto"/>
          <w:lang w:eastAsia="zh-CN"/>
        </w:rPr>
        <w:t>（四）可能的边际贡献</w:t>
      </w:r>
      <w:bookmarkEnd w:id="4"/>
    </w:p>
    <w:p w14:paraId="1D9DE72F">
      <w:pPr>
        <w:spacing w:after="0" w:line="480" w:lineRule="exact"/>
        <w:ind w:firstLine="480" w:firstLineChars="200"/>
        <w:jc w:val="both"/>
        <w:rPr>
          <w:lang w:eastAsia="zh-CN"/>
        </w:rPr>
      </w:pPr>
      <w:r>
        <w:rPr>
          <w:lang w:eastAsia="zh-CN"/>
        </w:rPr>
        <w:t>第一，在指标选取与解释框架上，本文将夜间灯光遥感数据纳入碳排放效率研究，并强调其</w:t>
      </w:r>
      <w:r>
        <w:rPr>
          <w:rFonts w:hint="eastAsia"/>
          <w:lang w:eastAsia="zh-CN"/>
        </w:rPr>
        <w:t>“</w:t>
      </w:r>
      <w:r>
        <w:rPr>
          <w:lang w:eastAsia="zh-CN"/>
        </w:rPr>
        <w:t>夜间灯光强度对数项（LNTL）</w:t>
      </w:r>
      <w:r>
        <w:rPr>
          <w:rFonts w:hint="eastAsia"/>
          <w:lang w:eastAsia="zh-CN"/>
        </w:rPr>
        <w:t>”</w:t>
      </w:r>
      <w:r>
        <w:rPr>
          <w:lang w:eastAsia="zh-CN"/>
        </w:rPr>
        <w:t>属性，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4DBAC5CC">
      <w:pPr>
        <w:spacing w:after="0" w:line="480" w:lineRule="exact"/>
        <w:ind w:firstLine="480" w:firstLineChars="200"/>
        <w:jc w:val="both"/>
        <w:rPr>
          <w:rFonts w:ascii="宋体" w:hAnsi="宋体"/>
          <w:lang w:eastAsia="zh-CN"/>
        </w:rPr>
      </w:pPr>
      <w:r>
        <w:rPr>
          <w:rFonts w:hint="eastAsia"/>
          <w:lang w:eastAsia="zh-CN"/>
        </w:rPr>
        <w:t>本文的研究技术路线图如图1所示。</w:t>
      </w:r>
    </w:p>
    <w:p w14:paraId="11430724">
      <w:pPr>
        <w:spacing w:before="120" w:beforeLines="50" w:after="0"/>
        <w:jc w:val="both"/>
        <w:rPr>
          <w:lang w:eastAsia="zh-CN"/>
        </w:rPr>
      </w:pPr>
      <w:r>
        <w:rPr>
          <w:lang w:eastAsia="zh-CN"/>
        </w:rPr>
        <w:drawing>
          <wp:inline distT="0" distB="0" distL="114300" distR="114300">
            <wp:extent cx="5365750" cy="3421380"/>
            <wp:effectExtent l="0" t="0" r="6350" b="762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10" cstate="hqprint"/>
                    <a:srcRect t="4341"/>
                    <a:stretch>
                      <a:fillRect/>
                    </a:stretch>
                  </pic:blipFill>
                  <pic:spPr>
                    <a:xfrm>
                      <a:off x="0" y="0"/>
                      <a:ext cx="5378894" cy="3429898"/>
                    </a:xfrm>
                    <a:prstGeom prst="rect">
                      <a:avLst/>
                    </a:prstGeom>
                  </pic:spPr>
                </pic:pic>
              </a:graphicData>
            </a:graphic>
          </wp:inline>
        </w:drawing>
      </w:r>
    </w:p>
    <w:p w14:paraId="5375B65C">
      <w:pPr>
        <w:pStyle w:val="15"/>
        <w:spacing w:after="0" w:line="400" w:lineRule="exact"/>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w:t>
      </w:r>
      <w:r>
        <w:fldChar w:fldCharType="end"/>
      </w:r>
      <w:bookmarkStart w:id="5" w:name="_Toc10589"/>
      <w:r>
        <w:rPr>
          <w:rFonts w:hint="eastAsia"/>
          <w:lang w:eastAsia="zh-CN"/>
        </w:rPr>
        <w:t xml:space="preserve"> </w:t>
      </w:r>
      <w:r>
        <w:rPr>
          <w:lang w:eastAsia="zh-CN"/>
        </w:rPr>
        <w:t>研究技术路线图</w:t>
      </w:r>
      <w:bookmarkEnd w:id="5"/>
      <w:bookmarkStart w:id="6" w:name="_Toc5559"/>
    </w:p>
    <w:p w14:paraId="65E1CFCC">
      <w:pPr>
        <w:pStyle w:val="3"/>
        <w:jc w:val="both"/>
        <w:rPr>
          <w:color w:val="auto"/>
          <w:szCs w:val="30"/>
          <w:lang w:eastAsia="zh-CN"/>
        </w:rPr>
      </w:pPr>
      <w:r>
        <w:rPr>
          <w:color w:val="auto"/>
          <w:szCs w:val="30"/>
          <w:lang w:eastAsia="zh-CN"/>
        </w:rPr>
        <w:t>二、文献综述与理论分析</w:t>
      </w:r>
      <w:bookmarkEnd w:id="6"/>
    </w:p>
    <w:p w14:paraId="22ED9FED">
      <w:pPr>
        <w:pStyle w:val="4"/>
        <w:jc w:val="both"/>
        <w:rPr>
          <w:rFonts w:ascii="楷体" w:hAnsi="楷体"/>
          <w:color w:val="auto"/>
          <w:lang w:eastAsia="zh-CN"/>
        </w:rPr>
      </w:pPr>
      <w:bookmarkStart w:id="7" w:name="_Toc26210"/>
      <w:r>
        <w:rPr>
          <w:rFonts w:ascii="楷体" w:hAnsi="楷体"/>
          <w:color w:val="auto"/>
          <w:lang w:eastAsia="zh-CN"/>
        </w:rPr>
        <w:t>（一）碳排放效率测度研究</w:t>
      </w:r>
      <w:bookmarkEnd w:id="7"/>
    </w:p>
    <w:p w14:paraId="111D0045">
      <w:pPr>
        <w:spacing w:after="0" w:line="480" w:lineRule="exact"/>
        <w:ind w:firstLine="480" w:firstLineChars="200"/>
        <w:jc w:val="both"/>
        <w:rPr>
          <w:rFonts w:ascii="宋体" w:hAnsi="宋体"/>
          <w:lang w:eastAsia="zh-CN"/>
        </w:rPr>
      </w:pPr>
      <w:r>
        <w:rPr>
          <w:rFonts w:ascii="宋体" w:hAnsi="宋体"/>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宋体" w:hAnsi="宋体"/>
          <w:lang w:eastAsia="zh-CN"/>
        </w:rPr>
        <w:t>省域</w:t>
      </w:r>
      <w:r>
        <w:rPr>
          <w:rFonts w:ascii="宋体" w:hAnsi="宋体"/>
          <w:lang w:eastAsia="zh-CN"/>
        </w:rPr>
        <w:t>比较研究。</w:t>
      </w:r>
      <w:r>
        <w:rPr>
          <w:rFonts w:cs="Times New Roman"/>
          <w:vertAlign w:val="superscript"/>
          <w:lang w:eastAsia="zh-CN"/>
        </w:rPr>
        <w:t>[1-</w:t>
      </w:r>
      <w:r>
        <w:rPr>
          <w:rFonts w:hint="eastAsia" w:cs="Times New Roman"/>
          <w:vertAlign w:val="superscript"/>
          <w:lang w:eastAsia="zh-CN"/>
        </w:rPr>
        <w:t>4</w:t>
      </w:r>
      <w:r>
        <w:rPr>
          <w:rFonts w:cs="Times New Roman"/>
          <w:vertAlign w:val="superscript"/>
          <w:lang w:eastAsia="zh-CN"/>
        </w:rPr>
        <w:t>]</w:t>
      </w:r>
      <w:r>
        <w:rPr>
          <w:rFonts w:ascii="宋体" w:hAnsi="宋体"/>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vertAlign w:val="superscript"/>
          <w:lang w:eastAsia="zh-CN"/>
        </w:rPr>
        <w:t>[12-16,20]</w:t>
      </w:r>
      <w:r>
        <w:rPr>
          <w:rFonts w:ascii="宋体" w:hAnsi="宋体"/>
          <w:lang w:eastAsia="zh-CN"/>
        </w:rPr>
        <w:t>。</w:t>
      </w:r>
    </w:p>
    <w:p w14:paraId="20A0213F">
      <w:pPr>
        <w:pStyle w:val="4"/>
        <w:jc w:val="both"/>
        <w:rPr>
          <w:lang w:eastAsia="zh-CN"/>
        </w:rPr>
      </w:pPr>
      <w:bookmarkStart w:id="8" w:name="_Toc1297"/>
      <w:r>
        <w:rPr>
          <w:rFonts w:ascii="楷体" w:hAnsi="楷体"/>
          <w:color w:val="auto"/>
          <w:lang w:eastAsia="zh-CN"/>
        </w:rPr>
        <w:t>（二）夜间灯光遥感数据应用研究</w:t>
      </w:r>
      <w:bookmarkEnd w:id="8"/>
    </w:p>
    <w:p w14:paraId="3A2840FC">
      <w:pPr>
        <w:spacing w:after="0" w:line="480" w:lineRule="exact"/>
        <w:ind w:firstLine="480" w:firstLineChars="200"/>
        <w:jc w:val="both"/>
        <w:rPr>
          <w:rFonts w:ascii="宋体" w:hAnsi="宋体"/>
          <w:lang w:eastAsia="zh-CN"/>
        </w:rPr>
      </w:pPr>
      <w:r>
        <w:rPr>
          <w:rFonts w:ascii="宋体" w:hAnsi="宋体"/>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vertAlign w:val="superscript"/>
          <w:lang w:eastAsia="zh-CN"/>
        </w:rPr>
        <w:t>[6-8]</w:t>
      </w:r>
      <w:r>
        <w:rPr>
          <w:rFonts w:ascii="宋体" w:hAnsi="宋体"/>
          <w:lang w:eastAsia="zh-CN"/>
        </w:rPr>
        <w:t>。</w:t>
      </w:r>
    </w:p>
    <w:p w14:paraId="3551C7E2">
      <w:pPr>
        <w:spacing w:after="0" w:line="480" w:lineRule="exact"/>
        <w:ind w:firstLine="480" w:firstLineChars="200"/>
        <w:jc w:val="both"/>
        <w:rPr>
          <w:rFonts w:ascii="宋体" w:hAnsi="宋体"/>
          <w:lang w:eastAsia="zh-CN"/>
        </w:rPr>
      </w:pPr>
      <w:r>
        <w:rPr>
          <w:rFonts w:ascii="宋体" w:hAnsi="宋体"/>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宋体" w:hAnsi="宋体"/>
          <w:lang w:eastAsia="zh-CN"/>
        </w:rPr>
        <w:t>省域</w:t>
      </w:r>
      <w:r>
        <w:rPr>
          <w:rFonts w:ascii="宋体" w:hAnsi="宋体"/>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vertAlign w:val="superscript"/>
          <w:lang w:eastAsia="zh-CN"/>
        </w:rPr>
        <w:t>[18,22-23]</w:t>
      </w:r>
      <w:r>
        <w:rPr>
          <w:rFonts w:ascii="宋体" w:hAnsi="宋体"/>
          <w:lang w:eastAsia="zh-CN"/>
        </w:rPr>
        <w:t>。</w:t>
      </w:r>
    </w:p>
    <w:p w14:paraId="1D6DF5C1">
      <w:pPr>
        <w:pStyle w:val="4"/>
        <w:jc w:val="both"/>
        <w:rPr>
          <w:rFonts w:ascii="楷体" w:hAnsi="楷体"/>
          <w:color w:val="auto"/>
          <w:lang w:eastAsia="zh-CN"/>
        </w:rPr>
      </w:pPr>
      <w:bookmarkStart w:id="9" w:name="_Toc8738"/>
      <w:r>
        <w:rPr>
          <w:rFonts w:ascii="楷体" w:hAnsi="楷体"/>
          <w:color w:val="auto"/>
          <w:lang w:eastAsia="zh-CN"/>
        </w:rPr>
        <w:t>（三）影响因素与空间效应研究</w:t>
      </w:r>
      <w:bookmarkEnd w:id="9"/>
    </w:p>
    <w:p w14:paraId="1E79BFFD">
      <w:pPr>
        <w:spacing w:after="0" w:line="480" w:lineRule="exact"/>
        <w:ind w:firstLine="480" w:firstLineChars="200"/>
        <w:jc w:val="both"/>
        <w:rPr>
          <w:rFonts w:ascii="宋体" w:hAnsi="宋体"/>
          <w:lang w:eastAsia="zh-CN"/>
        </w:rPr>
      </w:pPr>
      <w:r>
        <w:rPr>
          <w:rFonts w:ascii="宋体" w:hAnsi="宋体"/>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w:t>
      </w:r>
    </w:p>
    <w:p w14:paraId="3FC6FC57">
      <w:pPr>
        <w:spacing w:after="0" w:line="480" w:lineRule="exact"/>
        <w:jc w:val="both"/>
        <w:rPr>
          <w:rFonts w:ascii="宋体" w:hAnsi="宋体"/>
          <w:lang w:eastAsia="zh-CN"/>
        </w:rPr>
      </w:pPr>
      <w:r>
        <w:rPr>
          <w:rFonts w:ascii="宋体" w:hAnsi="宋体"/>
          <w:lang w:eastAsia="zh-CN"/>
        </w:rPr>
        <w:t>聚能够提高资源配置效率，但粗放扩张也可能带来额外能源消耗和环境压力</w:t>
      </w:r>
      <w:r>
        <w:rPr>
          <w:rFonts w:cs="Times New Roman"/>
          <w:vertAlign w:val="superscript"/>
          <w:lang w:eastAsia="zh-CN"/>
        </w:rPr>
        <w:t>[17,21,24]</w:t>
      </w:r>
      <w:r>
        <w:rPr>
          <w:rFonts w:ascii="宋体" w:hAnsi="宋体"/>
          <w:lang w:eastAsia="zh-CN"/>
        </w:rPr>
        <w:t>。</w:t>
      </w:r>
    </w:p>
    <w:p w14:paraId="4FCB6E9F">
      <w:pPr>
        <w:spacing w:after="0" w:line="480" w:lineRule="exact"/>
        <w:ind w:firstLine="480" w:firstLineChars="200"/>
        <w:jc w:val="both"/>
        <w:rPr>
          <w:rFonts w:ascii="宋体" w:hAnsi="宋体"/>
          <w:lang w:eastAsia="zh-CN"/>
        </w:rPr>
      </w:pPr>
      <w:r>
        <w:rPr>
          <w:rFonts w:ascii="宋体" w:hAnsi="宋体"/>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宋体" w:hAnsi="宋体"/>
          <w:lang w:eastAsia="zh-CN"/>
        </w:rPr>
        <w:t>省域</w:t>
      </w:r>
      <w:r>
        <w:rPr>
          <w:rFonts w:ascii="宋体" w:hAnsi="宋体"/>
          <w:lang w:eastAsia="zh-CN"/>
        </w:rPr>
        <w:t>碳排放效率研究中，利用</w:t>
      </w:r>
      <w:r>
        <w:rPr>
          <w:rFonts w:cs="Times New Roman"/>
          <w:lang w:eastAsia="zh-CN"/>
        </w:rPr>
        <w:t>Moran’s I 对空</w:t>
      </w:r>
      <w:r>
        <w:rPr>
          <w:rFonts w:ascii="宋体" w:hAnsi="宋体"/>
          <w:lang w:eastAsia="zh-CN"/>
        </w:rPr>
        <w:t>间集聚进行检验，并在条件允许时进一步开展空间模型估计，是十分必要的扩展方向</w:t>
      </w:r>
      <w:r>
        <w:rPr>
          <w:rFonts w:cs="Times New Roman"/>
          <w:vertAlign w:val="superscript"/>
          <w:lang w:eastAsia="zh-CN"/>
        </w:rPr>
        <w:t>[17,23]</w:t>
      </w:r>
      <w:r>
        <w:rPr>
          <w:rFonts w:ascii="宋体" w:hAnsi="宋体"/>
          <w:lang w:eastAsia="zh-CN"/>
        </w:rPr>
        <w:t>。</w:t>
      </w:r>
    </w:p>
    <w:p w14:paraId="4A5F9B82">
      <w:pPr>
        <w:pStyle w:val="4"/>
        <w:jc w:val="both"/>
        <w:rPr>
          <w:rFonts w:ascii="楷体" w:hAnsi="楷体"/>
          <w:color w:val="auto"/>
          <w:lang w:eastAsia="zh-CN"/>
        </w:rPr>
      </w:pPr>
      <w:bookmarkStart w:id="10" w:name="_Toc7687"/>
      <w:r>
        <w:rPr>
          <w:rFonts w:ascii="楷体" w:hAnsi="楷体"/>
          <w:color w:val="auto"/>
          <w:lang w:eastAsia="zh-CN"/>
        </w:rPr>
        <w:t>（四）理论机制与研究假设</w:t>
      </w:r>
      <w:bookmarkEnd w:id="10"/>
    </w:p>
    <w:p w14:paraId="50DDAA95">
      <w:pPr>
        <w:spacing w:before="120" w:beforeLines="50"/>
        <w:jc w:val="center"/>
        <w:rPr>
          <w:lang w:eastAsia="zh-CN"/>
        </w:rPr>
      </w:pPr>
      <w:r>
        <w:rPr>
          <w:lang w:eastAsia="zh-CN"/>
        </w:rPr>
        <w:drawing>
          <wp:inline distT="0" distB="0" distL="114300" distR="114300">
            <wp:extent cx="4973955" cy="3538855"/>
            <wp:effectExtent l="0" t="0" r="0" b="4445"/>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11" cstate="hqprint"/>
                    <a:srcRect t="5121"/>
                    <a:stretch>
                      <a:fillRect/>
                    </a:stretch>
                  </pic:blipFill>
                  <pic:spPr>
                    <a:xfrm>
                      <a:off x="0" y="0"/>
                      <a:ext cx="4987938" cy="3548966"/>
                    </a:xfrm>
                    <a:prstGeom prst="rect">
                      <a:avLst/>
                    </a:prstGeom>
                  </pic:spPr>
                </pic:pic>
              </a:graphicData>
            </a:graphic>
          </wp:inline>
        </w:drawing>
      </w:r>
    </w:p>
    <w:p w14:paraId="62E60698">
      <w:pPr>
        <w:pStyle w:val="15"/>
        <w:spacing w:after="0" w:line="400" w:lineRule="exact"/>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w:t>
      </w:r>
      <w:r>
        <w:fldChar w:fldCharType="end"/>
      </w:r>
      <w:bookmarkStart w:id="11" w:name="_Toc4085"/>
      <w:r>
        <w:rPr>
          <w:rFonts w:hint="eastAsia"/>
          <w:lang w:eastAsia="zh-CN"/>
        </w:rPr>
        <w:t xml:space="preserve"> 夜间灯光强度</w:t>
      </w:r>
      <w:r>
        <w:rPr>
          <w:lang w:eastAsia="zh-CN"/>
        </w:rPr>
        <w:t>影响碳排放效率的理论机制图</w:t>
      </w:r>
      <w:bookmarkEnd w:id="11"/>
    </w:p>
    <w:p w14:paraId="2D97E7B6">
      <w:pPr>
        <w:spacing w:after="0" w:line="480" w:lineRule="exact"/>
        <w:ind w:firstLine="480" w:firstLineChars="200"/>
        <w:jc w:val="both"/>
        <w:rPr>
          <w:rFonts w:ascii="宋体" w:hAnsi="宋体"/>
          <w:lang w:eastAsia="zh-CN"/>
        </w:rPr>
      </w:pPr>
      <w:r>
        <w:rPr>
          <w:rFonts w:ascii="宋体" w:hAnsi="宋体"/>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w:t>
      </w:r>
      <w:r>
        <w:rPr>
          <w:rFonts w:cs="Times New Roman"/>
          <w:lang w:eastAsia="zh-CN"/>
        </w:rPr>
        <w:t>式集聚，也可能伴随能源消耗增加和环境压力累积，从而对碳排放效率形成约束。理论机制如图2所示。</w:t>
      </w:r>
    </w:p>
    <w:p w14:paraId="37A0F993">
      <w:pPr>
        <w:spacing w:after="0" w:line="480" w:lineRule="exact"/>
        <w:ind w:firstLine="480" w:firstLineChars="200"/>
        <w:jc w:val="both"/>
        <w:rPr>
          <w:rFonts w:cs="Times New Roman"/>
          <w:lang w:eastAsia="zh-CN"/>
        </w:rPr>
      </w:pPr>
      <w:r>
        <w:rPr>
          <w:rFonts w:cs="Times New Roman"/>
          <w:lang w:eastAsia="zh-CN"/>
        </w:rPr>
        <w:t>基于上述分析，本文提出如下研究假设：假设1，夜间灯光强度对碳排放效率具有显著影响；假设2，产业结构、研发投入、对外开放和能源结构等因素对碳排放效率具有显著影响；假设3，省域碳排放效率具有显著空间相关性；假设4，某省夜间灯光强度可能对周边省份碳排放效率产生空间溢出影响。</w:t>
      </w:r>
    </w:p>
    <w:p w14:paraId="359348AE">
      <w:pPr>
        <w:pStyle w:val="3"/>
        <w:jc w:val="both"/>
        <w:rPr>
          <w:rFonts w:cs="Times New Roman"/>
          <w:color w:val="auto"/>
          <w:szCs w:val="30"/>
          <w:lang w:eastAsia="zh-CN"/>
        </w:rPr>
      </w:pPr>
      <w:bookmarkStart w:id="12" w:name="_Toc13754"/>
      <w:r>
        <w:rPr>
          <w:rFonts w:cs="Times New Roman"/>
          <w:color w:val="auto"/>
          <w:szCs w:val="30"/>
          <w:lang w:eastAsia="zh-CN"/>
        </w:rPr>
        <w:t>三、研究设计</w:t>
      </w:r>
      <w:bookmarkEnd w:id="12"/>
    </w:p>
    <w:p w14:paraId="6E58119A">
      <w:pPr>
        <w:pStyle w:val="4"/>
        <w:jc w:val="both"/>
        <w:rPr>
          <w:rFonts w:cs="Times New Roman"/>
          <w:color w:val="auto"/>
          <w:lang w:eastAsia="zh-CN"/>
        </w:rPr>
      </w:pPr>
      <w:bookmarkStart w:id="13" w:name="_Toc32359"/>
      <w:r>
        <w:rPr>
          <w:rFonts w:cs="Times New Roman"/>
          <w:color w:val="auto"/>
          <w:lang w:eastAsia="zh-CN"/>
        </w:rPr>
        <w:t>（一）研究对象与样本范围</w:t>
      </w:r>
      <w:bookmarkEnd w:id="13"/>
    </w:p>
    <w:p w14:paraId="43A82B58">
      <w:pPr>
        <w:spacing w:after="0" w:line="480" w:lineRule="exact"/>
        <w:ind w:firstLine="480" w:firstLineChars="200"/>
        <w:jc w:val="both"/>
        <w:rPr>
          <w:rFonts w:cs="Times New Roman"/>
          <w:lang w:eastAsia="zh-CN"/>
        </w:rPr>
      </w:pPr>
      <w:r>
        <w:rPr>
          <w:rFonts w:cs="Times New Roman"/>
          <w:lang w:eastAsia="zh-CN"/>
        </w:rPr>
        <w:t>本文研究对象为2015—2022年中国大陆30个省级地区（2023年及之后的部分数据未公布；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2593A61D">
      <w:pPr>
        <w:spacing w:after="0" w:line="480" w:lineRule="exact"/>
        <w:ind w:firstLine="480" w:firstLineChars="200"/>
        <w:jc w:val="both"/>
        <w:rPr>
          <w:rFonts w:cs="Times New Roman"/>
          <w:lang w:eastAsia="zh-CN"/>
        </w:rPr>
      </w:pPr>
      <w:r>
        <w:rPr>
          <w:rFonts w:cs="Times New Roman"/>
          <w:lang w:eastAsia="zh-CN"/>
        </w:rPr>
        <w:t>样本期选取2015—2022年，一方面能够覆盖“双碳”目标提出前后我国省域绿色发展效率的变化过程，另一方面也兼顾了统计口径、夜间灯光数据可得性以及后续面板分析样本长度的可操作性。</w:t>
      </w:r>
    </w:p>
    <w:p w14:paraId="2C586387">
      <w:pPr>
        <w:pStyle w:val="4"/>
        <w:jc w:val="both"/>
        <w:rPr>
          <w:rFonts w:cs="Times New Roman"/>
          <w:color w:val="auto"/>
          <w:lang w:eastAsia="zh-CN"/>
        </w:rPr>
      </w:pPr>
      <w:bookmarkStart w:id="14" w:name="_Toc8002"/>
      <w:r>
        <w:rPr>
          <w:rFonts w:cs="Times New Roman"/>
          <w:color w:val="auto"/>
          <w:lang w:eastAsia="zh-CN"/>
        </w:rPr>
        <w:t>（二）三阶段研究框架</w:t>
      </w:r>
      <w:bookmarkEnd w:id="14"/>
    </w:p>
    <w:p w14:paraId="55EF0656">
      <w:pPr>
        <w:spacing w:after="0" w:line="480" w:lineRule="exact"/>
        <w:ind w:firstLine="480" w:firstLineChars="200"/>
        <w:jc w:val="both"/>
        <w:rPr>
          <w:rFonts w:cs="Times New Roman"/>
          <w:lang w:eastAsia="zh-CN"/>
        </w:rPr>
      </w:pPr>
      <w:r>
        <w:rPr>
          <w:rFonts w:cs="Times New Roman"/>
          <w:lang w:eastAsia="zh-CN"/>
        </w:rPr>
        <w:t>第一阶段为省域碳排放效率测度。本文采用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4DD2F858">
      <w:pPr>
        <w:spacing w:after="0" w:line="480" w:lineRule="exact"/>
        <w:ind w:firstLine="480" w:firstLineChars="200"/>
        <w:jc w:val="both"/>
        <w:rPr>
          <w:rFonts w:cs="Times New Roman"/>
          <w:lang w:eastAsia="zh-CN"/>
        </w:rPr>
      </w:pPr>
      <w:r>
        <w:rPr>
          <w:rFonts w:cs="Times New Roman"/>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省域碳排放效率差异的影响因素。</w:t>
      </w:r>
    </w:p>
    <w:p w14:paraId="318E1F69">
      <w:pPr>
        <w:spacing w:after="0" w:line="480" w:lineRule="exact"/>
        <w:ind w:firstLine="480" w:firstLineChars="200"/>
        <w:jc w:val="both"/>
        <w:rPr>
          <w:rFonts w:ascii="宋体" w:hAnsi="宋体"/>
          <w:lang w:eastAsia="zh-CN"/>
        </w:rPr>
      </w:pPr>
      <w:r>
        <w:rPr>
          <w:rFonts w:ascii="宋体" w:hAnsi="宋体"/>
          <w:lang w:eastAsia="zh-CN"/>
        </w:rPr>
        <w:t>第三阶段为空间相关性与空间溢出分析。首先利用</w:t>
      </w:r>
      <w:r>
        <w:rPr>
          <w:rFonts w:cs="Times New Roman"/>
          <w:lang w:eastAsia="zh-CN"/>
        </w:rPr>
        <w:t xml:space="preserve"> Global Moran’s I 对省域碳排放效率进行全局空间自相关检验，以识别效率值是否存在整体空间集聚特征；其次结合局部 Moran 分析识别</w:t>
      </w:r>
      <w:r>
        <w:rPr>
          <w:rFonts w:hint="eastAsia" w:cs="Times New Roman"/>
          <w:lang w:eastAsia="zh-CN"/>
        </w:rPr>
        <w:t>“</w:t>
      </w:r>
      <w:r>
        <w:rPr>
          <w:rFonts w:cs="Times New Roman"/>
          <w:lang w:eastAsia="zh-CN"/>
        </w:rPr>
        <w:t>高—高</w:t>
      </w:r>
      <w:r>
        <w:rPr>
          <w:rFonts w:hint="eastAsia" w:cs="Times New Roman"/>
          <w:lang w:eastAsia="zh-CN"/>
        </w:rPr>
        <w:t>”“</w:t>
      </w:r>
      <w:r>
        <w:rPr>
          <w:rFonts w:cs="Times New Roman"/>
          <w:lang w:eastAsia="zh-CN"/>
        </w:rPr>
        <w:t>低—低</w:t>
      </w:r>
      <w:r>
        <w:rPr>
          <w:rFonts w:hint="eastAsia" w:cs="Times New Roman"/>
          <w:lang w:eastAsia="zh-CN"/>
        </w:rPr>
        <w:t>”</w:t>
      </w:r>
      <w:r>
        <w:rPr>
          <w:rFonts w:cs="Times New Roman"/>
          <w:lang w:eastAsia="zh-CN"/>
        </w:rPr>
        <w:t>等</w:t>
      </w:r>
      <w:r>
        <w:rPr>
          <w:rFonts w:ascii="宋体" w:hAnsi="宋体"/>
          <w:lang w:eastAsia="zh-CN"/>
        </w:rPr>
        <w:t>局部空间集聚类型；最后进一步构建空间杜宾模型，考察夜间灯光强度对本地区及周边地区碳排放效率的直接效应与空间溢出效应，从而形成“整体相关—局部集聚—空间传导”的完整分析链条。</w:t>
      </w:r>
    </w:p>
    <w:p w14:paraId="3457D803">
      <w:pPr>
        <w:pStyle w:val="4"/>
        <w:jc w:val="both"/>
        <w:rPr>
          <w:rFonts w:ascii="楷体" w:hAnsi="楷体"/>
          <w:color w:val="auto"/>
          <w:lang w:eastAsia="zh-CN"/>
        </w:rPr>
      </w:pPr>
      <w:bookmarkStart w:id="15" w:name="_Toc3451"/>
      <w:r>
        <w:rPr>
          <w:rFonts w:ascii="楷体" w:hAnsi="楷体"/>
          <w:color w:val="auto"/>
          <w:lang w:eastAsia="zh-CN"/>
        </w:rPr>
        <w:t>（三）第一阶段碳排放效率测度指标体系</w:t>
      </w:r>
      <w:bookmarkEnd w:id="15"/>
    </w:p>
    <w:p w14:paraId="2906AEE7">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1</w:t>
      </w:r>
      <w:r>
        <w:fldChar w:fldCharType="end"/>
      </w:r>
      <w:bookmarkStart w:id="16" w:name="_Toc4112"/>
      <w:r>
        <w:rPr>
          <w:lang w:eastAsia="zh-CN"/>
        </w:rPr>
        <w:t>第一阶段碳排放效率测度指标体系</w:t>
      </w:r>
      <w:bookmarkEnd w:id="16"/>
    </w:p>
    <w:tbl>
      <w:tblPr>
        <w:tblStyle w:val="4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9"/>
        <w:gridCol w:w="2149"/>
        <w:gridCol w:w="2163"/>
        <w:gridCol w:w="2149"/>
      </w:tblGrid>
      <w:tr w14:paraId="754CE2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blHeader/>
          <w:jc w:val="center"/>
        </w:trPr>
        <w:tc>
          <w:tcPr>
            <w:tcW w:w="2149" w:type="dxa"/>
            <w:tcBorders>
              <w:top w:val="single" w:color="000000" w:sz="12" w:space="0"/>
              <w:bottom w:val="single" w:color="000000" w:sz="4" w:space="0"/>
              <w:tl2br w:val="nil"/>
            </w:tcBorders>
            <w:shd w:val="clear" w:color="auto" w:fill="FFFFFF"/>
          </w:tcPr>
          <w:p w14:paraId="00709629">
            <w:pPr>
              <w:spacing w:after="0" w:line="240" w:lineRule="auto"/>
              <w:jc w:val="both"/>
              <w:rPr>
                <w:rFonts w:ascii="宋体" w:hAnsi="宋体"/>
                <w:color w:val="000000"/>
                <w:szCs w:val="24"/>
              </w:rPr>
            </w:pPr>
            <w:r>
              <w:rPr>
                <w:rFonts w:ascii="宋体" w:hAnsi="宋体"/>
                <w:color w:val="000000"/>
                <w:szCs w:val="24"/>
              </w:rPr>
              <w:t>维度</w:t>
            </w:r>
          </w:p>
        </w:tc>
        <w:tc>
          <w:tcPr>
            <w:tcW w:w="2149" w:type="dxa"/>
            <w:tcBorders>
              <w:top w:val="single" w:color="000000" w:sz="12" w:space="0"/>
              <w:bottom w:val="single" w:color="000000" w:sz="4" w:space="0"/>
            </w:tcBorders>
            <w:shd w:val="clear" w:color="auto" w:fill="FFFFFF"/>
          </w:tcPr>
          <w:p w14:paraId="7A3D45E2">
            <w:pPr>
              <w:spacing w:after="0" w:line="240" w:lineRule="auto"/>
              <w:jc w:val="both"/>
              <w:rPr>
                <w:rFonts w:ascii="宋体" w:hAnsi="宋体"/>
                <w:color w:val="000000"/>
                <w:szCs w:val="24"/>
              </w:rPr>
            </w:pPr>
            <w:r>
              <w:rPr>
                <w:rFonts w:ascii="宋体" w:hAnsi="宋体"/>
                <w:color w:val="000000"/>
                <w:szCs w:val="24"/>
              </w:rPr>
              <w:t>指标名称</w:t>
            </w:r>
          </w:p>
        </w:tc>
        <w:tc>
          <w:tcPr>
            <w:tcW w:w="2163" w:type="dxa"/>
            <w:tcBorders>
              <w:top w:val="single" w:color="000000" w:sz="12" w:space="0"/>
              <w:bottom w:val="single" w:color="000000" w:sz="4" w:space="0"/>
            </w:tcBorders>
            <w:shd w:val="clear" w:color="auto" w:fill="FFFFFF"/>
          </w:tcPr>
          <w:p w14:paraId="1BAEE8A4">
            <w:pPr>
              <w:spacing w:after="0" w:line="240" w:lineRule="auto"/>
              <w:jc w:val="both"/>
              <w:rPr>
                <w:rFonts w:ascii="宋体" w:hAnsi="宋体"/>
                <w:color w:val="000000"/>
                <w:szCs w:val="24"/>
              </w:rPr>
            </w:pPr>
            <w:r>
              <w:rPr>
                <w:rFonts w:ascii="宋体" w:hAnsi="宋体"/>
                <w:color w:val="000000"/>
                <w:szCs w:val="24"/>
              </w:rPr>
              <w:t>指标含义</w:t>
            </w:r>
          </w:p>
        </w:tc>
        <w:tc>
          <w:tcPr>
            <w:tcW w:w="2149" w:type="dxa"/>
            <w:tcBorders>
              <w:top w:val="single" w:color="000000" w:sz="12" w:space="0"/>
              <w:bottom w:val="single" w:color="000000" w:sz="4" w:space="0"/>
            </w:tcBorders>
            <w:shd w:val="clear" w:color="auto" w:fill="FFFFFF"/>
          </w:tcPr>
          <w:p w14:paraId="201F8C0F">
            <w:pPr>
              <w:spacing w:after="0" w:line="240" w:lineRule="auto"/>
              <w:jc w:val="both"/>
              <w:rPr>
                <w:rFonts w:ascii="宋体" w:hAnsi="宋体"/>
                <w:color w:val="000000"/>
                <w:szCs w:val="24"/>
              </w:rPr>
            </w:pPr>
            <w:r>
              <w:rPr>
                <w:rFonts w:ascii="宋体" w:hAnsi="宋体"/>
                <w:color w:val="000000"/>
                <w:szCs w:val="24"/>
              </w:rPr>
              <w:t>预期作用</w:t>
            </w:r>
          </w:p>
        </w:tc>
      </w:tr>
      <w:tr w14:paraId="3577A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jc w:val="center"/>
        </w:trPr>
        <w:tc>
          <w:tcPr>
            <w:tcW w:w="2149" w:type="dxa"/>
            <w:tcBorders>
              <w:top w:val="single" w:color="000000" w:sz="4" w:space="0"/>
            </w:tcBorders>
            <w:shd w:val="clear" w:color="auto" w:fill="FFFFFF"/>
          </w:tcPr>
          <w:p w14:paraId="21AAA93E">
            <w:pPr>
              <w:spacing w:after="0" w:line="240" w:lineRule="auto"/>
              <w:jc w:val="both"/>
              <w:rPr>
                <w:rFonts w:ascii="宋体" w:hAnsi="宋体"/>
                <w:color w:val="000000"/>
                <w:szCs w:val="24"/>
              </w:rPr>
            </w:pPr>
            <w:r>
              <w:rPr>
                <w:rFonts w:ascii="宋体" w:hAnsi="宋体"/>
                <w:color w:val="000000"/>
                <w:szCs w:val="24"/>
              </w:rPr>
              <w:t>投入</w:t>
            </w:r>
          </w:p>
        </w:tc>
        <w:tc>
          <w:tcPr>
            <w:tcW w:w="2149" w:type="dxa"/>
            <w:tcBorders>
              <w:top w:val="single" w:color="000000" w:sz="4" w:space="0"/>
            </w:tcBorders>
            <w:shd w:val="clear" w:color="auto" w:fill="FFFFFF"/>
          </w:tcPr>
          <w:p w14:paraId="2B2B6ED7">
            <w:pPr>
              <w:spacing w:after="0" w:line="240" w:lineRule="auto"/>
              <w:jc w:val="both"/>
              <w:rPr>
                <w:rFonts w:ascii="宋体" w:hAnsi="宋体"/>
                <w:color w:val="000000"/>
                <w:szCs w:val="24"/>
              </w:rPr>
            </w:pPr>
            <w:r>
              <w:rPr>
                <w:rFonts w:ascii="宋体" w:hAnsi="宋体"/>
                <w:color w:val="000000"/>
                <w:szCs w:val="24"/>
              </w:rPr>
              <w:t>劳动投入</w:t>
            </w:r>
          </w:p>
        </w:tc>
        <w:tc>
          <w:tcPr>
            <w:tcW w:w="2163" w:type="dxa"/>
            <w:tcBorders>
              <w:top w:val="single" w:color="000000" w:sz="4" w:space="0"/>
            </w:tcBorders>
            <w:shd w:val="clear" w:color="auto" w:fill="FFFFFF"/>
          </w:tcPr>
          <w:p w14:paraId="3C47F43D">
            <w:pPr>
              <w:spacing w:after="0" w:line="240" w:lineRule="auto"/>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149" w:type="dxa"/>
            <w:tcBorders>
              <w:top w:val="single" w:color="000000" w:sz="4" w:space="0"/>
            </w:tcBorders>
            <w:shd w:val="clear" w:color="auto" w:fill="FFFFFF"/>
          </w:tcPr>
          <w:p w14:paraId="2F71A29A">
            <w:pPr>
              <w:spacing w:after="0" w:line="240" w:lineRule="auto"/>
              <w:jc w:val="both"/>
              <w:rPr>
                <w:rFonts w:ascii="宋体" w:hAnsi="宋体"/>
                <w:color w:val="000000"/>
                <w:szCs w:val="24"/>
              </w:rPr>
            </w:pPr>
            <w:r>
              <w:rPr>
                <w:rFonts w:ascii="宋体" w:hAnsi="宋体"/>
                <w:color w:val="000000"/>
                <w:szCs w:val="24"/>
              </w:rPr>
              <w:t>投入变量</w:t>
            </w:r>
          </w:p>
        </w:tc>
      </w:tr>
      <w:tr w14:paraId="2431D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jc w:val="center"/>
        </w:trPr>
        <w:tc>
          <w:tcPr>
            <w:tcW w:w="2149" w:type="dxa"/>
            <w:shd w:val="clear" w:color="auto" w:fill="FFFFFF"/>
          </w:tcPr>
          <w:p w14:paraId="4ADA0E00">
            <w:pPr>
              <w:spacing w:after="0" w:line="240" w:lineRule="auto"/>
              <w:jc w:val="both"/>
              <w:rPr>
                <w:rFonts w:ascii="宋体" w:hAnsi="宋体"/>
                <w:color w:val="000000"/>
                <w:szCs w:val="24"/>
              </w:rPr>
            </w:pPr>
            <w:r>
              <w:rPr>
                <w:rFonts w:ascii="宋体" w:hAnsi="宋体"/>
                <w:color w:val="000000"/>
                <w:szCs w:val="24"/>
              </w:rPr>
              <w:t>投入</w:t>
            </w:r>
          </w:p>
        </w:tc>
        <w:tc>
          <w:tcPr>
            <w:tcW w:w="2149" w:type="dxa"/>
            <w:shd w:val="clear" w:color="auto" w:fill="FFFFFF"/>
          </w:tcPr>
          <w:p w14:paraId="2A57E739">
            <w:pPr>
              <w:spacing w:after="0" w:line="240" w:lineRule="auto"/>
              <w:jc w:val="both"/>
              <w:rPr>
                <w:rFonts w:ascii="宋体" w:hAnsi="宋体"/>
                <w:color w:val="000000"/>
                <w:szCs w:val="24"/>
              </w:rPr>
            </w:pPr>
            <w:r>
              <w:rPr>
                <w:rFonts w:ascii="宋体" w:hAnsi="宋体"/>
                <w:color w:val="000000"/>
                <w:szCs w:val="24"/>
              </w:rPr>
              <w:t>资本投入</w:t>
            </w:r>
          </w:p>
        </w:tc>
        <w:tc>
          <w:tcPr>
            <w:tcW w:w="2163" w:type="dxa"/>
            <w:shd w:val="clear" w:color="auto" w:fill="FFFFFF"/>
          </w:tcPr>
          <w:p w14:paraId="094E4BA7">
            <w:pPr>
              <w:spacing w:after="0" w:line="240" w:lineRule="auto"/>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149" w:type="dxa"/>
            <w:shd w:val="clear" w:color="auto" w:fill="FFFFFF"/>
          </w:tcPr>
          <w:p w14:paraId="1BB90642">
            <w:pPr>
              <w:spacing w:after="0" w:line="240" w:lineRule="auto"/>
              <w:jc w:val="both"/>
              <w:rPr>
                <w:rFonts w:ascii="宋体" w:hAnsi="宋体"/>
                <w:color w:val="000000"/>
                <w:szCs w:val="24"/>
              </w:rPr>
            </w:pPr>
            <w:r>
              <w:rPr>
                <w:rFonts w:ascii="宋体" w:hAnsi="宋体"/>
                <w:color w:val="000000"/>
                <w:szCs w:val="24"/>
              </w:rPr>
              <w:t>投入变量</w:t>
            </w:r>
          </w:p>
        </w:tc>
      </w:tr>
      <w:tr w14:paraId="3AB9C7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jc w:val="center"/>
        </w:trPr>
        <w:tc>
          <w:tcPr>
            <w:tcW w:w="2149" w:type="dxa"/>
            <w:shd w:val="clear" w:color="auto" w:fill="FFFFFF"/>
          </w:tcPr>
          <w:p w14:paraId="27BDDECB">
            <w:pPr>
              <w:spacing w:after="0" w:line="240" w:lineRule="auto"/>
              <w:jc w:val="both"/>
              <w:rPr>
                <w:rFonts w:ascii="宋体" w:hAnsi="宋体"/>
                <w:color w:val="000000"/>
                <w:szCs w:val="24"/>
              </w:rPr>
            </w:pPr>
            <w:r>
              <w:rPr>
                <w:rFonts w:ascii="宋体" w:hAnsi="宋体"/>
                <w:color w:val="000000"/>
                <w:szCs w:val="24"/>
              </w:rPr>
              <w:t>投入</w:t>
            </w:r>
          </w:p>
        </w:tc>
        <w:tc>
          <w:tcPr>
            <w:tcW w:w="2149" w:type="dxa"/>
            <w:shd w:val="clear" w:color="auto" w:fill="FFFFFF"/>
          </w:tcPr>
          <w:p w14:paraId="3A18D4CF">
            <w:pPr>
              <w:spacing w:after="0" w:line="240" w:lineRule="auto"/>
              <w:jc w:val="both"/>
              <w:rPr>
                <w:rFonts w:ascii="宋体" w:hAnsi="宋体"/>
                <w:color w:val="000000"/>
                <w:szCs w:val="24"/>
              </w:rPr>
            </w:pPr>
            <w:r>
              <w:rPr>
                <w:rFonts w:ascii="宋体" w:hAnsi="宋体"/>
                <w:color w:val="000000"/>
                <w:szCs w:val="24"/>
              </w:rPr>
              <w:t>能源投入</w:t>
            </w:r>
          </w:p>
        </w:tc>
        <w:tc>
          <w:tcPr>
            <w:tcW w:w="2163" w:type="dxa"/>
            <w:shd w:val="clear" w:color="auto" w:fill="FFFFFF"/>
          </w:tcPr>
          <w:p w14:paraId="65A8D27A">
            <w:pPr>
              <w:spacing w:after="0" w:line="240" w:lineRule="auto"/>
              <w:jc w:val="both"/>
              <w:rPr>
                <w:rFonts w:ascii="宋体" w:hAnsi="宋体"/>
                <w:color w:val="000000"/>
                <w:szCs w:val="24"/>
                <w:lang w:eastAsia="zh-CN"/>
              </w:rPr>
            </w:pPr>
            <w:r>
              <w:rPr>
                <w:rFonts w:ascii="宋体" w:hAnsi="宋体"/>
                <w:color w:val="000000"/>
                <w:szCs w:val="24"/>
                <w:lang w:eastAsia="zh-CN"/>
              </w:rPr>
              <w:t>能源消费总量（标准煤折算）</w:t>
            </w:r>
          </w:p>
        </w:tc>
        <w:tc>
          <w:tcPr>
            <w:tcW w:w="2149" w:type="dxa"/>
            <w:shd w:val="clear" w:color="auto" w:fill="FFFFFF"/>
          </w:tcPr>
          <w:p w14:paraId="189F84E3">
            <w:pPr>
              <w:spacing w:after="0" w:line="240" w:lineRule="auto"/>
              <w:jc w:val="both"/>
              <w:rPr>
                <w:rFonts w:ascii="宋体" w:hAnsi="宋体"/>
                <w:color w:val="000000"/>
                <w:szCs w:val="24"/>
              </w:rPr>
            </w:pPr>
            <w:r>
              <w:rPr>
                <w:rFonts w:ascii="宋体" w:hAnsi="宋体"/>
                <w:color w:val="000000"/>
                <w:szCs w:val="24"/>
              </w:rPr>
              <w:t>投入变量</w:t>
            </w:r>
          </w:p>
        </w:tc>
      </w:tr>
      <w:tr w14:paraId="21529B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3" w:hRule="atLeast"/>
          <w:jc w:val="center"/>
        </w:trPr>
        <w:tc>
          <w:tcPr>
            <w:tcW w:w="2149" w:type="dxa"/>
            <w:shd w:val="clear" w:color="auto" w:fill="FFFFFF"/>
          </w:tcPr>
          <w:p w14:paraId="04363DFD">
            <w:pPr>
              <w:spacing w:after="0" w:line="240" w:lineRule="auto"/>
              <w:jc w:val="both"/>
              <w:rPr>
                <w:rFonts w:ascii="宋体" w:hAnsi="宋体"/>
                <w:color w:val="000000"/>
                <w:szCs w:val="24"/>
              </w:rPr>
            </w:pPr>
            <w:r>
              <w:rPr>
                <w:rFonts w:ascii="宋体" w:hAnsi="宋体"/>
                <w:color w:val="000000"/>
                <w:szCs w:val="24"/>
              </w:rPr>
              <w:t>期望产出</w:t>
            </w:r>
          </w:p>
        </w:tc>
        <w:tc>
          <w:tcPr>
            <w:tcW w:w="2149" w:type="dxa"/>
            <w:shd w:val="clear" w:color="auto" w:fill="FFFFFF"/>
          </w:tcPr>
          <w:p w14:paraId="2FF4C351">
            <w:pPr>
              <w:spacing w:after="0" w:line="240" w:lineRule="auto"/>
              <w:jc w:val="both"/>
              <w:rPr>
                <w:rFonts w:ascii="宋体" w:hAnsi="宋体"/>
                <w:color w:val="000000"/>
                <w:szCs w:val="24"/>
              </w:rPr>
            </w:pPr>
            <w:r>
              <w:rPr>
                <w:rFonts w:ascii="宋体" w:hAnsi="宋体"/>
                <w:color w:val="000000"/>
                <w:szCs w:val="24"/>
              </w:rPr>
              <w:t>地区生产总值</w:t>
            </w:r>
          </w:p>
        </w:tc>
        <w:tc>
          <w:tcPr>
            <w:tcW w:w="2163" w:type="dxa"/>
            <w:shd w:val="clear" w:color="auto" w:fill="FFFFFF"/>
          </w:tcPr>
          <w:p w14:paraId="5BF5BAF0">
            <w:pPr>
              <w:spacing w:after="0" w:line="240" w:lineRule="auto"/>
              <w:jc w:val="both"/>
              <w:rPr>
                <w:rFonts w:ascii="宋体" w:hAnsi="宋体"/>
                <w:color w:val="000000"/>
                <w:szCs w:val="24"/>
                <w:lang w:eastAsia="zh-CN"/>
              </w:rPr>
            </w:pPr>
            <w:r>
              <w:rPr>
                <w:rFonts w:ascii="宋体" w:hAnsi="宋体"/>
                <w:color w:val="000000"/>
                <w:szCs w:val="24"/>
                <w:lang w:eastAsia="zh-CN"/>
              </w:rPr>
              <w:t>省域GD</w:t>
            </w:r>
            <w:r>
              <w:rPr>
                <w:rFonts w:hint="eastAsia" w:ascii="宋体" w:hAnsi="宋体"/>
                <w:color w:val="000000"/>
                <w:szCs w:val="24"/>
                <w:lang w:eastAsia="zh-CN"/>
              </w:rPr>
              <w:t>P</w:t>
            </w:r>
          </w:p>
        </w:tc>
        <w:tc>
          <w:tcPr>
            <w:tcW w:w="2149" w:type="dxa"/>
            <w:shd w:val="clear" w:color="auto" w:fill="FFFFFF"/>
          </w:tcPr>
          <w:p w14:paraId="7D117215">
            <w:pPr>
              <w:spacing w:after="0" w:line="240" w:lineRule="auto"/>
              <w:jc w:val="both"/>
              <w:rPr>
                <w:rFonts w:ascii="宋体" w:hAnsi="宋体"/>
                <w:color w:val="000000"/>
                <w:szCs w:val="24"/>
              </w:rPr>
            </w:pPr>
            <w:r>
              <w:rPr>
                <w:rFonts w:ascii="宋体" w:hAnsi="宋体"/>
                <w:color w:val="000000"/>
                <w:szCs w:val="24"/>
              </w:rPr>
              <w:t>正向产出</w:t>
            </w:r>
          </w:p>
        </w:tc>
      </w:tr>
      <w:tr w14:paraId="1016EE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2149" w:type="dxa"/>
            <w:tcBorders>
              <w:bottom w:val="single" w:color="000000" w:sz="12" w:space="0"/>
            </w:tcBorders>
            <w:shd w:val="clear" w:color="auto" w:fill="FFFFFF"/>
          </w:tcPr>
          <w:p w14:paraId="79199C77">
            <w:pPr>
              <w:spacing w:after="0" w:line="240" w:lineRule="auto"/>
              <w:jc w:val="both"/>
              <w:rPr>
                <w:rFonts w:ascii="宋体" w:hAnsi="宋体"/>
                <w:color w:val="000000"/>
                <w:szCs w:val="24"/>
              </w:rPr>
            </w:pPr>
            <w:r>
              <w:rPr>
                <w:rFonts w:ascii="宋体" w:hAnsi="宋体"/>
                <w:color w:val="000000"/>
                <w:szCs w:val="24"/>
              </w:rPr>
              <w:t>非期望产出</w:t>
            </w:r>
          </w:p>
        </w:tc>
        <w:tc>
          <w:tcPr>
            <w:tcW w:w="2149" w:type="dxa"/>
            <w:tcBorders>
              <w:bottom w:val="single" w:color="000000" w:sz="12" w:space="0"/>
            </w:tcBorders>
            <w:shd w:val="clear" w:color="auto" w:fill="FFFFFF"/>
          </w:tcPr>
          <w:p w14:paraId="66947B5D">
            <w:pPr>
              <w:spacing w:after="0" w:line="240" w:lineRule="auto"/>
              <w:jc w:val="both"/>
              <w:rPr>
                <w:rFonts w:ascii="宋体" w:hAnsi="宋体"/>
                <w:color w:val="000000"/>
                <w:szCs w:val="24"/>
              </w:rPr>
            </w:pPr>
            <w:r>
              <w:rPr>
                <w:rFonts w:ascii="宋体" w:hAnsi="宋体"/>
                <w:color w:val="000000"/>
                <w:szCs w:val="24"/>
              </w:rPr>
              <w:t>碳排放量</w:t>
            </w:r>
          </w:p>
        </w:tc>
        <w:tc>
          <w:tcPr>
            <w:tcW w:w="2163" w:type="dxa"/>
            <w:tcBorders>
              <w:bottom w:val="single" w:color="000000" w:sz="12" w:space="0"/>
            </w:tcBorders>
            <w:shd w:val="clear" w:color="auto" w:fill="FFFFFF"/>
          </w:tcPr>
          <w:p w14:paraId="694D7B9E">
            <w:pPr>
              <w:spacing w:after="0" w:line="240" w:lineRule="auto"/>
              <w:jc w:val="both"/>
              <w:rPr>
                <w:rFonts w:ascii="宋体" w:hAnsi="宋体"/>
                <w:color w:val="000000"/>
                <w:szCs w:val="24"/>
              </w:rPr>
            </w:pPr>
            <w:r>
              <w:rPr>
                <w:rFonts w:ascii="宋体" w:hAnsi="宋体"/>
                <w:color w:val="000000"/>
                <w:szCs w:val="24"/>
              </w:rPr>
              <w:t>省域碳排放总量</w:t>
            </w:r>
          </w:p>
        </w:tc>
        <w:tc>
          <w:tcPr>
            <w:tcW w:w="2149" w:type="dxa"/>
            <w:tcBorders>
              <w:bottom w:val="single" w:color="000000" w:sz="12" w:space="0"/>
            </w:tcBorders>
            <w:shd w:val="clear" w:color="auto" w:fill="FFFFFF"/>
          </w:tcPr>
          <w:p w14:paraId="5C8C5E9F">
            <w:pPr>
              <w:spacing w:after="0" w:line="240" w:lineRule="auto"/>
              <w:jc w:val="both"/>
              <w:rPr>
                <w:rFonts w:ascii="宋体" w:hAnsi="宋体"/>
                <w:color w:val="000000"/>
                <w:szCs w:val="24"/>
              </w:rPr>
            </w:pPr>
            <w:r>
              <w:rPr>
                <w:rFonts w:ascii="宋体" w:hAnsi="宋体"/>
                <w:color w:val="000000"/>
                <w:szCs w:val="24"/>
              </w:rPr>
              <w:t>环境约束</w:t>
            </w:r>
          </w:p>
        </w:tc>
      </w:tr>
    </w:tbl>
    <w:p w14:paraId="5ABA1ED6">
      <w:pPr>
        <w:pStyle w:val="4"/>
        <w:jc w:val="both"/>
        <w:rPr>
          <w:rFonts w:ascii="楷体" w:hAnsi="楷体"/>
          <w:color w:val="auto"/>
          <w:lang w:eastAsia="zh-CN"/>
        </w:rPr>
      </w:pPr>
      <w:bookmarkStart w:id="17" w:name="_Toc19488"/>
      <w:r>
        <w:rPr>
          <w:rFonts w:ascii="楷体" w:hAnsi="楷体"/>
          <w:color w:val="auto"/>
          <w:lang w:eastAsia="zh-CN"/>
        </w:rPr>
        <w:t>（四）第二阶段回归变量与模型设定</w:t>
      </w:r>
      <w:bookmarkEnd w:id="17"/>
    </w:p>
    <w:p w14:paraId="313DD015">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2</w:t>
      </w:r>
      <w:r>
        <w:fldChar w:fldCharType="end"/>
      </w:r>
      <w:bookmarkStart w:id="18" w:name="_Toc30495"/>
      <w:r>
        <w:rPr>
          <w:rFonts w:hint="eastAsia"/>
          <w:lang w:eastAsia="zh-CN"/>
        </w:rPr>
        <w:t xml:space="preserve"> </w:t>
      </w:r>
      <w:r>
        <w:rPr>
          <w:lang w:eastAsia="zh-CN"/>
        </w:rPr>
        <w:t>第二阶段回归变量定义</w:t>
      </w:r>
      <w:bookmarkEnd w:id="18"/>
    </w:p>
    <w:tbl>
      <w:tblPr>
        <w:tblStyle w:val="4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79C92D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2B649564">
            <w:pPr>
              <w:spacing w:after="0" w:line="240" w:lineRule="auto"/>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4CC3D60C">
            <w:pPr>
              <w:spacing w:after="0" w:line="240" w:lineRule="auto"/>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0FF77775">
            <w:pPr>
              <w:spacing w:after="0" w:line="240" w:lineRule="auto"/>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3AE88F7">
            <w:pPr>
              <w:spacing w:after="0" w:line="240" w:lineRule="auto"/>
              <w:jc w:val="both"/>
              <w:rPr>
                <w:rFonts w:ascii="宋体" w:hAnsi="宋体"/>
                <w:color w:val="000000"/>
                <w:szCs w:val="24"/>
              </w:rPr>
            </w:pPr>
            <w:r>
              <w:rPr>
                <w:rFonts w:ascii="宋体" w:hAnsi="宋体"/>
                <w:color w:val="000000"/>
                <w:szCs w:val="24"/>
              </w:rPr>
              <w:t>预期方向</w:t>
            </w:r>
          </w:p>
        </w:tc>
      </w:tr>
      <w:tr w14:paraId="23B00C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35EF8CB5">
            <w:pPr>
              <w:spacing w:after="0" w:line="240" w:lineRule="auto"/>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41F5D73E">
            <w:pPr>
              <w:spacing w:after="0" w:line="240" w:lineRule="auto"/>
              <w:jc w:val="both"/>
              <w:rPr>
                <w:rFonts w:ascii="宋体" w:hAnsi="宋体"/>
                <w:color w:val="000000"/>
                <w:szCs w:val="24"/>
                <w:lang w:eastAsia="zh-CN"/>
              </w:rPr>
            </w:pPr>
            <w:r>
              <w:rPr>
                <w:rFonts w:hint="eastAsia" w:ascii="宋体" w:hAnsi="宋体"/>
                <w:color w:val="000000"/>
                <w:szCs w:val="24"/>
                <w:lang w:eastAsia="zh-CN"/>
              </w:rPr>
              <w:t>EFF</w:t>
            </w:r>
          </w:p>
        </w:tc>
        <w:tc>
          <w:tcPr>
            <w:tcW w:w="2266" w:type="dxa"/>
            <w:tcBorders>
              <w:top w:val="single" w:color="000000" w:sz="4" w:space="0"/>
            </w:tcBorders>
            <w:shd w:val="clear" w:color="auto" w:fill="FFFFFF"/>
          </w:tcPr>
          <w:p w14:paraId="0F4F370C">
            <w:pPr>
              <w:spacing w:after="0" w:line="240" w:lineRule="auto"/>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6CFF92CF">
            <w:pPr>
              <w:spacing w:after="0" w:line="240" w:lineRule="auto"/>
              <w:jc w:val="both"/>
              <w:rPr>
                <w:rFonts w:ascii="宋体" w:hAnsi="宋体"/>
                <w:color w:val="000000"/>
                <w:szCs w:val="24"/>
              </w:rPr>
            </w:pPr>
            <w:r>
              <w:rPr>
                <w:rFonts w:ascii="宋体" w:hAnsi="宋体"/>
                <w:color w:val="000000"/>
                <w:szCs w:val="24"/>
              </w:rPr>
              <w:t>—</w:t>
            </w:r>
          </w:p>
        </w:tc>
      </w:tr>
      <w:tr w14:paraId="24F6A7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3CA5A0F">
            <w:pPr>
              <w:spacing w:after="0" w:line="240" w:lineRule="auto"/>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74EDD267">
            <w:pPr>
              <w:spacing w:after="0" w:line="240" w:lineRule="auto"/>
              <w:jc w:val="both"/>
              <w:rPr>
                <w:rFonts w:ascii="宋体" w:hAnsi="宋体"/>
                <w:color w:val="000000"/>
                <w:szCs w:val="24"/>
              </w:rPr>
            </w:pPr>
            <w:r>
              <w:rPr>
                <w:rFonts w:ascii="宋体" w:hAnsi="宋体"/>
                <w:color w:val="000000"/>
                <w:szCs w:val="24"/>
              </w:rPr>
              <w:t>LNTL</w:t>
            </w:r>
          </w:p>
        </w:tc>
        <w:tc>
          <w:tcPr>
            <w:tcW w:w="2266" w:type="dxa"/>
            <w:shd w:val="clear" w:color="auto" w:fill="FFFFFF"/>
          </w:tcPr>
          <w:p w14:paraId="62ADBB44">
            <w:pPr>
              <w:spacing w:after="0" w:line="240" w:lineRule="auto"/>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3DF617AA">
            <w:pPr>
              <w:spacing w:after="0" w:line="240" w:lineRule="auto"/>
              <w:jc w:val="both"/>
              <w:rPr>
                <w:rFonts w:ascii="宋体" w:hAnsi="宋体"/>
                <w:color w:val="000000"/>
                <w:szCs w:val="24"/>
              </w:rPr>
            </w:pPr>
            <w:r>
              <w:rPr>
                <w:rFonts w:ascii="宋体" w:hAnsi="宋体"/>
                <w:color w:val="000000"/>
                <w:szCs w:val="24"/>
              </w:rPr>
              <w:t>±</w:t>
            </w:r>
          </w:p>
        </w:tc>
      </w:tr>
      <w:tr w14:paraId="436614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578620F">
            <w:pPr>
              <w:spacing w:after="0" w:line="240" w:lineRule="auto"/>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1656A4D4">
            <w:pPr>
              <w:spacing w:after="0" w:line="240" w:lineRule="auto"/>
              <w:jc w:val="both"/>
              <w:rPr>
                <w:rFonts w:ascii="宋体" w:hAnsi="宋体"/>
                <w:color w:val="000000"/>
                <w:szCs w:val="24"/>
              </w:rPr>
            </w:pPr>
            <w:r>
              <w:rPr>
                <w:rFonts w:ascii="宋体" w:hAnsi="宋体"/>
                <w:color w:val="000000"/>
                <w:szCs w:val="24"/>
              </w:rPr>
              <w:t>IND</w:t>
            </w:r>
          </w:p>
        </w:tc>
        <w:tc>
          <w:tcPr>
            <w:tcW w:w="2266" w:type="dxa"/>
            <w:shd w:val="clear" w:color="auto" w:fill="FFFFFF"/>
          </w:tcPr>
          <w:p w14:paraId="14FE2884">
            <w:pPr>
              <w:spacing w:after="0" w:line="240" w:lineRule="auto"/>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75651F13">
            <w:pPr>
              <w:spacing w:after="0" w:line="240" w:lineRule="auto"/>
              <w:jc w:val="both"/>
              <w:rPr>
                <w:rFonts w:ascii="宋体" w:hAnsi="宋体"/>
                <w:color w:val="000000"/>
                <w:szCs w:val="24"/>
              </w:rPr>
            </w:pPr>
            <w:r>
              <w:rPr>
                <w:rFonts w:ascii="宋体" w:hAnsi="宋体"/>
                <w:color w:val="000000"/>
                <w:szCs w:val="24"/>
              </w:rPr>
              <w:t>通常为负</w:t>
            </w:r>
          </w:p>
        </w:tc>
      </w:tr>
      <w:tr w14:paraId="15298E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E3D15F9">
            <w:pPr>
              <w:spacing w:after="0" w:line="240" w:lineRule="auto"/>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880B771">
            <w:pPr>
              <w:spacing w:after="0" w:line="240" w:lineRule="auto"/>
              <w:jc w:val="both"/>
              <w:rPr>
                <w:rFonts w:ascii="宋体" w:hAnsi="宋体"/>
                <w:color w:val="000000"/>
                <w:szCs w:val="24"/>
              </w:rPr>
            </w:pPr>
            <w:r>
              <w:rPr>
                <w:rFonts w:ascii="宋体" w:hAnsi="宋体"/>
                <w:color w:val="000000"/>
                <w:szCs w:val="24"/>
              </w:rPr>
              <w:t>URB</w:t>
            </w:r>
          </w:p>
        </w:tc>
        <w:tc>
          <w:tcPr>
            <w:tcW w:w="2266" w:type="dxa"/>
            <w:shd w:val="clear" w:color="auto" w:fill="FFFFFF"/>
          </w:tcPr>
          <w:p w14:paraId="0D0A368E">
            <w:pPr>
              <w:spacing w:after="0" w:line="240" w:lineRule="auto"/>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5BDBAA85">
            <w:pPr>
              <w:spacing w:after="0" w:line="240" w:lineRule="auto"/>
              <w:jc w:val="both"/>
              <w:rPr>
                <w:rFonts w:ascii="宋体" w:hAnsi="宋体"/>
                <w:color w:val="000000"/>
                <w:szCs w:val="24"/>
              </w:rPr>
            </w:pPr>
            <w:r>
              <w:rPr>
                <w:rFonts w:ascii="宋体" w:hAnsi="宋体"/>
                <w:color w:val="000000"/>
                <w:szCs w:val="24"/>
              </w:rPr>
              <w:t>不确定</w:t>
            </w:r>
          </w:p>
        </w:tc>
      </w:tr>
      <w:tr w14:paraId="4A1B48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7646EAF5">
            <w:pPr>
              <w:spacing w:after="0" w:line="240" w:lineRule="auto"/>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19B0B829">
            <w:pPr>
              <w:spacing w:after="0" w:line="240" w:lineRule="auto"/>
              <w:jc w:val="both"/>
              <w:rPr>
                <w:rFonts w:ascii="宋体" w:hAnsi="宋体"/>
                <w:color w:val="000000"/>
                <w:szCs w:val="24"/>
              </w:rPr>
            </w:pPr>
            <w:r>
              <w:rPr>
                <w:rFonts w:ascii="宋体" w:hAnsi="宋体"/>
                <w:color w:val="000000"/>
                <w:szCs w:val="24"/>
              </w:rPr>
              <w:t>RD</w:t>
            </w:r>
          </w:p>
        </w:tc>
        <w:tc>
          <w:tcPr>
            <w:tcW w:w="2266" w:type="dxa"/>
            <w:shd w:val="clear" w:color="auto" w:fill="FFFFFF"/>
          </w:tcPr>
          <w:p w14:paraId="2B95B9D0">
            <w:pPr>
              <w:spacing w:after="0" w:line="240" w:lineRule="auto"/>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2A062DE4">
            <w:pPr>
              <w:spacing w:after="0" w:line="240" w:lineRule="auto"/>
              <w:jc w:val="both"/>
              <w:rPr>
                <w:rFonts w:ascii="宋体" w:hAnsi="宋体"/>
                <w:color w:val="000000"/>
                <w:szCs w:val="24"/>
              </w:rPr>
            </w:pPr>
            <w:r>
              <w:rPr>
                <w:rFonts w:ascii="宋体" w:hAnsi="宋体"/>
                <w:color w:val="000000"/>
                <w:szCs w:val="24"/>
              </w:rPr>
              <w:t>通常为正</w:t>
            </w:r>
          </w:p>
        </w:tc>
      </w:tr>
      <w:tr w14:paraId="76DC12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3C05F02">
            <w:pPr>
              <w:spacing w:after="0" w:line="240" w:lineRule="auto"/>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60985C0">
            <w:pPr>
              <w:spacing w:after="0" w:line="240" w:lineRule="auto"/>
              <w:jc w:val="both"/>
              <w:rPr>
                <w:rFonts w:ascii="宋体" w:hAnsi="宋体"/>
                <w:color w:val="000000"/>
                <w:szCs w:val="24"/>
              </w:rPr>
            </w:pPr>
            <w:r>
              <w:rPr>
                <w:rFonts w:ascii="宋体" w:hAnsi="宋体"/>
                <w:color w:val="000000"/>
                <w:szCs w:val="24"/>
              </w:rPr>
              <w:t>OPEN</w:t>
            </w:r>
          </w:p>
        </w:tc>
        <w:tc>
          <w:tcPr>
            <w:tcW w:w="2266" w:type="dxa"/>
            <w:shd w:val="clear" w:color="auto" w:fill="FFFFFF"/>
          </w:tcPr>
          <w:p w14:paraId="465CEF2A">
            <w:pPr>
              <w:spacing w:after="0" w:line="240" w:lineRule="auto"/>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765004FB">
            <w:pPr>
              <w:spacing w:after="0" w:line="240" w:lineRule="auto"/>
              <w:jc w:val="both"/>
              <w:rPr>
                <w:rFonts w:ascii="宋体" w:hAnsi="宋体"/>
                <w:color w:val="000000"/>
                <w:szCs w:val="24"/>
              </w:rPr>
            </w:pPr>
            <w:r>
              <w:rPr>
                <w:rFonts w:ascii="宋体" w:hAnsi="宋体"/>
                <w:color w:val="000000"/>
                <w:szCs w:val="24"/>
              </w:rPr>
              <w:t>通常为正</w:t>
            </w:r>
          </w:p>
        </w:tc>
      </w:tr>
      <w:tr w14:paraId="34FBF5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73BEF2D8">
            <w:pPr>
              <w:spacing w:after="0" w:line="240" w:lineRule="auto"/>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7F773EC7">
            <w:pPr>
              <w:spacing w:after="0" w:line="240" w:lineRule="auto"/>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1CB0514E">
            <w:pPr>
              <w:spacing w:after="0" w:line="240" w:lineRule="auto"/>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332BDE4D">
            <w:pPr>
              <w:spacing w:after="0" w:line="240" w:lineRule="auto"/>
              <w:jc w:val="both"/>
              <w:rPr>
                <w:rFonts w:ascii="宋体" w:hAnsi="宋体"/>
                <w:color w:val="000000"/>
                <w:szCs w:val="24"/>
              </w:rPr>
            </w:pPr>
            <w:r>
              <w:rPr>
                <w:rFonts w:ascii="宋体" w:hAnsi="宋体"/>
                <w:color w:val="000000"/>
                <w:szCs w:val="24"/>
              </w:rPr>
              <w:t>通常为负</w:t>
            </w:r>
          </w:p>
        </w:tc>
      </w:tr>
    </w:tbl>
    <w:p w14:paraId="41178482">
      <w:pPr>
        <w:pStyle w:val="4"/>
        <w:jc w:val="both"/>
        <w:rPr>
          <w:rFonts w:ascii="楷体" w:hAnsi="楷体"/>
          <w:color w:val="auto"/>
          <w:lang w:eastAsia="zh-CN"/>
        </w:rPr>
      </w:pPr>
      <w:bookmarkStart w:id="19" w:name="_Toc16695"/>
      <w:r>
        <w:rPr>
          <w:rFonts w:ascii="楷体" w:hAnsi="楷体"/>
          <w:color w:val="auto"/>
          <w:lang w:eastAsia="zh-CN"/>
        </w:rPr>
        <w:t>（五）第三阶段空间相关性与空间分析思路</w:t>
      </w:r>
      <w:bookmarkEnd w:id="19"/>
    </w:p>
    <w:p w14:paraId="3E433429">
      <w:pPr>
        <w:spacing w:after="0" w:line="480" w:lineRule="exact"/>
        <w:ind w:firstLine="480" w:firstLineChars="200"/>
        <w:jc w:val="both"/>
        <w:rPr>
          <w:rFonts w:ascii="宋体" w:hAnsi="宋体"/>
          <w:lang w:eastAsia="zh-CN"/>
        </w:rPr>
      </w:pPr>
      <w:r>
        <w:rPr>
          <w:rFonts w:ascii="宋体" w:hAnsi="宋体"/>
          <w:lang w:eastAsia="zh-CN"/>
        </w:rPr>
        <w:t xml:space="preserve">考虑到碳排放效率可能受到地理邻近、产业关联、能源流动和环境治理协同等因素影响，本文进一步采用经济距离倒数空间权重矩阵开展 </w:t>
      </w:r>
      <w:r>
        <w:rPr>
          <w:rFonts w:cs="Times New Roman"/>
          <w:lang w:eastAsia="zh-CN"/>
        </w:rPr>
        <w:t>Global Moran’s I 检验，并结合局部 Moran 分析识别局部空间集聚类型；在此</w:t>
      </w:r>
      <w:r>
        <w:rPr>
          <w:rFonts w:ascii="宋体" w:hAnsi="宋体"/>
          <w:lang w:eastAsia="zh-CN"/>
        </w:rPr>
        <w:t>基础上，引入空间杜宾模型识别夜间灯光强度对本地区及周边地区碳排放效率的直接效应与空间溢出效应</w:t>
      </w:r>
      <w:r>
        <w:rPr>
          <w:rFonts w:cs="Times New Roman"/>
          <w:vertAlign w:val="superscript"/>
          <w:lang w:eastAsia="zh-CN"/>
        </w:rPr>
        <w:t>[17]</w:t>
      </w:r>
      <w:r>
        <w:rPr>
          <w:rFonts w:ascii="宋体" w:hAnsi="宋体"/>
          <w:lang w:eastAsia="zh-CN"/>
        </w:rPr>
        <w:t>。</w:t>
      </w:r>
    </w:p>
    <w:p w14:paraId="3334E6EE">
      <w:pPr>
        <w:pStyle w:val="3"/>
        <w:jc w:val="both"/>
        <w:rPr>
          <w:color w:val="auto"/>
          <w:szCs w:val="30"/>
          <w:lang w:eastAsia="zh-CN"/>
        </w:rPr>
      </w:pPr>
      <w:bookmarkStart w:id="20" w:name="_Toc10260"/>
      <w:r>
        <w:rPr>
          <w:color w:val="auto"/>
          <w:szCs w:val="30"/>
          <w:lang w:eastAsia="zh-CN"/>
        </w:rPr>
        <w:t>四、数据来源、预处理与变量构造</w:t>
      </w:r>
      <w:bookmarkEnd w:id="20"/>
    </w:p>
    <w:p w14:paraId="0F8C10BB">
      <w:pPr>
        <w:pStyle w:val="4"/>
        <w:jc w:val="both"/>
        <w:rPr>
          <w:lang w:eastAsia="zh-CN"/>
        </w:rPr>
      </w:pPr>
      <w:bookmarkStart w:id="21" w:name="_Toc21893"/>
      <w:r>
        <w:rPr>
          <w:rFonts w:ascii="楷体" w:hAnsi="楷体"/>
          <w:color w:val="auto"/>
          <w:lang w:eastAsia="zh-CN"/>
        </w:rPr>
        <w:t>（一）数据来源与单位说明</w:t>
      </w:r>
      <w:bookmarkEnd w:id="21"/>
    </w:p>
    <w:p w14:paraId="0B6A885D">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3</w:t>
      </w:r>
      <w:r>
        <w:fldChar w:fldCharType="end"/>
      </w:r>
      <w:bookmarkStart w:id="22" w:name="_Toc2335"/>
      <w:r>
        <w:rPr>
          <w:rFonts w:hint="eastAsia"/>
          <w:lang w:eastAsia="zh-CN"/>
        </w:rPr>
        <w:t xml:space="preserve"> </w:t>
      </w:r>
      <w:r>
        <w:rPr>
          <w:lang w:eastAsia="zh-CN"/>
        </w:rPr>
        <w:t>数据来源与单位说明表</w:t>
      </w:r>
      <w:bookmarkEnd w:id="22"/>
    </w:p>
    <w:tbl>
      <w:tblPr>
        <w:tblStyle w:val="4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1"/>
        <w:gridCol w:w="2948"/>
        <w:gridCol w:w="2943"/>
      </w:tblGrid>
      <w:tr w14:paraId="2C6BF5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10FE14A1">
            <w:pPr>
              <w:spacing w:after="0" w:line="240" w:lineRule="auto"/>
              <w:jc w:val="both"/>
              <w:rPr>
                <w:rFonts w:cs="Times New Roman"/>
                <w:color w:val="000000"/>
                <w:szCs w:val="24"/>
              </w:rPr>
            </w:pPr>
            <w:r>
              <w:rPr>
                <w:rFonts w:cs="Times New Roman"/>
                <w:color w:val="000000"/>
                <w:szCs w:val="24"/>
              </w:rPr>
              <w:t>变量/指标</w:t>
            </w:r>
          </w:p>
        </w:tc>
        <w:tc>
          <w:tcPr>
            <w:tcW w:w="3022" w:type="dxa"/>
            <w:tcBorders>
              <w:top w:val="single" w:color="000000" w:sz="12" w:space="0"/>
              <w:bottom w:val="single" w:color="000000" w:sz="4" w:space="0"/>
            </w:tcBorders>
            <w:shd w:val="clear" w:color="auto" w:fill="FFFFFF"/>
          </w:tcPr>
          <w:p w14:paraId="7E6A2AD8">
            <w:pPr>
              <w:spacing w:after="0" w:line="240" w:lineRule="auto"/>
              <w:jc w:val="both"/>
              <w:rPr>
                <w:rFonts w:cs="Times New Roman"/>
                <w:color w:val="000000"/>
                <w:szCs w:val="24"/>
              </w:rPr>
            </w:pPr>
            <w:r>
              <w:rPr>
                <w:rFonts w:cs="Times New Roman"/>
                <w:color w:val="000000"/>
                <w:szCs w:val="24"/>
              </w:rPr>
              <w:t>数据来源</w:t>
            </w:r>
          </w:p>
        </w:tc>
        <w:tc>
          <w:tcPr>
            <w:tcW w:w="3022" w:type="dxa"/>
            <w:tcBorders>
              <w:top w:val="single" w:color="000000" w:sz="12" w:space="0"/>
              <w:bottom w:val="single" w:color="000000" w:sz="4" w:space="0"/>
            </w:tcBorders>
            <w:shd w:val="clear" w:color="auto" w:fill="FFFFFF"/>
          </w:tcPr>
          <w:p w14:paraId="49FA8FD0">
            <w:pPr>
              <w:spacing w:after="0" w:line="240" w:lineRule="auto"/>
              <w:jc w:val="both"/>
              <w:rPr>
                <w:rFonts w:cs="Times New Roman"/>
                <w:color w:val="000000"/>
                <w:szCs w:val="24"/>
              </w:rPr>
            </w:pPr>
            <w:r>
              <w:rPr>
                <w:rFonts w:cs="Times New Roman"/>
                <w:color w:val="000000"/>
                <w:szCs w:val="24"/>
              </w:rPr>
              <w:t>构造与处理方式</w:t>
            </w:r>
          </w:p>
        </w:tc>
      </w:tr>
      <w:tr w14:paraId="34A9E5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44B25E43">
            <w:pPr>
              <w:spacing w:after="0" w:line="240" w:lineRule="auto"/>
              <w:jc w:val="both"/>
              <w:rPr>
                <w:rFonts w:cs="Times New Roman"/>
                <w:color w:val="000000"/>
                <w:szCs w:val="24"/>
              </w:rPr>
            </w:pPr>
            <w:r>
              <w:rPr>
                <w:rFonts w:cs="Times New Roman"/>
                <w:color w:val="000000"/>
                <w:szCs w:val="24"/>
              </w:rPr>
              <w:t>资本存量 Capital</w:t>
            </w:r>
          </w:p>
        </w:tc>
        <w:tc>
          <w:tcPr>
            <w:tcW w:w="3022" w:type="dxa"/>
            <w:tcBorders>
              <w:top w:val="single" w:color="000000" w:sz="4" w:space="0"/>
            </w:tcBorders>
            <w:shd w:val="clear" w:color="auto" w:fill="FFFFFF"/>
          </w:tcPr>
          <w:p w14:paraId="09D7151F">
            <w:pPr>
              <w:spacing w:after="0" w:line="240" w:lineRule="auto"/>
              <w:jc w:val="both"/>
              <w:rPr>
                <w:rFonts w:cs="Times New Roman"/>
                <w:color w:val="000000"/>
                <w:szCs w:val="24"/>
              </w:rPr>
            </w:pPr>
            <w:r>
              <w:rPr>
                <w:rFonts w:cs="Times New Roman"/>
                <w:color w:val="000000"/>
                <w:szCs w:val="24"/>
              </w:rPr>
              <w:t>《中国统计年鉴》</w:t>
            </w:r>
          </w:p>
        </w:tc>
        <w:tc>
          <w:tcPr>
            <w:tcW w:w="3022" w:type="dxa"/>
            <w:tcBorders>
              <w:top w:val="single" w:color="000000" w:sz="4" w:space="0"/>
            </w:tcBorders>
            <w:shd w:val="clear" w:color="auto" w:fill="FFFFFF"/>
          </w:tcPr>
          <w:p w14:paraId="1B520581">
            <w:pPr>
              <w:spacing w:after="0" w:line="240" w:lineRule="auto"/>
              <w:jc w:val="both"/>
              <w:rPr>
                <w:rFonts w:cs="Times New Roman"/>
                <w:color w:val="000000"/>
                <w:szCs w:val="24"/>
                <w:lang w:eastAsia="zh-CN"/>
              </w:rPr>
            </w:pPr>
            <w:r>
              <w:rPr>
                <w:rFonts w:cs="Times New Roman"/>
                <w:color w:val="000000"/>
                <w:szCs w:val="24"/>
                <w:lang w:eastAsia="zh-CN"/>
              </w:rPr>
              <w:t>基于固定资本形成总额、折旧率与永续盘存法递推资本存量</w:t>
            </w:r>
          </w:p>
        </w:tc>
      </w:tr>
      <w:tr w14:paraId="7DD6DD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4C41C19">
            <w:pPr>
              <w:spacing w:after="0" w:line="240" w:lineRule="auto"/>
              <w:jc w:val="both"/>
              <w:rPr>
                <w:rFonts w:cs="Times New Roman"/>
                <w:color w:val="000000"/>
                <w:szCs w:val="24"/>
                <w:lang w:eastAsia="zh-CN"/>
              </w:rPr>
            </w:pPr>
            <w:r>
              <w:rPr>
                <w:rFonts w:cs="Times New Roman"/>
                <w:color w:val="000000"/>
                <w:szCs w:val="24"/>
              </w:rPr>
              <w:t xml:space="preserve">劳动投入 </w:t>
            </w:r>
            <w:r>
              <w:rPr>
                <w:rFonts w:cs="Times New Roman"/>
                <w:color w:val="000000"/>
                <w:szCs w:val="24"/>
                <w:lang w:eastAsia="zh-CN"/>
              </w:rPr>
              <w:t>Population</w:t>
            </w:r>
          </w:p>
        </w:tc>
        <w:tc>
          <w:tcPr>
            <w:tcW w:w="3022" w:type="dxa"/>
            <w:shd w:val="clear" w:color="auto" w:fill="FFFFFF"/>
          </w:tcPr>
          <w:p w14:paraId="2276F421">
            <w:pPr>
              <w:spacing w:after="0" w:line="240" w:lineRule="auto"/>
              <w:jc w:val="both"/>
              <w:rPr>
                <w:rFonts w:cs="Times New Roman"/>
                <w:color w:val="000000"/>
                <w:szCs w:val="24"/>
              </w:rPr>
            </w:pPr>
            <w:r>
              <w:rPr>
                <w:rFonts w:cs="Times New Roman"/>
                <w:color w:val="000000"/>
                <w:szCs w:val="24"/>
              </w:rPr>
              <w:t>《中国统计年鉴》</w:t>
            </w:r>
          </w:p>
        </w:tc>
        <w:tc>
          <w:tcPr>
            <w:tcW w:w="3022" w:type="dxa"/>
            <w:shd w:val="clear" w:color="auto" w:fill="FFFFFF"/>
          </w:tcPr>
          <w:p w14:paraId="48805201">
            <w:pPr>
              <w:spacing w:after="0" w:line="240" w:lineRule="auto"/>
              <w:jc w:val="both"/>
              <w:rPr>
                <w:rFonts w:cs="Times New Roman"/>
                <w:color w:val="000000"/>
                <w:szCs w:val="24"/>
                <w:lang w:eastAsia="zh-CN"/>
              </w:rPr>
            </w:pPr>
            <w:r>
              <w:rPr>
                <w:rFonts w:cs="Times New Roman"/>
                <w:color w:val="000000"/>
                <w:szCs w:val="24"/>
                <w:lang w:eastAsia="zh-CN"/>
              </w:rPr>
              <w:t>采用人口相关数据匹配到省份—年份面板</w:t>
            </w:r>
          </w:p>
        </w:tc>
      </w:tr>
      <w:tr w14:paraId="03C591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6EF3DD8">
            <w:pPr>
              <w:spacing w:after="0" w:line="240" w:lineRule="auto"/>
              <w:jc w:val="both"/>
              <w:rPr>
                <w:rFonts w:cs="Times New Roman"/>
                <w:color w:val="000000"/>
                <w:szCs w:val="24"/>
                <w:lang w:eastAsia="zh-CN"/>
              </w:rPr>
            </w:pPr>
            <w:r>
              <w:rPr>
                <w:rFonts w:cs="Times New Roman"/>
                <w:color w:val="000000"/>
                <w:szCs w:val="24"/>
              </w:rPr>
              <w:t xml:space="preserve">能源投入 </w:t>
            </w:r>
            <w:r>
              <w:rPr>
                <w:rFonts w:cs="Times New Roman"/>
                <w:color w:val="000000"/>
                <w:szCs w:val="24"/>
                <w:lang w:eastAsia="zh-CN"/>
              </w:rPr>
              <w:t>energy_total</w:t>
            </w:r>
          </w:p>
        </w:tc>
        <w:tc>
          <w:tcPr>
            <w:tcW w:w="3022" w:type="dxa"/>
            <w:shd w:val="clear" w:color="auto" w:fill="FFFFFF"/>
          </w:tcPr>
          <w:p w14:paraId="13245A1E">
            <w:pPr>
              <w:spacing w:after="0" w:line="240" w:lineRule="auto"/>
              <w:jc w:val="both"/>
              <w:rPr>
                <w:rFonts w:cs="Times New Roman"/>
                <w:color w:val="000000"/>
                <w:szCs w:val="24"/>
                <w:lang w:eastAsia="zh-CN"/>
              </w:rPr>
            </w:pPr>
            <w:r>
              <w:rPr>
                <w:rFonts w:cs="Times New Roman"/>
                <w:color w:val="000000"/>
                <w:szCs w:val="24"/>
                <w:lang w:eastAsia="zh-CN"/>
              </w:rPr>
              <w:t>《中国能源统计年鉴》</w:t>
            </w:r>
          </w:p>
        </w:tc>
        <w:tc>
          <w:tcPr>
            <w:tcW w:w="3022" w:type="dxa"/>
            <w:shd w:val="clear" w:color="auto" w:fill="FFFFFF"/>
          </w:tcPr>
          <w:p w14:paraId="74A1F1C9">
            <w:pPr>
              <w:spacing w:after="0" w:line="240" w:lineRule="auto"/>
              <w:jc w:val="both"/>
              <w:rPr>
                <w:rFonts w:cs="Times New Roman"/>
                <w:color w:val="000000"/>
                <w:szCs w:val="24"/>
                <w:lang w:eastAsia="zh-CN"/>
              </w:rPr>
            </w:pPr>
            <w:r>
              <w:rPr>
                <w:rFonts w:cs="Times New Roman"/>
                <w:color w:val="000000"/>
                <w:szCs w:val="24"/>
                <w:lang w:eastAsia="zh-CN"/>
              </w:rPr>
              <w:t>将多类终端能源消费量按标准煤折算系数换算后加总</w:t>
            </w:r>
          </w:p>
        </w:tc>
      </w:tr>
      <w:tr w14:paraId="76FFFA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D67C6C1">
            <w:pPr>
              <w:spacing w:after="0" w:line="240" w:lineRule="auto"/>
              <w:jc w:val="both"/>
              <w:rPr>
                <w:rFonts w:cs="Times New Roman"/>
                <w:color w:val="000000"/>
                <w:szCs w:val="24"/>
              </w:rPr>
            </w:pPr>
            <w:r>
              <w:rPr>
                <w:rFonts w:cs="Times New Roman"/>
                <w:color w:val="000000"/>
                <w:szCs w:val="24"/>
              </w:rPr>
              <w:t>能源结构 es</w:t>
            </w:r>
          </w:p>
        </w:tc>
        <w:tc>
          <w:tcPr>
            <w:tcW w:w="3022" w:type="dxa"/>
            <w:shd w:val="clear" w:color="auto" w:fill="FFFFFF"/>
          </w:tcPr>
          <w:p w14:paraId="2140A5A5">
            <w:pPr>
              <w:spacing w:after="0" w:line="240" w:lineRule="auto"/>
              <w:jc w:val="both"/>
              <w:rPr>
                <w:rFonts w:cs="Times New Roman"/>
                <w:color w:val="000000"/>
                <w:szCs w:val="24"/>
                <w:lang w:eastAsia="zh-CN"/>
              </w:rPr>
            </w:pPr>
            <w:r>
              <w:rPr>
                <w:rFonts w:cs="Times New Roman"/>
                <w:color w:val="000000"/>
                <w:szCs w:val="24"/>
                <w:lang w:eastAsia="zh-CN"/>
              </w:rPr>
              <w:t>《中国能源统计年鉴》</w:t>
            </w:r>
          </w:p>
        </w:tc>
        <w:tc>
          <w:tcPr>
            <w:tcW w:w="3022" w:type="dxa"/>
            <w:shd w:val="clear" w:color="auto" w:fill="FFFFFF"/>
          </w:tcPr>
          <w:p w14:paraId="481F6203">
            <w:pPr>
              <w:spacing w:after="0" w:line="240" w:lineRule="auto"/>
              <w:jc w:val="both"/>
              <w:rPr>
                <w:rFonts w:cs="Times New Roman"/>
                <w:color w:val="000000"/>
                <w:szCs w:val="24"/>
                <w:lang w:eastAsia="zh-CN"/>
              </w:rPr>
            </w:pPr>
            <w:r>
              <w:rPr>
                <w:rFonts w:cs="Times New Roman"/>
                <w:color w:val="000000"/>
                <w:szCs w:val="24"/>
                <w:lang w:eastAsia="zh-CN"/>
              </w:rPr>
              <w:t>es=煤炭消费总量/能源消费总量，反映煤炭依赖程度</w:t>
            </w:r>
          </w:p>
        </w:tc>
      </w:tr>
      <w:tr w14:paraId="04E9E7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553388A3">
            <w:pPr>
              <w:spacing w:after="0" w:line="240" w:lineRule="auto"/>
              <w:jc w:val="both"/>
              <w:rPr>
                <w:rFonts w:cs="Times New Roman"/>
                <w:color w:val="000000"/>
                <w:szCs w:val="24"/>
              </w:rPr>
            </w:pPr>
            <w:r>
              <w:rPr>
                <w:rFonts w:cs="Times New Roman"/>
                <w:color w:val="000000"/>
                <w:szCs w:val="24"/>
              </w:rPr>
              <w:t>期望产出 GDP_constant</w:t>
            </w:r>
          </w:p>
        </w:tc>
        <w:tc>
          <w:tcPr>
            <w:tcW w:w="3022" w:type="dxa"/>
            <w:shd w:val="clear" w:color="auto" w:fill="FFFFFF"/>
          </w:tcPr>
          <w:p w14:paraId="350DB580">
            <w:pPr>
              <w:spacing w:after="0" w:line="240" w:lineRule="auto"/>
              <w:jc w:val="both"/>
              <w:rPr>
                <w:rFonts w:cs="Times New Roman"/>
                <w:color w:val="000000"/>
                <w:szCs w:val="24"/>
              </w:rPr>
            </w:pPr>
            <w:r>
              <w:rPr>
                <w:rFonts w:cs="Times New Roman"/>
                <w:color w:val="000000"/>
                <w:szCs w:val="24"/>
              </w:rPr>
              <w:t>《中国统计年鉴》</w:t>
            </w:r>
          </w:p>
        </w:tc>
        <w:tc>
          <w:tcPr>
            <w:tcW w:w="3022" w:type="dxa"/>
            <w:shd w:val="clear" w:color="auto" w:fill="FFFFFF"/>
          </w:tcPr>
          <w:p w14:paraId="69F8B2A2">
            <w:pPr>
              <w:spacing w:after="0" w:line="240" w:lineRule="auto"/>
              <w:jc w:val="both"/>
              <w:rPr>
                <w:rFonts w:cs="Times New Roman"/>
                <w:color w:val="000000"/>
                <w:szCs w:val="24"/>
                <w:lang w:eastAsia="zh-CN"/>
              </w:rPr>
            </w:pPr>
            <w:r>
              <w:rPr>
                <w:rFonts w:cs="Times New Roman"/>
                <w:color w:val="000000"/>
                <w:szCs w:val="24"/>
                <w:lang w:eastAsia="zh-CN"/>
              </w:rPr>
              <w:t>以2015年为基期构造不变价GDP</w:t>
            </w:r>
          </w:p>
        </w:tc>
      </w:tr>
      <w:tr w14:paraId="6BA30D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C618850">
            <w:pPr>
              <w:spacing w:after="0" w:line="240" w:lineRule="auto"/>
              <w:jc w:val="both"/>
              <w:rPr>
                <w:rFonts w:cs="Times New Roman"/>
                <w:color w:val="000000"/>
                <w:szCs w:val="24"/>
              </w:rPr>
            </w:pPr>
            <w:r>
              <w:rPr>
                <w:rFonts w:cs="Times New Roman"/>
                <w:color w:val="000000"/>
                <w:szCs w:val="24"/>
              </w:rPr>
              <w:t>非期望产出</w:t>
            </w:r>
            <w:r>
              <w:rPr>
                <w:rFonts w:cs="Times New Roman"/>
                <w:color w:val="000000"/>
                <w:szCs w:val="24"/>
                <w:lang w:eastAsia="zh-CN"/>
              </w:rPr>
              <w:t xml:space="preserve"> Carbon</w:t>
            </w:r>
          </w:p>
        </w:tc>
        <w:tc>
          <w:tcPr>
            <w:tcW w:w="3022" w:type="dxa"/>
            <w:shd w:val="clear" w:color="auto" w:fill="FFFFFF"/>
          </w:tcPr>
          <w:p w14:paraId="64B734DC">
            <w:pPr>
              <w:spacing w:after="0" w:line="240" w:lineRule="auto"/>
              <w:jc w:val="both"/>
              <w:rPr>
                <w:rFonts w:cs="Times New Roman"/>
                <w:color w:val="000000"/>
                <w:szCs w:val="24"/>
                <w:lang w:eastAsia="zh-CN"/>
              </w:rPr>
            </w:pPr>
            <w:r>
              <w:rPr>
                <w:rFonts w:cs="Times New Roman"/>
                <w:color w:val="000000"/>
                <w:szCs w:val="24"/>
                <w:lang w:eastAsia="zh-CN"/>
              </w:rPr>
              <w:t>CEADs数据库</w:t>
            </w:r>
          </w:p>
        </w:tc>
        <w:tc>
          <w:tcPr>
            <w:tcW w:w="3022" w:type="dxa"/>
            <w:shd w:val="clear" w:color="auto" w:fill="FFFFFF"/>
          </w:tcPr>
          <w:p w14:paraId="6373C6EB">
            <w:pPr>
              <w:spacing w:after="0" w:line="240" w:lineRule="auto"/>
              <w:jc w:val="both"/>
              <w:rPr>
                <w:rFonts w:cs="Times New Roman"/>
                <w:color w:val="000000"/>
                <w:szCs w:val="24"/>
                <w:lang w:eastAsia="zh-CN"/>
              </w:rPr>
            </w:pPr>
            <w:r>
              <w:rPr>
                <w:rFonts w:cs="Times New Roman"/>
                <w:color w:val="000000"/>
                <w:szCs w:val="24"/>
                <w:lang w:eastAsia="zh-CN"/>
              </w:rPr>
              <w:t>作为第一阶段坏产出进入效率模型</w:t>
            </w:r>
          </w:p>
        </w:tc>
      </w:tr>
      <w:tr w14:paraId="16871B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6958F2F0">
            <w:pPr>
              <w:spacing w:after="0" w:line="240" w:lineRule="auto"/>
              <w:jc w:val="both"/>
              <w:rPr>
                <w:rFonts w:cs="Times New Roman"/>
                <w:color w:val="000000"/>
                <w:szCs w:val="24"/>
                <w:lang w:eastAsia="zh-CN"/>
              </w:rPr>
            </w:pPr>
            <w:r>
              <w:rPr>
                <w:rFonts w:cs="Times New Roman"/>
                <w:color w:val="000000"/>
                <w:szCs w:val="24"/>
                <w:lang w:eastAsia="zh-CN"/>
              </w:rPr>
              <w:t>夜间灯光强度 lntl</w:t>
            </w:r>
          </w:p>
        </w:tc>
        <w:tc>
          <w:tcPr>
            <w:tcW w:w="3022" w:type="dxa"/>
            <w:shd w:val="clear" w:color="auto" w:fill="FFFFFF"/>
          </w:tcPr>
          <w:p w14:paraId="146CDEFF">
            <w:pPr>
              <w:spacing w:after="0" w:line="240" w:lineRule="auto"/>
              <w:jc w:val="both"/>
              <w:rPr>
                <w:rFonts w:cs="Times New Roman"/>
                <w:color w:val="000000"/>
                <w:szCs w:val="24"/>
                <w:lang w:eastAsia="zh-CN"/>
              </w:rPr>
            </w:pPr>
            <w:r>
              <w:rPr>
                <w:rFonts w:cs="Times New Roman"/>
                <w:color w:val="000000"/>
                <w:szCs w:val="24"/>
                <w:lang w:eastAsia="zh-CN"/>
              </w:rPr>
              <w:t>年度夜间灯光遥感影像</w:t>
            </w:r>
          </w:p>
        </w:tc>
        <w:tc>
          <w:tcPr>
            <w:tcW w:w="3022" w:type="dxa"/>
            <w:shd w:val="clear" w:color="auto" w:fill="FFFFFF"/>
          </w:tcPr>
          <w:p w14:paraId="2FB38F24">
            <w:pPr>
              <w:spacing w:after="0" w:line="240" w:lineRule="auto"/>
              <w:jc w:val="both"/>
              <w:rPr>
                <w:rFonts w:cs="Times New Roman"/>
                <w:color w:val="000000"/>
                <w:szCs w:val="24"/>
                <w:lang w:eastAsia="zh-CN"/>
              </w:rPr>
            </w:pPr>
            <w:r>
              <w:rPr>
                <w:rFonts w:cs="Times New Roman"/>
                <w:color w:val="000000"/>
                <w:szCs w:val="24"/>
                <w:lang w:eastAsia="zh-CN"/>
              </w:rPr>
              <w:t>表征区域经济活跃程度和发展强度</w:t>
            </w:r>
          </w:p>
        </w:tc>
      </w:tr>
      <w:tr w14:paraId="07F246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5845BC10">
            <w:pPr>
              <w:spacing w:after="0" w:line="240" w:lineRule="auto"/>
              <w:jc w:val="both"/>
              <w:rPr>
                <w:rFonts w:cs="Times New Roman"/>
                <w:color w:val="000000"/>
                <w:szCs w:val="24"/>
                <w:lang w:eastAsia="zh-CN"/>
              </w:rPr>
            </w:pPr>
            <w:r>
              <w:rPr>
                <w:rFonts w:cs="Times New Roman"/>
                <w:color w:val="000000"/>
                <w:szCs w:val="24"/>
                <w:lang w:eastAsia="zh-CN"/>
              </w:rPr>
              <w:t>R&amp;D研究与试验发展投入强度 rd</w:t>
            </w:r>
          </w:p>
        </w:tc>
        <w:tc>
          <w:tcPr>
            <w:tcW w:w="3022" w:type="dxa"/>
            <w:shd w:val="clear" w:color="auto" w:fill="FFFFFF"/>
          </w:tcPr>
          <w:p w14:paraId="064CA189">
            <w:pPr>
              <w:spacing w:after="0" w:line="240" w:lineRule="auto"/>
              <w:jc w:val="both"/>
              <w:rPr>
                <w:rFonts w:cs="Times New Roman"/>
                <w:color w:val="000000"/>
                <w:szCs w:val="24"/>
                <w:lang w:eastAsia="zh-CN"/>
              </w:rPr>
            </w:pPr>
            <w:r>
              <w:rPr>
                <w:rFonts w:cs="Times New Roman"/>
                <w:color w:val="000000"/>
                <w:szCs w:val="24"/>
                <w:lang w:eastAsia="zh-CN"/>
              </w:rPr>
              <w:t>《全国科技经费投入统计公报》</w:t>
            </w:r>
          </w:p>
        </w:tc>
        <w:tc>
          <w:tcPr>
            <w:tcW w:w="3022" w:type="dxa"/>
            <w:shd w:val="clear" w:color="auto" w:fill="FFFFFF"/>
          </w:tcPr>
          <w:p w14:paraId="44DDB194">
            <w:pPr>
              <w:spacing w:after="0" w:line="240" w:lineRule="auto"/>
              <w:jc w:val="both"/>
              <w:rPr>
                <w:rFonts w:cs="Times New Roman"/>
                <w:color w:val="000000"/>
                <w:szCs w:val="24"/>
                <w:lang w:eastAsia="zh-CN"/>
              </w:rPr>
            </w:pPr>
            <w:r>
              <w:rPr>
                <w:rFonts w:cs="Times New Roman"/>
                <w:color w:val="000000"/>
                <w:szCs w:val="24"/>
                <w:lang w:eastAsia="zh-CN"/>
              </w:rPr>
              <w:t>R&amp;D经费投入强度与GDP口径统一后计算</w:t>
            </w:r>
          </w:p>
        </w:tc>
      </w:tr>
      <w:tr w14:paraId="003568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7476E911">
            <w:pPr>
              <w:spacing w:after="0" w:line="240" w:lineRule="auto"/>
              <w:jc w:val="both"/>
              <w:rPr>
                <w:rFonts w:cs="Times New Roman"/>
                <w:color w:val="000000"/>
                <w:szCs w:val="24"/>
              </w:rPr>
            </w:pPr>
            <w:r>
              <w:rPr>
                <w:rFonts w:cs="Times New Roman"/>
                <w:color w:val="000000"/>
                <w:szCs w:val="24"/>
              </w:rPr>
              <w:t>对外开放度 open</w:t>
            </w:r>
          </w:p>
        </w:tc>
        <w:tc>
          <w:tcPr>
            <w:tcW w:w="3022" w:type="dxa"/>
            <w:tcBorders>
              <w:bottom w:val="single" w:color="000000" w:sz="12" w:space="0"/>
            </w:tcBorders>
            <w:shd w:val="clear" w:color="auto" w:fill="FFFFFF"/>
          </w:tcPr>
          <w:p w14:paraId="10D82ACA">
            <w:pPr>
              <w:spacing w:after="0" w:line="240" w:lineRule="auto"/>
              <w:jc w:val="both"/>
              <w:rPr>
                <w:rFonts w:cs="Times New Roman"/>
                <w:color w:val="000000"/>
                <w:szCs w:val="24"/>
              </w:rPr>
            </w:pPr>
            <w:r>
              <w:rPr>
                <w:rFonts w:cs="Times New Roman"/>
                <w:color w:val="000000"/>
                <w:szCs w:val="24"/>
              </w:rPr>
              <w:t>《中国统计年鉴》</w:t>
            </w:r>
          </w:p>
        </w:tc>
        <w:tc>
          <w:tcPr>
            <w:tcW w:w="3022" w:type="dxa"/>
            <w:tcBorders>
              <w:bottom w:val="single" w:color="000000" w:sz="12" w:space="0"/>
            </w:tcBorders>
            <w:shd w:val="clear" w:color="auto" w:fill="FFFFFF"/>
          </w:tcPr>
          <w:p w14:paraId="4FEE335D">
            <w:pPr>
              <w:spacing w:after="0" w:line="240" w:lineRule="auto"/>
              <w:jc w:val="both"/>
              <w:rPr>
                <w:rFonts w:cs="Times New Roman"/>
                <w:color w:val="000000"/>
                <w:szCs w:val="24"/>
              </w:rPr>
            </w:pPr>
            <w:r>
              <w:rPr>
                <w:rFonts w:cs="Times New Roman"/>
                <w:color w:val="000000"/>
                <w:szCs w:val="24"/>
              </w:rPr>
              <w:t>open=货物进出口总额/GDP</w:t>
            </w:r>
          </w:p>
        </w:tc>
      </w:tr>
    </w:tbl>
    <w:p w14:paraId="1BF7D28B">
      <w:pPr>
        <w:pStyle w:val="4"/>
        <w:jc w:val="both"/>
        <w:rPr>
          <w:rFonts w:ascii="楷体" w:hAnsi="楷体"/>
          <w:color w:val="auto"/>
          <w:lang w:eastAsia="zh-CN"/>
        </w:rPr>
      </w:pPr>
      <w:bookmarkStart w:id="23" w:name="_Toc18886"/>
      <w:r>
        <w:rPr>
          <w:rFonts w:ascii="楷体" w:hAnsi="楷体"/>
          <w:color w:val="auto"/>
          <w:lang w:eastAsia="zh-CN"/>
        </w:rPr>
        <w:t>（二）样本构建与清洗处理</w:t>
      </w:r>
      <w:bookmarkEnd w:id="23"/>
    </w:p>
    <w:p w14:paraId="0D54EDA0">
      <w:pPr>
        <w:spacing w:after="0" w:line="480" w:lineRule="exact"/>
        <w:ind w:firstLine="480" w:firstLineChars="200"/>
        <w:jc w:val="both"/>
        <w:rPr>
          <w:rFonts w:ascii="宋体" w:hAnsi="宋体"/>
          <w:lang w:eastAsia="zh-CN"/>
        </w:rPr>
      </w:pPr>
      <w:r>
        <w:rPr>
          <w:rFonts w:ascii="宋体" w:hAnsi="宋体"/>
          <w:lang w:eastAsia="zh-CN"/>
        </w:rPr>
        <w:t>为确保不同来源数据能够统一进入省级平衡面板，本文首先对省份名称、年份范围、单位口径和变量字段进行标准化处理，</w:t>
      </w:r>
      <w:r>
        <w:rPr>
          <w:rFonts w:cs="Times New Roman"/>
          <w:lang w:eastAsia="zh-CN"/>
        </w:rPr>
        <w:t>统一保留2015—2022年</w:t>
      </w:r>
      <w:r>
        <w:rPr>
          <w:rFonts w:ascii="宋体" w:hAnsi="宋体"/>
          <w:lang w:eastAsia="zh-CN"/>
        </w:rPr>
        <w:t>样本，并逐一核对省份代码、行政区名称和年份取值的匹配情况。对于跨来源数据中存在的字段差异，通过人工核查和程序匹配相结合的方式进行对齐。</w:t>
      </w:r>
      <w:r>
        <w:rPr>
          <w:lang w:eastAsia="zh-CN"/>
        </w:rPr>
        <w:t>样本构建流程图</w:t>
      </w:r>
      <w:r>
        <w:rPr>
          <w:rFonts w:hint="eastAsia"/>
          <w:lang w:eastAsia="zh-CN"/>
        </w:rPr>
        <w:t>如图3所示。</w:t>
      </w:r>
    </w:p>
    <w:p w14:paraId="0E2CCDCC">
      <w:pPr>
        <w:spacing w:before="120" w:beforeLines="50"/>
        <w:jc w:val="center"/>
        <w:rPr>
          <w:lang w:eastAsia="zh-CN"/>
        </w:rPr>
      </w:pPr>
      <w:r>
        <w:rPr>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2" cstate="hqprint"/>
                    <a:srcRect t="8461"/>
                    <a:stretch>
                      <a:fillRect/>
                    </a:stretch>
                  </pic:blipFill>
                  <pic:spPr>
                    <a:xfrm>
                      <a:off x="0" y="0"/>
                      <a:ext cx="5703570" cy="3916045"/>
                    </a:xfrm>
                    <a:prstGeom prst="rect">
                      <a:avLst/>
                    </a:prstGeom>
                  </pic:spPr>
                </pic:pic>
              </a:graphicData>
            </a:graphic>
          </wp:inline>
        </w:drawing>
      </w:r>
    </w:p>
    <w:p w14:paraId="67DFC733">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3</w:t>
      </w:r>
      <w:r>
        <w:fldChar w:fldCharType="end"/>
      </w:r>
      <w:bookmarkStart w:id="24" w:name="_Toc27389"/>
      <w:r>
        <w:rPr>
          <w:rFonts w:hint="eastAsia"/>
          <w:lang w:eastAsia="zh-CN"/>
        </w:rPr>
        <w:t xml:space="preserve"> </w:t>
      </w:r>
      <w:r>
        <w:rPr>
          <w:lang w:eastAsia="zh-CN"/>
        </w:rPr>
        <w:t>样本构建流程图</w:t>
      </w:r>
      <w:bookmarkEnd w:id="24"/>
    </w:p>
    <w:p w14:paraId="0EE9E34B">
      <w:pPr>
        <w:pStyle w:val="4"/>
        <w:jc w:val="both"/>
        <w:rPr>
          <w:rFonts w:ascii="楷体" w:hAnsi="楷体"/>
          <w:color w:val="auto"/>
          <w:lang w:eastAsia="zh-CN"/>
        </w:rPr>
      </w:pPr>
      <w:bookmarkStart w:id="25" w:name="_Toc20275"/>
      <w:r>
        <w:rPr>
          <w:rFonts w:ascii="楷体" w:hAnsi="楷体"/>
          <w:color w:val="auto"/>
          <w:lang w:eastAsia="zh-CN"/>
        </w:rPr>
        <w:t>（三）缺失值、异常值与变量分布检验</w:t>
      </w:r>
      <w:bookmarkEnd w:id="25"/>
    </w:p>
    <w:p w14:paraId="3DC18013">
      <w:pPr>
        <w:spacing w:after="0" w:line="480" w:lineRule="exact"/>
        <w:ind w:firstLine="480" w:firstLineChars="200"/>
        <w:jc w:val="both"/>
        <w:rPr>
          <w:lang w:eastAsia="zh-CN"/>
        </w:rPr>
      </w:pPr>
      <w:r>
        <w:rPr>
          <w:rFonts w:hint="eastAsia"/>
          <w:lang w:eastAsia="zh-CN"/>
        </w:rPr>
        <w:t>为保证模型输入的可靠性，本文从缺失值处理、异常值识别和变量分布检验三个层面开展预处理。首先，对省份—年份层面的原始数据进行系统核查，优先回到原始数据源查补缺失信息；对于极少量连续型变量，在保留经济含义的前提下，可采用三次样条插值或相邻年份辅助推算，但不宜对第一阶段核心投入产出指标进行大规模机械插值。其次，对关键变量采用箱线图、分位数和标准差规则识别极端观测值。对于因省域规模差异形成的真实极端值，基准分析阶段原则上予以保留，并在稳健性检验中通过缩尾处理进一步检验结论是否稳定。最后，本文进一步结合箱线图、分布图和核密度图，对主要变量尤其是夜间灯光强度及其对数化指标的分布形态进行检验，以判断其偏态特征及对数化处理的必要性。</w:t>
      </w:r>
    </w:p>
    <w:p w14:paraId="1BAE0099">
      <w:pPr>
        <w:spacing w:after="120" w:afterLines="50" w:line="480" w:lineRule="exact"/>
        <w:ind w:firstLine="480" w:firstLineChars="200"/>
        <w:jc w:val="both"/>
        <w:rPr>
          <w:rFonts w:ascii="宋体" w:hAnsi="宋体"/>
          <w:lang w:eastAsia="zh-CN"/>
        </w:rPr>
      </w:pPr>
      <w:r>
        <w:rPr>
          <w:lang w:eastAsia="zh-CN"/>
        </w:rPr>
        <w:t>其次，对关键变量采用箱线图</w:t>
      </w:r>
      <w:r>
        <w:rPr>
          <w:rFonts w:hint="eastAsia"/>
          <w:lang w:eastAsia="zh-CN"/>
        </w:rPr>
        <w:t>（图5）</w:t>
      </w:r>
      <w:r>
        <w:rPr>
          <w:lang w:eastAsia="zh-CN"/>
        </w:rPr>
        <w:t>、分位数和标准差规则识别极端观测值。对于因</w:t>
      </w:r>
      <w:r>
        <w:rPr>
          <w:rFonts w:hint="eastAsia"/>
          <w:lang w:eastAsia="zh-CN"/>
        </w:rPr>
        <w:t>省域</w:t>
      </w:r>
      <w:r>
        <w:rPr>
          <w:lang w:eastAsia="zh-CN"/>
        </w:rPr>
        <w:t>规模差异而形成的真实极端值，基准分析阶段原则上予以保留，在稳健性检验中再通过缩尾处理检验结论是否稳健。最后，针对</w:t>
      </w:r>
      <w:r>
        <w:rPr>
          <w:rFonts w:hint="eastAsia"/>
          <w:lang w:eastAsia="zh-CN"/>
        </w:rPr>
        <w:t>夜间灯光强度</w:t>
      </w:r>
      <w:r>
        <w:rPr>
          <w:lang w:eastAsia="zh-CN"/>
        </w:rPr>
        <w:t>及其对数化指标，分别绘制分布图和核密度图</w:t>
      </w:r>
      <w:r>
        <w:rPr>
          <w:rFonts w:hint="eastAsia"/>
          <w:lang w:eastAsia="zh-CN"/>
        </w:rPr>
        <w:t>（图6）</w:t>
      </w:r>
      <w:r>
        <w:rPr>
          <w:lang w:eastAsia="zh-CN"/>
        </w:rPr>
        <w:t>，检验其是否存在明显右偏、是否需要对数化以及对数化后的分布是否更平滑。</w:t>
      </w:r>
    </w:p>
    <w:p w14:paraId="7D599C1C">
      <w:pPr>
        <w:spacing w:after="0"/>
        <w:jc w:val="center"/>
        <w:rPr>
          <w:lang w:eastAsia="zh-CN"/>
        </w:rPr>
      </w:pPr>
      <w:r>
        <w:rPr>
          <w:lang w:eastAsia="zh-CN"/>
        </w:rPr>
        <w:drawing>
          <wp:inline distT="0" distB="0" distL="114300" distR="114300">
            <wp:extent cx="5098415" cy="3357880"/>
            <wp:effectExtent l="0" t="0" r="6985" b="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3" cstate="hqprint"/>
                    <a:stretch>
                      <a:fillRect/>
                    </a:stretch>
                  </pic:blipFill>
                  <pic:spPr>
                    <a:xfrm>
                      <a:off x="0" y="0"/>
                      <a:ext cx="5107378" cy="3363746"/>
                    </a:xfrm>
                    <a:prstGeom prst="rect">
                      <a:avLst/>
                    </a:prstGeom>
                  </pic:spPr>
                </pic:pic>
              </a:graphicData>
            </a:graphic>
          </wp:inline>
        </w:drawing>
      </w:r>
    </w:p>
    <w:p w14:paraId="71C6D6A7">
      <w:pPr>
        <w:pStyle w:val="15"/>
        <w:spacing w:after="100" w:afterAutospacing="1"/>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4</w:t>
      </w:r>
      <w:r>
        <w:fldChar w:fldCharType="end"/>
      </w:r>
      <w:bookmarkStart w:id="26" w:name="_Toc19393"/>
      <w:r>
        <w:rPr>
          <w:rFonts w:hint="eastAsia"/>
          <w:lang w:eastAsia="zh-CN"/>
        </w:rPr>
        <w:t xml:space="preserve"> </w:t>
      </w:r>
      <w:r>
        <w:rPr>
          <w:lang w:eastAsia="zh-CN"/>
        </w:rPr>
        <w:t>核心变量箱线图</w:t>
      </w:r>
      <w:bookmarkEnd w:id="26"/>
    </w:p>
    <w:p w14:paraId="7425C7DD">
      <w:pPr>
        <w:spacing w:after="0"/>
        <w:ind w:firstLine="480" w:firstLineChars="200"/>
        <w:jc w:val="both"/>
        <w:rPr>
          <w:lang w:eastAsia="zh-CN"/>
        </w:rPr>
      </w:pPr>
      <w:r>
        <w:rPr>
          <w:lang w:eastAsia="zh-CN"/>
        </w:rPr>
        <w:t>箱线图表明，不同核心变量的取值范围和离散程度存在明显差异，部分变量还存在极端观测值。考虑到这些极端值中相当一部分可能来源于真实的</w:t>
      </w:r>
      <w:r>
        <w:rPr>
          <w:rFonts w:hint="eastAsia"/>
          <w:lang w:eastAsia="zh-CN"/>
        </w:rPr>
        <w:t>省域</w:t>
      </w:r>
      <w:r>
        <w:rPr>
          <w:lang w:eastAsia="zh-CN"/>
        </w:rPr>
        <w:t>规模差异，本文在基准分析阶段予以保留，并在后续稳健性检验中通过缩尾处理进一步检验结论是否稳定。</w:t>
      </w:r>
    </w:p>
    <w:p w14:paraId="68716B95">
      <w:pPr>
        <w:spacing w:after="0"/>
        <w:jc w:val="center"/>
        <w:rPr>
          <w:lang w:eastAsia="zh-CN"/>
        </w:rPr>
      </w:pPr>
      <w:r>
        <w:rPr>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4" cstate="hqprint"/>
                    <a:srcRect/>
                    <a:stretch>
                      <a:fillRect/>
                    </a:stretch>
                  </pic:blipFill>
                  <pic:spPr>
                    <a:xfrm>
                      <a:off x="0" y="0"/>
                      <a:ext cx="5765800" cy="1916430"/>
                    </a:xfrm>
                    <a:prstGeom prst="rect">
                      <a:avLst/>
                    </a:prstGeom>
                  </pic:spPr>
                </pic:pic>
              </a:graphicData>
            </a:graphic>
          </wp:inline>
        </w:drawing>
      </w:r>
    </w:p>
    <w:p w14:paraId="62392E89">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5</w:t>
      </w:r>
      <w:r>
        <w:fldChar w:fldCharType="end"/>
      </w:r>
      <w:bookmarkStart w:id="27" w:name="_Toc31030"/>
      <w:r>
        <w:rPr>
          <w:rFonts w:hint="eastAsia"/>
          <w:lang w:eastAsia="zh-CN"/>
        </w:rPr>
        <w:t xml:space="preserve"> 夜间灯光强度及其对数化指标分布图</w:t>
      </w:r>
      <w:bookmarkEnd w:id="27"/>
    </w:p>
    <w:p w14:paraId="46BB1DD4">
      <w:pPr>
        <w:ind w:firstLine="480" w:firstLineChars="200"/>
        <w:rPr>
          <w:lang w:eastAsia="zh-CN"/>
        </w:rPr>
      </w:pPr>
      <w:r>
        <w:rPr>
          <w:rFonts w:hint="eastAsia"/>
          <w:lang w:eastAsia="zh-CN"/>
        </w:rPr>
        <w:t>图6可以看到，原始夜间灯光强度指标存在一定右偏特征，而经对数化处理后，变量分布更加收敛和平滑。由此可见，对夜间灯光强度取对数有助于缓解偏态分布带来的影响，并提高不同省份之间的可比性。</w:t>
      </w:r>
    </w:p>
    <w:p w14:paraId="1374229D">
      <w:pPr>
        <w:pStyle w:val="4"/>
        <w:jc w:val="both"/>
        <w:rPr>
          <w:rFonts w:ascii="楷体" w:hAnsi="楷体"/>
          <w:color w:val="auto"/>
          <w:lang w:eastAsia="zh-CN"/>
        </w:rPr>
      </w:pPr>
      <w:bookmarkStart w:id="28" w:name="_Toc20621"/>
      <w:r>
        <w:rPr>
          <w:rFonts w:ascii="楷体" w:hAnsi="楷体"/>
          <w:color w:val="auto"/>
          <w:lang w:eastAsia="zh-CN"/>
        </w:rPr>
        <w:t>（四）关键变量构造与口径说明</w:t>
      </w:r>
      <w:bookmarkEnd w:id="28"/>
    </w:p>
    <w:p w14:paraId="69609748">
      <w:pPr>
        <w:spacing w:after="0" w:line="480" w:lineRule="exact"/>
        <w:ind w:firstLine="480" w:firstLineChars="200"/>
        <w:jc w:val="both"/>
        <w:rPr>
          <w:rFonts w:ascii="宋体" w:hAnsi="宋体"/>
          <w:lang w:eastAsia="zh-CN"/>
        </w:rPr>
      </w:pPr>
      <w:r>
        <w:rPr>
          <w:lang w:eastAsia="zh-CN"/>
        </w:rPr>
        <w:t>不变价GDP是第一阶段最关键的预处理变量之一。本文统一采用2015年为基期，通过地区生产总值指数进行链式折算，以保持</w:t>
      </w:r>
      <w:r>
        <w:rPr>
          <w:rFonts w:hint="eastAsia"/>
          <w:lang w:eastAsia="zh-CN"/>
        </w:rPr>
        <w:t>省域</w:t>
      </w:r>
      <w:r>
        <w:rPr>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vertAlign w:val="superscript"/>
          <w:lang w:eastAsia="zh-CN"/>
        </w:rPr>
        <w:t>[11,19]</w:t>
      </w:r>
      <w:r>
        <w:rPr>
          <w:lang w:eastAsia="zh-CN"/>
        </w:rPr>
        <w:t>。</w:t>
      </w:r>
    </w:p>
    <w:p w14:paraId="3998927A">
      <w:pPr>
        <w:spacing w:after="0" w:line="480" w:lineRule="exact"/>
        <w:ind w:firstLine="480" w:firstLineChars="200"/>
        <w:jc w:val="both"/>
        <w:rPr>
          <w:rFonts w:ascii="宋体" w:hAnsi="宋体"/>
          <w:lang w:eastAsia="zh-CN"/>
        </w:rPr>
      </w:pPr>
      <w:r>
        <w:rPr>
          <w:rFonts w:cs="Times New Roman"/>
          <w:lang w:eastAsia="zh-CN"/>
        </w:rPr>
        <w:t>夜间灯光变量采用省级夜间灯光强度指标，并进一步取对数得到 LNTL=ln(NTL+1)，以缓解偏态分布并提高变量的可比性。本文将其作为反映区域经济活跃程度和基</w:t>
      </w:r>
      <w:r>
        <w:rPr>
          <w:rFonts w:ascii="宋体" w:hAnsi="宋体"/>
          <w:lang w:eastAsia="zh-CN"/>
        </w:rPr>
        <w:t>础设施运行强度的代理变量，引入第二阶段面板回归及后续空间计量分析</w:t>
      </w:r>
      <w:r>
        <w:rPr>
          <w:rFonts w:cs="Times New Roman"/>
          <w:vertAlign w:val="superscript"/>
          <w:lang w:eastAsia="zh-CN"/>
        </w:rPr>
        <w:t>[6-8,22]</w:t>
      </w:r>
      <w:r>
        <w:rPr>
          <w:rFonts w:ascii="宋体" w:hAnsi="宋体"/>
          <w:lang w:eastAsia="zh-CN"/>
        </w:rPr>
        <w:t>。</w:t>
      </w:r>
    </w:p>
    <w:p w14:paraId="2D382CAF">
      <w:pPr>
        <w:pStyle w:val="4"/>
        <w:jc w:val="both"/>
        <w:rPr>
          <w:rFonts w:ascii="楷体" w:hAnsi="楷体"/>
          <w:color w:val="auto"/>
          <w:lang w:eastAsia="zh-CN"/>
        </w:rPr>
      </w:pPr>
      <w:bookmarkStart w:id="29" w:name="_Toc12049"/>
      <w:r>
        <w:rPr>
          <w:rFonts w:ascii="楷体" w:hAnsi="楷体"/>
          <w:color w:val="auto"/>
          <w:lang w:eastAsia="zh-CN"/>
        </w:rPr>
        <w:t>（五）描述性统计与先验相关关系</w:t>
      </w:r>
      <w:bookmarkEnd w:id="29"/>
    </w:p>
    <w:p w14:paraId="5F1711A9">
      <w:pPr>
        <w:spacing w:after="0" w:line="480" w:lineRule="exact"/>
        <w:ind w:firstLine="480" w:firstLineChars="200"/>
        <w:jc w:val="both"/>
        <w:rPr>
          <w:rFonts w:ascii="宋体" w:hAnsi="宋体"/>
          <w:lang w:eastAsia="zh-CN"/>
        </w:rPr>
      </w:pPr>
      <w:r>
        <w:rPr>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w:t>
      </w:r>
      <w:r>
        <w:rPr>
          <w:rFonts w:hint="eastAsia"/>
          <w:lang w:eastAsia="zh-CN"/>
        </w:rPr>
        <w:t>（表4）</w:t>
      </w:r>
      <w:r>
        <w:rPr>
          <w:lang w:eastAsia="zh-CN"/>
        </w:rPr>
        <w:t>；另一方面，相关系数矩阵</w:t>
      </w:r>
      <w:r>
        <w:rPr>
          <w:rFonts w:hint="eastAsia"/>
          <w:lang w:eastAsia="zh-CN"/>
        </w:rPr>
        <w:t>（图7）</w:t>
      </w:r>
      <w:r>
        <w:rPr>
          <w:lang w:eastAsia="zh-CN"/>
        </w:rPr>
        <w:t>和VIF检验</w:t>
      </w:r>
      <w:r>
        <w:rPr>
          <w:rStyle w:val="144"/>
          <w:rFonts w:hint="eastAsia"/>
          <w:sz w:val="24"/>
          <w:szCs w:val="22"/>
          <w:lang w:eastAsia="zh-CN"/>
        </w:rPr>
        <w:t>（图8）</w:t>
      </w:r>
      <w:r>
        <w:rPr>
          <w:lang w:eastAsia="zh-CN"/>
        </w:rPr>
        <w:t>能够帮助判断核心解释变量与控制变量之间是否存在明显共线性。</w:t>
      </w:r>
    </w:p>
    <w:p w14:paraId="130D634E">
      <w:pPr>
        <w:pStyle w:val="15"/>
      </w:pPr>
      <w:r>
        <w:t xml:space="preserve">表 </w:t>
      </w:r>
      <w:r>
        <w:fldChar w:fldCharType="begin"/>
      </w:r>
      <w:r>
        <w:instrText xml:space="preserve"> SEQ 表 \* ARABIC </w:instrText>
      </w:r>
      <w:r>
        <w:fldChar w:fldCharType="separate"/>
      </w:r>
      <w:r>
        <w:t>4</w:t>
      </w:r>
      <w:r>
        <w:fldChar w:fldCharType="end"/>
      </w:r>
      <w:bookmarkStart w:id="30" w:name="_Toc28655"/>
      <w:r>
        <w:rPr>
          <w:rFonts w:hint="eastAsia"/>
          <w:lang w:eastAsia="zh-CN"/>
        </w:rPr>
        <w:t xml:space="preserve"> </w:t>
      </w:r>
      <w:r>
        <w:t>描述性统计表</w:t>
      </w:r>
      <w:bookmarkEnd w:id="30"/>
    </w:p>
    <w:tbl>
      <w:tblPr>
        <w:tblStyle w:val="41"/>
        <w:tblW w:w="866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2"/>
        <w:gridCol w:w="1210"/>
        <w:gridCol w:w="1247"/>
        <w:gridCol w:w="1247"/>
        <w:gridCol w:w="1247"/>
        <w:gridCol w:w="1247"/>
        <w:gridCol w:w="1247"/>
      </w:tblGrid>
      <w:tr w14:paraId="5457C1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rPr>
        <w:tc>
          <w:tcPr>
            <w:tcW w:w="1222" w:type="dxa"/>
            <w:tcBorders>
              <w:top w:val="single" w:color="000000" w:sz="12" w:space="0"/>
              <w:bottom w:val="single" w:color="000000" w:sz="4" w:space="0"/>
              <w:tl2br w:val="nil"/>
            </w:tcBorders>
            <w:shd w:val="clear" w:color="auto" w:fill="FFFFFF"/>
          </w:tcPr>
          <w:p w14:paraId="03A751D3">
            <w:pPr>
              <w:spacing w:after="0" w:line="240" w:lineRule="auto"/>
              <w:jc w:val="center"/>
              <w:rPr>
                <w:rFonts w:cs="Times New Roman"/>
                <w:color w:val="000000"/>
                <w:szCs w:val="24"/>
              </w:rPr>
            </w:pPr>
            <w:r>
              <w:rPr>
                <w:rFonts w:cs="Times New Roman"/>
                <w:color w:val="000000"/>
                <w:szCs w:val="24"/>
              </w:rPr>
              <w:t>变量</w:t>
            </w:r>
          </w:p>
        </w:tc>
        <w:tc>
          <w:tcPr>
            <w:tcW w:w="1210" w:type="dxa"/>
            <w:tcBorders>
              <w:top w:val="single" w:color="000000" w:sz="12" w:space="0"/>
              <w:bottom w:val="single" w:color="000000" w:sz="4" w:space="0"/>
            </w:tcBorders>
            <w:shd w:val="clear" w:color="auto" w:fill="FFFFFF"/>
          </w:tcPr>
          <w:p w14:paraId="44FABEC1">
            <w:pPr>
              <w:spacing w:after="0" w:line="240" w:lineRule="auto"/>
              <w:jc w:val="center"/>
              <w:rPr>
                <w:rFonts w:cs="Times New Roman"/>
                <w:color w:val="000000"/>
                <w:szCs w:val="24"/>
              </w:rPr>
            </w:pPr>
            <w:r>
              <w:rPr>
                <w:rFonts w:cs="Times New Roman"/>
                <w:color w:val="000000"/>
                <w:szCs w:val="24"/>
              </w:rPr>
              <w:t>样本量</w:t>
            </w:r>
          </w:p>
        </w:tc>
        <w:tc>
          <w:tcPr>
            <w:tcW w:w="1247" w:type="dxa"/>
            <w:tcBorders>
              <w:top w:val="single" w:color="000000" w:sz="12" w:space="0"/>
              <w:bottom w:val="single" w:color="000000" w:sz="4" w:space="0"/>
            </w:tcBorders>
            <w:shd w:val="clear" w:color="auto" w:fill="FFFFFF"/>
          </w:tcPr>
          <w:p w14:paraId="6274C74E">
            <w:pPr>
              <w:spacing w:after="0" w:line="240" w:lineRule="auto"/>
              <w:jc w:val="center"/>
              <w:rPr>
                <w:rFonts w:cs="Times New Roman"/>
                <w:color w:val="000000"/>
                <w:szCs w:val="24"/>
              </w:rPr>
            </w:pPr>
            <w:r>
              <w:rPr>
                <w:rFonts w:cs="Times New Roman"/>
                <w:color w:val="000000"/>
                <w:szCs w:val="24"/>
              </w:rPr>
              <w:t>均值</w:t>
            </w:r>
          </w:p>
        </w:tc>
        <w:tc>
          <w:tcPr>
            <w:tcW w:w="1247" w:type="dxa"/>
            <w:tcBorders>
              <w:top w:val="single" w:color="000000" w:sz="12" w:space="0"/>
              <w:bottom w:val="single" w:color="000000" w:sz="4" w:space="0"/>
            </w:tcBorders>
            <w:shd w:val="clear" w:color="auto" w:fill="FFFFFF"/>
          </w:tcPr>
          <w:p w14:paraId="350EE955">
            <w:pPr>
              <w:spacing w:after="0" w:line="240" w:lineRule="auto"/>
              <w:jc w:val="center"/>
              <w:rPr>
                <w:rFonts w:cs="Times New Roman"/>
                <w:color w:val="000000"/>
                <w:szCs w:val="24"/>
              </w:rPr>
            </w:pPr>
            <w:r>
              <w:rPr>
                <w:rFonts w:cs="Times New Roman"/>
                <w:color w:val="000000"/>
                <w:szCs w:val="24"/>
              </w:rPr>
              <w:t>标准差</w:t>
            </w:r>
          </w:p>
        </w:tc>
        <w:tc>
          <w:tcPr>
            <w:tcW w:w="1247" w:type="dxa"/>
            <w:tcBorders>
              <w:top w:val="single" w:color="000000" w:sz="12" w:space="0"/>
              <w:bottom w:val="single" w:color="000000" w:sz="4" w:space="0"/>
            </w:tcBorders>
            <w:shd w:val="clear" w:color="auto" w:fill="FFFFFF"/>
          </w:tcPr>
          <w:p w14:paraId="181A2E3C">
            <w:pPr>
              <w:spacing w:after="0" w:line="240" w:lineRule="auto"/>
              <w:jc w:val="center"/>
              <w:rPr>
                <w:rFonts w:cs="Times New Roman"/>
                <w:color w:val="000000"/>
                <w:szCs w:val="24"/>
              </w:rPr>
            </w:pPr>
            <w:r>
              <w:rPr>
                <w:rFonts w:cs="Times New Roman"/>
                <w:color w:val="000000"/>
                <w:szCs w:val="24"/>
              </w:rPr>
              <w:t>最小值</w:t>
            </w:r>
          </w:p>
        </w:tc>
        <w:tc>
          <w:tcPr>
            <w:tcW w:w="1247" w:type="dxa"/>
            <w:tcBorders>
              <w:top w:val="single" w:color="000000" w:sz="12" w:space="0"/>
              <w:bottom w:val="single" w:color="000000" w:sz="4" w:space="0"/>
            </w:tcBorders>
            <w:shd w:val="clear" w:color="auto" w:fill="FFFFFF"/>
          </w:tcPr>
          <w:p w14:paraId="3F6C6ACB">
            <w:pPr>
              <w:spacing w:after="0" w:line="240" w:lineRule="auto"/>
              <w:jc w:val="center"/>
              <w:rPr>
                <w:rFonts w:cs="Times New Roman"/>
                <w:color w:val="000000"/>
                <w:szCs w:val="24"/>
              </w:rPr>
            </w:pPr>
            <w:r>
              <w:rPr>
                <w:rFonts w:cs="Times New Roman"/>
                <w:color w:val="000000"/>
                <w:szCs w:val="24"/>
              </w:rPr>
              <w:t>中位数</w:t>
            </w:r>
          </w:p>
        </w:tc>
        <w:tc>
          <w:tcPr>
            <w:tcW w:w="1247" w:type="dxa"/>
            <w:tcBorders>
              <w:top w:val="single" w:color="000000" w:sz="12" w:space="0"/>
              <w:bottom w:val="single" w:color="000000" w:sz="4" w:space="0"/>
            </w:tcBorders>
            <w:shd w:val="clear" w:color="auto" w:fill="FFFFFF"/>
          </w:tcPr>
          <w:p w14:paraId="3D49D406">
            <w:pPr>
              <w:spacing w:after="0" w:line="240" w:lineRule="auto"/>
              <w:jc w:val="center"/>
              <w:rPr>
                <w:rFonts w:cs="Times New Roman"/>
                <w:color w:val="000000"/>
                <w:szCs w:val="24"/>
              </w:rPr>
            </w:pPr>
            <w:r>
              <w:rPr>
                <w:rFonts w:cs="Times New Roman"/>
                <w:color w:val="000000"/>
                <w:szCs w:val="24"/>
              </w:rPr>
              <w:t>最大值</w:t>
            </w:r>
          </w:p>
        </w:tc>
      </w:tr>
      <w:tr w14:paraId="4264D9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1222" w:type="dxa"/>
            <w:tcBorders>
              <w:top w:val="single" w:color="000000" w:sz="4" w:space="0"/>
            </w:tcBorders>
            <w:shd w:val="clear" w:color="auto" w:fill="FFFFFF"/>
          </w:tcPr>
          <w:p w14:paraId="45AEA97F">
            <w:pPr>
              <w:spacing w:after="0" w:line="240" w:lineRule="auto"/>
              <w:jc w:val="center"/>
              <w:rPr>
                <w:rFonts w:cs="Times New Roman"/>
                <w:color w:val="000000"/>
                <w:szCs w:val="24"/>
              </w:rPr>
            </w:pPr>
            <w:r>
              <w:rPr>
                <w:rFonts w:cs="Times New Roman"/>
                <w:color w:val="000000"/>
                <w:szCs w:val="24"/>
              </w:rPr>
              <w:t>eff</w:t>
            </w:r>
          </w:p>
        </w:tc>
        <w:tc>
          <w:tcPr>
            <w:tcW w:w="1210" w:type="dxa"/>
            <w:tcBorders>
              <w:top w:val="single" w:color="000000" w:sz="4" w:space="0"/>
            </w:tcBorders>
            <w:shd w:val="clear" w:color="auto" w:fill="FFFFFF"/>
          </w:tcPr>
          <w:p w14:paraId="58A95330">
            <w:pPr>
              <w:spacing w:after="0" w:line="240" w:lineRule="auto"/>
              <w:jc w:val="center"/>
              <w:rPr>
                <w:rFonts w:cs="Times New Roman"/>
                <w:color w:val="000000"/>
                <w:szCs w:val="24"/>
              </w:rPr>
            </w:pPr>
            <w:r>
              <w:rPr>
                <w:rFonts w:cs="Times New Roman"/>
                <w:color w:val="000000"/>
                <w:szCs w:val="24"/>
              </w:rPr>
              <w:t>240</w:t>
            </w:r>
          </w:p>
        </w:tc>
        <w:tc>
          <w:tcPr>
            <w:tcW w:w="1247" w:type="dxa"/>
            <w:tcBorders>
              <w:top w:val="single" w:color="000000" w:sz="4" w:space="0"/>
            </w:tcBorders>
            <w:shd w:val="clear" w:color="auto" w:fill="FFFFFF"/>
          </w:tcPr>
          <w:p w14:paraId="72E94169">
            <w:pPr>
              <w:spacing w:after="0" w:line="240" w:lineRule="auto"/>
              <w:jc w:val="center"/>
              <w:rPr>
                <w:rFonts w:cs="Times New Roman"/>
                <w:color w:val="000000"/>
                <w:szCs w:val="24"/>
              </w:rPr>
            </w:pPr>
            <w:r>
              <w:rPr>
                <w:rFonts w:cs="Times New Roman"/>
                <w:color w:val="000000"/>
                <w:szCs w:val="24"/>
              </w:rPr>
              <w:t>0.5066</w:t>
            </w:r>
          </w:p>
        </w:tc>
        <w:tc>
          <w:tcPr>
            <w:tcW w:w="1247" w:type="dxa"/>
            <w:tcBorders>
              <w:top w:val="single" w:color="000000" w:sz="4" w:space="0"/>
            </w:tcBorders>
            <w:shd w:val="clear" w:color="auto" w:fill="FFFFFF"/>
          </w:tcPr>
          <w:p w14:paraId="797F4556">
            <w:pPr>
              <w:spacing w:after="0" w:line="240" w:lineRule="auto"/>
              <w:jc w:val="center"/>
              <w:rPr>
                <w:rFonts w:cs="Times New Roman"/>
                <w:color w:val="000000"/>
                <w:szCs w:val="24"/>
              </w:rPr>
            </w:pPr>
            <w:r>
              <w:rPr>
                <w:rFonts w:cs="Times New Roman"/>
                <w:color w:val="000000"/>
                <w:szCs w:val="24"/>
              </w:rPr>
              <w:t>0.2275</w:t>
            </w:r>
          </w:p>
        </w:tc>
        <w:tc>
          <w:tcPr>
            <w:tcW w:w="1247" w:type="dxa"/>
            <w:tcBorders>
              <w:top w:val="single" w:color="000000" w:sz="4" w:space="0"/>
            </w:tcBorders>
            <w:shd w:val="clear" w:color="auto" w:fill="FFFFFF"/>
          </w:tcPr>
          <w:p w14:paraId="2293FF89">
            <w:pPr>
              <w:spacing w:after="0" w:line="240" w:lineRule="auto"/>
              <w:jc w:val="center"/>
              <w:rPr>
                <w:rFonts w:cs="Times New Roman"/>
                <w:color w:val="000000"/>
                <w:szCs w:val="24"/>
              </w:rPr>
            </w:pPr>
            <w:r>
              <w:rPr>
                <w:rFonts w:cs="Times New Roman"/>
                <w:color w:val="000000"/>
                <w:szCs w:val="24"/>
              </w:rPr>
              <w:t>0.2636</w:t>
            </w:r>
          </w:p>
        </w:tc>
        <w:tc>
          <w:tcPr>
            <w:tcW w:w="1247" w:type="dxa"/>
            <w:tcBorders>
              <w:top w:val="single" w:color="000000" w:sz="4" w:space="0"/>
            </w:tcBorders>
            <w:shd w:val="clear" w:color="auto" w:fill="FFFFFF"/>
          </w:tcPr>
          <w:p w14:paraId="22BEF806">
            <w:pPr>
              <w:spacing w:after="0" w:line="240" w:lineRule="auto"/>
              <w:jc w:val="center"/>
              <w:rPr>
                <w:rFonts w:cs="Times New Roman"/>
                <w:color w:val="000000"/>
                <w:szCs w:val="24"/>
              </w:rPr>
            </w:pPr>
            <w:r>
              <w:rPr>
                <w:rFonts w:cs="Times New Roman"/>
                <w:color w:val="000000"/>
                <w:szCs w:val="24"/>
              </w:rPr>
              <w:t>0.4119</w:t>
            </w:r>
          </w:p>
        </w:tc>
        <w:tc>
          <w:tcPr>
            <w:tcW w:w="1247" w:type="dxa"/>
            <w:tcBorders>
              <w:top w:val="single" w:color="000000" w:sz="4" w:space="0"/>
            </w:tcBorders>
            <w:shd w:val="clear" w:color="auto" w:fill="FFFFFF"/>
          </w:tcPr>
          <w:p w14:paraId="133DBC13">
            <w:pPr>
              <w:spacing w:after="0" w:line="240" w:lineRule="auto"/>
              <w:jc w:val="center"/>
              <w:rPr>
                <w:rFonts w:cs="Times New Roman"/>
                <w:color w:val="000000"/>
                <w:szCs w:val="24"/>
              </w:rPr>
            </w:pPr>
            <w:r>
              <w:rPr>
                <w:rFonts w:cs="Times New Roman"/>
                <w:color w:val="000000"/>
                <w:szCs w:val="24"/>
              </w:rPr>
              <w:t>1.2651</w:t>
            </w:r>
          </w:p>
        </w:tc>
      </w:tr>
      <w:tr w14:paraId="2F8BF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1222" w:type="dxa"/>
            <w:shd w:val="clear" w:color="auto" w:fill="FFFFFF"/>
          </w:tcPr>
          <w:p w14:paraId="32019095">
            <w:pPr>
              <w:spacing w:after="0" w:line="240" w:lineRule="auto"/>
              <w:jc w:val="center"/>
              <w:rPr>
                <w:rFonts w:cs="Times New Roman"/>
                <w:color w:val="000000"/>
                <w:szCs w:val="24"/>
              </w:rPr>
            </w:pPr>
            <w:r>
              <w:rPr>
                <w:rFonts w:cs="Times New Roman"/>
                <w:color w:val="000000"/>
                <w:szCs w:val="24"/>
              </w:rPr>
              <w:t>lntl</w:t>
            </w:r>
          </w:p>
        </w:tc>
        <w:tc>
          <w:tcPr>
            <w:tcW w:w="1210" w:type="dxa"/>
            <w:shd w:val="clear" w:color="auto" w:fill="FFFFFF"/>
          </w:tcPr>
          <w:p w14:paraId="01148012">
            <w:pPr>
              <w:spacing w:after="0" w:line="240" w:lineRule="auto"/>
              <w:jc w:val="center"/>
              <w:rPr>
                <w:rFonts w:cs="Times New Roman"/>
                <w:color w:val="000000"/>
                <w:szCs w:val="24"/>
              </w:rPr>
            </w:pPr>
            <w:r>
              <w:rPr>
                <w:rFonts w:cs="Times New Roman"/>
                <w:color w:val="000000"/>
                <w:szCs w:val="24"/>
              </w:rPr>
              <w:t>240</w:t>
            </w:r>
          </w:p>
        </w:tc>
        <w:tc>
          <w:tcPr>
            <w:tcW w:w="1247" w:type="dxa"/>
            <w:shd w:val="clear" w:color="auto" w:fill="FFFFFF"/>
          </w:tcPr>
          <w:p w14:paraId="0A81E126">
            <w:pPr>
              <w:spacing w:after="0" w:line="240" w:lineRule="auto"/>
              <w:jc w:val="center"/>
              <w:rPr>
                <w:rFonts w:cs="Times New Roman"/>
                <w:color w:val="000000"/>
                <w:szCs w:val="24"/>
              </w:rPr>
            </w:pPr>
            <w:r>
              <w:rPr>
                <w:rFonts w:cs="Times New Roman"/>
                <w:color w:val="000000"/>
                <w:szCs w:val="24"/>
              </w:rPr>
              <w:t>0.9093</w:t>
            </w:r>
          </w:p>
        </w:tc>
        <w:tc>
          <w:tcPr>
            <w:tcW w:w="1247" w:type="dxa"/>
            <w:shd w:val="clear" w:color="auto" w:fill="FFFFFF"/>
          </w:tcPr>
          <w:p w14:paraId="33A72189">
            <w:pPr>
              <w:spacing w:after="0" w:line="240" w:lineRule="auto"/>
              <w:jc w:val="center"/>
              <w:rPr>
                <w:rFonts w:cs="Times New Roman"/>
                <w:color w:val="000000"/>
                <w:szCs w:val="24"/>
              </w:rPr>
            </w:pPr>
            <w:r>
              <w:rPr>
                <w:rFonts w:cs="Times New Roman"/>
                <w:color w:val="000000"/>
                <w:szCs w:val="24"/>
              </w:rPr>
              <w:t>0.5976</w:t>
            </w:r>
          </w:p>
        </w:tc>
        <w:tc>
          <w:tcPr>
            <w:tcW w:w="1247" w:type="dxa"/>
            <w:shd w:val="clear" w:color="auto" w:fill="FFFFFF"/>
          </w:tcPr>
          <w:p w14:paraId="2DBE42A0">
            <w:pPr>
              <w:spacing w:after="0" w:line="240" w:lineRule="auto"/>
              <w:jc w:val="center"/>
              <w:rPr>
                <w:rFonts w:cs="Times New Roman"/>
                <w:color w:val="000000"/>
                <w:szCs w:val="24"/>
              </w:rPr>
            </w:pPr>
            <w:r>
              <w:rPr>
                <w:rFonts w:cs="Times New Roman"/>
                <w:color w:val="000000"/>
                <w:szCs w:val="24"/>
              </w:rPr>
              <w:t>0.1849</w:t>
            </w:r>
          </w:p>
        </w:tc>
        <w:tc>
          <w:tcPr>
            <w:tcW w:w="1247" w:type="dxa"/>
            <w:shd w:val="clear" w:color="auto" w:fill="FFFFFF"/>
          </w:tcPr>
          <w:p w14:paraId="770EB8A5">
            <w:pPr>
              <w:spacing w:after="0" w:line="240" w:lineRule="auto"/>
              <w:jc w:val="center"/>
              <w:rPr>
                <w:rFonts w:cs="Times New Roman"/>
                <w:color w:val="000000"/>
                <w:szCs w:val="24"/>
              </w:rPr>
            </w:pPr>
            <w:r>
              <w:rPr>
                <w:rFonts w:cs="Times New Roman"/>
                <w:color w:val="000000"/>
                <w:szCs w:val="24"/>
              </w:rPr>
              <w:t>0.7072</w:t>
            </w:r>
          </w:p>
        </w:tc>
        <w:tc>
          <w:tcPr>
            <w:tcW w:w="1247" w:type="dxa"/>
            <w:shd w:val="clear" w:color="auto" w:fill="FFFFFF"/>
          </w:tcPr>
          <w:p w14:paraId="0ACE8333">
            <w:pPr>
              <w:spacing w:after="0" w:line="240" w:lineRule="auto"/>
              <w:jc w:val="center"/>
              <w:rPr>
                <w:rFonts w:cs="Times New Roman"/>
                <w:color w:val="000000"/>
                <w:szCs w:val="24"/>
              </w:rPr>
            </w:pPr>
            <w:r>
              <w:rPr>
                <w:rFonts w:cs="Times New Roman"/>
                <w:color w:val="000000"/>
                <w:szCs w:val="24"/>
              </w:rPr>
              <w:t>2.8782</w:t>
            </w:r>
          </w:p>
        </w:tc>
      </w:tr>
      <w:tr w14:paraId="19C993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222" w:type="dxa"/>
            <w:shd w:val="clear" w:color="auto" w:fill="FFFFFF"/>
          </w:tcPr>
          <w:p w14:paraId="26A787AD">
            <w:pPr>
              <w:spacing w:after="0" w:line="240" w:lineRule="auto"/>
              <w:jc w:val="center"/>
              <w:rPr>
                <w:rFonts w:cs="Times New Roman"/>
                <w:color w:val="000000"/>
                <w:szCs w:val="24"/>
              </w:rPr>
            </w:pPr>
            <w:r>
              <w:rPr>
                <w:rFonts w:cs="Times New Roman"/>
                <w:color w:val="000000"/>
                <w:szCs w:val="24"/>
              </w:rPr>
              <w:t>ind</w:t>
            </w:r>
          </w:p>
        </w:tc>
        <w:tc>
          <w:tcPr>
            <w:tcW w:w="1210" w:type="dxa"/>
            <w:shd w:val="clear" w:color="auto" w:fill="FFFFFF"/>
          </w:tcPr>
          <w:p w14:paraId="040CB2D2">
            <w:pPr>
              <w:spacing w:after="0" w:line="240" w:lineRule="auto"/>
              <w:jc w:val="center"/>
              <w:rPr>
                <w:rFonts w:cs="Times New Roman"/>
                <w:color w:val="000000"/>
                <w:szCs w:val="24"/>
              </w:rPr>
            </w:pPr>
            <w:r>
              <w:rPr>
                <w:rFonts w:cs="Times New Roman"/>
                <w:color w:val="000000"/>
                <w:szCs w:val="24"/>
              </w:rPr>
              <w:t>240</w:t>
            </w:r>
          </w:p>
        </w:tc>
        <w:tc>
          <w:tcPr>
            <w:tcW w:w="1247" w:type="dxa"/>
            <w:shd w:val="clear" w:color="auto" w:fill="FFFFFF"/>
          </w:tcPr>
          <w:p w14:paraId="7634D3E3">
            <w:pPr>
              <w:spacing w:after="0" w:line="240" w:lineRule="auto"/>
              <w:jc w:val="center"/>
              <w:rPr>
                <w:rFonts w:cs="Times New Roman"/>
                <w:color w:val="000000"/>
                <w:szCs w:val="24"/>
              </w:rPr>
            </w:pPr>
            <w:r>
              <w:rPr>
                <w:rFonts w:cs="Times New Roman"/>
                <w:color w:val="000000"/>
                <w:szCs w:val="24"/>
              </w:rPr>
              <w:t>0.3955</w:t>
            </w:r>
          </w:p>
        </w:tc>
        <w:tc>
          <w:tcPr>
            <w:tcW w:w="1247" w:type="dxa"/>
            <w:shd w:val="clear" w:color="auto" w:fill="FFFFFF"/>
          </w:tcPr>
          <w:p w14:paraId="63B1B51B">
            <w:pPr>
              <w:spacing w:after="0" w:line="240" w:lineRule="auto"/>
              <w:jc w:val="center"/>
              <w:rPr>
                <w:rFonts w:cs="Times New Roman"/>
                <w:color w:val="000000"/>
                <w:szCs w:val="24"/>
              </w:rPr>
            </w:pPr>
            <w:r>
              <w:rPr>
                <w:rFonts w:cs="Times New Roman"/>
                <w:color w:val="000000"/>
                <w:szCs w:val="24"/>
              </w:rPr>
              <w:t>0.0763</w:t>
            </w:r>
          </w:p>
        </w:tc>
        <w:tc>
          <w:tcPr>
            <w:tcW w:w="1247" w:type="dxa"/>
            <w:shd w:val="clear" w:color="auto" w:fill="FFFFFF"/>
          </w:tcPr>
          <w:p w14:paraId="337DC093">
            <w:pPr>
              <w:spacing w:after="0" w:line="240" w:lineRule="auto"/>
              <w:jc w:val="center"/>
              <w:rPr>
                <w:rFonts w:cs="Times New Roman"/>
                <w:color w:val="000000"/>
                <w:szCs w:val="24"/>
              </w:rPr>
            </w:pPr>
            <w:r>
              <w:rPr>
                <w:rFonts w:cs="Times New Roman"/>
                <w:color w:val="000000"/>
                <w:szCs w:val="24"/>
              </w:rPr>
              <w:t>0.1583</w:t>
            </w:r>
          </w:p>
        </w:tc>
        <w:tc>
          <w:tcPr>
            <w:tcW w:w="1247" w:type="dxa"/>
            <w:shd w:val="clear" w:color="auto" w:fill="FFFFFF"/>
          </w:tcPr>
          <w:p w14:paraId="7A51933A">
            <w:pPr>
              <w:spacing w:after="0" w:line="240" w:lineRule="auto"/>
              <w:jc w:val="center"/>
              <w:rPr>
                <w:rFonts w:cs="Times New Roman"/>
                <w:color w:val="000000"/>
                <w:szCs w:val="24"/>
              </w:rPr>
            </w:pPr>
            <w:r>
              <w:rPr>
                <w:rFonts w:cs="Times New Roman"/>
                <w:color w:val="000000"/>
                <w:szCs w:val="24"/>
              </w:rPr>
              <w:t>0.4049</w:t>
            </w:r>
          </w:p>
        </w:tc>
        <w:tc>
          <w:tcPr>
            <w:tcW w:w="1247" w:type="dxa"/>
            <w:shd w:val="clear" w:color="auto" w:fill="FFFFFF"/>
          </w:tcPr>
          <w:p w14:paraId="268A1162">
            <w:pPr>
              <w:spacing w:after="0" w:line="240" w:lineRule="auto"/>
              <w:jc w:val="center"/>
              <w:rPr>
                <w:rFonts w:cs="Times New Roman"/>
                <w:color w:val="000000"/>
                <w:szCs w:val="24"/>
              </w:rPr>
            </w:pPr>
            <w:r>
              <w:rPr>
                <w:rFonts w:cs="Times New Roman"/>
                <w:color w:val="000000"/>
                <w:szCs w:val="24"/>
              </w:rPr>
              <w:t>0.5398</w:t>
            </w:r>
          </w:p>
        </w:tc>
      </w:tr>
      <w:tr w14:paraId="039765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1222" w:type="dxa"/>
            <w:shd w:val="clear" w:color="auto" w:fill="FFFFFF"/>
          </w:tcPr>
          <w:p w14:paraId="651C1BC3">
            <w:pPr>
              <w:spacing w:after="0" w:line="240" w:lineRule="auto"/>
              <w:jc w:val="center"/>
              <w:rPr>
                <w:rFonts w:cs="Times New Roman"/>
                <w:color w:val="000000"/>
                <w:szCs w:val="24"/>
              </w:rPr>
            </w:pPr>
            <w:r>
              <w:rPr>
                <w:rFonts w:cs="Times New Roman"/>
                <w:color w:val="000000"/>
                <w:szCs w:val="24"/>
              </w:rPr>
              <w:t>urb</w:t>
            </w:r>
          </w:p>
        </w:tc>
        <w:tc>
          <w:tcPr>
            <w:tcW w:w="1210" w:type="dxa"/>
            <w:shd w:val="clear" w:color="auto" w:fill="FFFFFF"/>
          </w:tcPr>
          <w:p w14:paraId="0261FC35">
            <w:pPr>
              <w:spacing w:after="0" w:line="240" w:lineRule="auto"/>
              <w:jc w:val="center"/>
              <w:rPr>
                <w:rFonts w:cs="Times New Roman"/>
                <w:color w:val="000000"/>
                <w:szCs w:val="24"/>
              </w:rPr>
            </w:pPr>
            <w:r>
              <w:rPr>
                <w:rFonts w:cs="Times New Roman"/>
                <w:color w:val="000000"/>
                <w:szCs w:val="24"/>
              </w:rPr>
              <w:t>240</w:t>
            </w:r>
          </w:p>
        </w:tc>
        <w:tc>
          <w:tcPr>
            <w:tcW w:w="1247" w:type="dxa"/>
            <w:shd w:val="clear" w:color="auto" w:fill="FFFFFF"/>
          </w:tcPr>
          <w:p w14:paraId="0415341B">
            <w:pPr>
              <w:spacing w:after="0" w:line="240" w:lineRule="auto"/>
              <w:jc w:val="center"/>
              <w:rPr>
                <w:rFonts w:cs="Times New Roman"/>
                <w:color w:val="000000"/>
                <w:szCs w:val="24"/>
              </w:rPr>
            </w:pPr>
            <w:r>
              <w:rPr>
                <w:rFonts w:cs="Times New Roman"/>
                <w:color w:val="000000"/>
                <w:szCs w:val="24"/>
              </w:rPr>
              <w:t>0.6266</w:t>
            </w:r>
          </w:p>
        </w:tc>
        <w:tc>
          <w:tcPr>
            <w:tcW w:w="1247" w:type="dxa"/>
            <w:shd w:val="clear" w:color="auto" w:fill="FFFFFF"/>
          </w:tcPr>
          <w:p w14:paraId="3C7CA1CA">
            <w:pPr>
              <w:spacing w:after="0" w:line="240" w:lineRule="auto"/>
              <w:jc w:val="center"/>
              <w:rPr>
                <w:rFonts w:cs="Times New Roman"/>
                <w:color w:val="000000"/>
                <w:szCs w:val="24"/>
              </w:rPr>
            </w:pPr>
            <w:r>
              <w:rPr>
                <w:rFonts w:cs="Times New Roman"/>
                <w:color w:val="000000"/>
                <w:szCs w:val="24"/>
              </w:rPr>
              <w:t>0.1071</w:t>
            </w:r>
          </w:p>
        </w:tc>
        <w:tc>
          <w:tcPr>
            <w:tcW w:w="1247" w:type="dxa"/>
            <w:shd w:val="clear" w:color="auto" w:fill="FFFFFF"/>
          </w:tcPr>
          <w:p w14:paraId="145792C6">
            <w:pPr>
              <w:spacing w:after="0" w:line="240" w:lineRule="auto"/>
              <w:jc w:val="center"/>
              <w:rPr>
                <w:rFonts w:cs="Times New Roman"/>
                <w:color w:val="000000"/>
                <w:szCs w:val="24"/>
              </w:rPr>
            </w:pPr>
            <w:r>
              <w:rPr>
                <w:rFonts w:cs="Times New Roman"/>
                <w:color w:val="000000"/>
                <w:szCs w:val="24"/>
              </w:rPr>
              <w:t>0.4293</w:t>
            </w:r>
          </w:p>
        </w:tc>
        <w:tc>
          <w:tcPr>
            <w:tcW w:w="1247" w:type="dxa"/>
            <w:shd w:val="clear" w:color="auto" w:fill="FFFFFF"/>
          </w:tcPr>
          <w:p w14:paraId="7EA67CA9">
            <w:pPr>
              <w:spacing w:after="0" w:line="240" w:lineRule="auto"/>
              <w:jc w:val="center"/>
              <w:rPr>
                <w:rFonts w:cs="Times New Roman"/>
                <w:color w:val="000000"/>
                <w:szCs w:val="24"/>
              </w:rPr>
            </w:pPr>
            <w:r>
              <w:rPr>
                <w:rFonts w:cs="Times New Roman"/>
                <w:color w:val="000000"/>
                <w:szCs w:val="24"/>
              </w:rPr>
              <w:t>0.6101</w:t>
            </w:r>
          </w:p>
        </w:tc>
        <w:tc>
          <w:tcPr>
            <w:tcW w:w="1247" w:type="dxa"/>
            <w:shd w:val="clear" w:color="auto" w:fill="FFFFFF"/>
          </w:tcPr>
          <w:p w14:paraId="54094B37">
            <w:pPr>
              <w:spacing w:after="0" w:line="240" w:lineRule="auto"/>
              <w:jc w:val="center"/>
              <w:rPr>
                <w:rFonts w:cs="Times New Roman"/>
                <w:color w:val="000000"/>
                <w:szCs w:val="24"/>
              </w:rPr>
            </w:pPr>
            <w:r>
              <w:rPr>
                <w:rFonts w:cs="Times New Roman"/>
                <w:color w:val="000000"/>
                <w:szCs w:val="24"/>
              </w:rPr>
              <w:t>0.8933</w:t>
            </w:r>
          </w:p>
        </w:tc>
      </w:tr>
      <w:tr w14:paraId="022852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1222" w:type="dxa"/>
            <w:shd w:val="clear" w:color="auto" w:fill="FFFFFF"/>
          </w:tcPr>
          <w:p w14:paraId="621DEE9C">
            <w:pPr>
              <w:spacing w:after="0" w:line="240" w:lineRule="auto"/>
              <w:jc w:val="center"/>
              <w:rPr>
                <w:rFonts w:cs="Times New Roman"/>
                <w:color w:val="000000"/>
                <w:szCs w:val="24"/>
              </w:rPr>
            </w:pPr>
            <w:r>
              <w:rPr>
                <w:rFonts w:cs="Times New Roman"/>
                <w:color w:val="000000"/>
                <w:szCs w:val="24"/>
              </w:rPr>
              <w:t>rd</w:t>
            </w:r>
          </w:p>
        </w:tc>
        <w:tc>
          <w:tcPr>
            <w:tcW w:w="1210" w:type="dxa"/>
            <w:shd w:val="clear" w:color="auto" w:fill="FFFFFF"/>
          </w:tcPr>
          <w:p w14:paraId="3157D454">
            <w:pPr>
              <w:spacing w:after="0" w:line="240" w:lineRule="auto"/>
              <w:jc w:val="center"/>
              <w:rPr>
                <w:rFonts w:cs="Times New Roman"/>
                <w:color w:val="000000"/>
                <w:szCs w:val="24"/>
              </w:rPr>
            </w:pPr>
            <w:r>
              <w:rPr>
                <w:rFonts w:cs="Times New Roman"/>
                <w:color w:val="000000"/>
                <w:szCs w:val="24"/>
              </w:rPr>
              <w:t>240</w:t>
            </w:r>
          </w:p>
        </w:tc>
        <w:tc>
          <w:tcPr>
            <w:tcW w:w="1247" w:type="dxa"/>
            <w:shd w:val="clear" w:color="auto" w:fill="FFFFFF"/>
          </w:tcPr>
          <w:p w14:paraId="11796572">
            <w:pPr>
              <w:spacing w:after="0" w:line="240" w:lineRule="auto"/>
              <w:jc w:val="center"/>
              <w:rPr>
                <w:rFonts w:cs="Times New Roman"/>
                <w:color w:val="000000"/>
                <w:szCs w:val="24"/>
              </w:rPr>
            </w:pPr>
            <w:r>
              <w:rPr>
                <w:rFonts w:cs="Times New Roman"/>
                <w:color w:val="000000"/>
                <w:szCs w:val="24"/>
              </w:rPr>
              <w:t>0.0185</w:t>
            </w:r>
          </w:p>
        </w:tc>
        <w:tc>
          <w:tcPr>
            <w:tcW w:w="1247" w:type="dxa"/>
            <w:shd w:val="clear" w:color="auto" w:fill="FFFFFF"/>
          </w:tcPr>
          <w:p w14:paraId="79359277">
            <w:pPr>
              <w:spacing w:after="0" w:line="240" w:lineRule="auto"/>
              <w:jc w:val="center"/>
              <w:rPr>
                <w:rFonts w:cs="Times New Roman"/>
                <w:color w:val="000000"/>
                <w:szCs w:val="24"/>
              </w:rPr>
            </w:pPr>
            <w:r>
              <w:rPr>
                <w:rFonts w:cs="Times New Roman"/>
                <w:color w:val="000000"/>
                <w:szCs w:val="24"/>
              </w:rPr>
              <w:t>0.0118</w:t>
            </w:r>
          </w:p>
        </w:tc>
        <w:tc>
          <w:tcPr>
            <w:tcW w:w="1247" w:type="dxa"/>
            <w:shd w:val="clear" w:color="auto" w:fill="FFFFFF"/>
          </w:tcPr>
          <w:p w14:paraId="1740C715">
            <w:pPr>
              <w:spacing w:after="0" w:line="240" w:lineRule="auto"/>
              <w:jc w:val="center"/>
              <w:rPr>
                <w:rFonts w:cs="Times New Roman"/>
                <w:color w:val="000000"/>
                <w:szCs w:val="24"/>
              </w:rPr>
            </w:pPr>
            <w:r>
              <w:rPr>
                <w:rFonts w:cs="Times New Roman"/>
                <w:color w:val="000000"/>
                <w:szCs w:val="24"/>
              </w:rPr>
              <w:t>0.0045</w:t>
            </w:r>
          </w:p>
        </w:tc>
        <w:tc>
          <w:tcPr>
            <w:tcW w:w="1247" w:type="dxa"/>
            <w:shd w:val="clear" w:color="auto" w:fill="FFFFFF"/>
          </w:tcPr>
          <w:p w14:paraId="2B22412E">
            <w:pPr>
              <w:spacing w:after="0" w:line="240" w:lineRule="auto"/>
              <w:jc w:val="center"/>
              <w:rPr>
                <w:rFonts w:cs="Times New Roman"/>
                <w:color w:val="000000"/>
                <w:szCs w:val="24"/>
              </w:rPr>
            </w:pPr>
            <w:r>
              <w:rPr>
                <w:rFonts w:cs="Times New Roman"/>
                <w:color w:val="000000"/>
                <w:szCs w:val="24"/>
              </w:rPr>
              <w:t>0.0168</w:t>
            </w:r>
          </w:p>
        </w:tc>
        <w:tc>
          <w:tcPr>
            <w:tcW w:w="1247" w:type="dxa"/>
            <w:shd w:val="clear" w:color="auto" w:fill="FFFFFF"/>
          </w:tcPr>
          <w:p w14:paraId="5C2B3F4D">
            <w:pPr>
              <w:spacing w:after="0" w:line="240" w:lineRule="auto"/>
              <w:jc w:val="center"/>
              <w:rPr>
                <w:rFonts w:cs="Times New Roman"/>
                <w:color w:val="000000"/>
                <w:szCs w:val="24"/>
              </w:rPr>
            </w:pPr>
            <w:r>
              <w:rPr>
                <w:rFonts w:cs="Times New Roman"/>
                <w:color w:val="000000"/>
                <w:szCs w:val="24"/>
              </w:rPr>
              <w:t>0.0683</w:t>
            </w:r>
          </w:p>
        </w:tc>
      </w:tr>
      <w:tr w14:paraId="5DAD47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222" w:type="dxa"/>
            <w:shd w:val="clear" w:color="auto" w:fill="FFFFFF"/>
          </w:tcPr>
          <w:p w14:paraId="5FF796CD">
            <w:pPr>
              <w:spacing w:after="0" w:line="240" w:lineRule="auto"/>
              <w:jc w:val="center"/>
              <w:rPr>
                <w:rFonts w:cs="Times New Roman"/>
                <w:color w:val="000000"/>
                <w:szCs w:val="24"/>
              </w:rPr>
            </w:pPr>
            <w:r>
              <w:rPr>
                <w:rFonts w:cs="Times New Roman"/>
                <w:color w:val="000000"/>
                <w:szCs w:val="24"/>
              </w:rPr>
              <w:t>open</w:t>
            </w:r>
          </w:p>
        </w:tc>
        <w:tc>
          <w:tcPr>
            <w:tcW w:w="1210" w:type="dxa"/>
            <w:shd w:val="clear" w:color="auto" w:fill="FFFFFF"/>
          </w:tcPr>
          <w:p w14:paraId="386110EA">
            <w:pPr>
              <w:spacing w:after="0" w:line="240" w:lineRule="auto"/>
              <w:jc w:val="center"/>
              <w:rPr>
                <w:rFonts w:cs="Times New Roman"/>
                <w:color w:val="000000"/>
                <w:szCs w:val="24"/>
              </w:rPr>
            </w:pPr>
            <w:r>
              <w:rPr>
                <w:rFonts w:cs="Times New Roman"/>
                <w:color w:val="000000"/>
                <w:szCs w:val="24"/>
              </w:rPr>
              <w:t>240</w:t>
            </w:r>
          </w:p>
        </w:tc>
        <w:tc>
          <w:tcPr>
            <w:tcW w:w="1247" w:type="dxa"/>
            <w:shd w:val="clear" w:color="auto" w:fill="FFFFFF"/>
          </w:tcPr>
          <w:p w14:paraId="7ED2B4B3">
            <w:pPr>
              <w:spacing w:after="0" w:line="240" w:lineRule="auto"/>
              <w:jc w:val="center"/>
              <w:rPr>
                <w:rFonts w:cs="Times New Roman"/>
                <w:color w:val="000000"/>
                <w:szCs w:val="24"/>
              </w:rPr>
            </w:pPr>
            <w:r>
              <w:rPr>
                <w:rFonts w:cs="Times New Roman"/>
                <w:color w:val="000000"/>
                <w:szCs w:val="24"/>
              </w:rPr>
              <w:t>0.2426</w:t>
            </w:r>
          </w:p>
        </w:tc>
        <w:tc>
          <w:tcPr>
            <w:tcW w:w="1247" w:type="dxa"/>
            <w:shd w:val="clear" w:color="auto" w:fill="FFFFFF"/>
          </w:tcPr>
          <w:p w14:paraId="746B331B">
            <w:pPr>
              <w:spacing w:after="0" w:line="240" w:lineRule="auto"/>
              <w:jc w:val="center"/>
              <w:rPr>
                <w:rFonts w:cs="Times New Roman"/>
                <w:color w:val="000000"/>
                <w:szCs w:val="24"/>
              </w:rPr>
            </w:pPr>
            <w:r>
              <w:rPr>
                <w:rFonts w:cs="Times New Roman"/>
                <w:color w:val="000000"/>
                <w:szCs w:val="24"/>
              </w:rPr>
              <w:t>0.2399</w:t>
            </w:r>
          </w:p>
        </w:tc>
        <w:tc>
          <w:tcPr>
            <w:tcW w:w="1247" w:type="dxa"/>
            <w:shd w:val="clear" w:color="auto" w:fill="FFFFFF"/>
          </w:tcPr>
          <w:p w14:paraId="4F948B38">
            <w:pPr>
              <w:spacing w:after="0" w:line="240" w:lineRule="auto"/>
              <w:jc w:val="center"/>
              <w:rPr>
                <w:rFonts w:cs="Times New Roman"/>
                <w:color w:val="000000"/>
                <w:szCs w:val="24"/>
              </w:rPr>
            </w:pPr>
            <w:r>
              <w:rPr>
                <w:rFonts w:cs="Times New Roman"/>
                <w:color w:val="000000"/>
                <w:szCs w:val="24"/>
              </w:rPr>
              <w:t>0.0077</w:t>
            </w:r>
          </w:p>
        </w:tc>
        <w:tc>
          <w:tcPr>
            <w:tcW w:w="1247" w:type="dxa"/>
            <w:shd w:val="clear" w:color="auto" w:fill="FFFFFF"/>
          </w:tcPr>
          <w:p w14:paraId="10ADB94A">
            <w:pPr>
              <w:spacing w:after="0" w:line="240" w:lineRule="auto"/>
              <w:jc w:val="center"/>
              <w:rPr>
                <w:rFonts w:cs="Times New Roman"/>
                <w:color w:val="000000"/>
                <w:szCs w:val="24"/>
              </w:rPr>
            </w:pPr>
            <w:r>
              <w:rPr>
                <w:rFonts w:cs="Times New Roman"/>
                <w:color w:val="000000"/>
                <w:szCs w:val="24"/>
              </w:rPr>
              <w:t>0.1383</w:t>
            </w:r>
          </w:p>
        </w:tc>
        <w:tc>
          <w:tcPr>
            <w:tcW w:w="1247" w:type="dxa"/>
            <w:shd w:val="clear" w:color="auto" w:fill="FFFFFF"/>
          </w:tcPr>
          <w:p w14:paraId="73AA0C78">
            <w:pPr>
              <w:spacing w:after="0" w:line="240" w:lineRule="auto"/>
              <w:jc w:val="center"/>
              <w:rPr>
                <w:rFonts w:cs="Times New Roman"/>
                <w:color w:val="000000"/>
                <w:szCs w:val="24"/>
              </w:rPr>
            </w:pPr>
            <w:r>
              <w:rPr>
                <w:rFonts w:cs="Times New Roman"/>
                <w:color w:val="000000"/>
                <w:szCs w:val="24"/>
              </w:rPr>
              <w:t>1.1137</w:t>
            </w:r>
          </w:p>
        </w:tc>
      </w:tr>
      <w:tr w14:paraId="66A3F0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1222" w:type="dxa"/>
            <w:tcBorders>
              <w:bottom w:val="single" w:color="000000" w:sz="12" w:space="0"/>
            </w:tcBorders>
            <w:shd w:val="clear" w:color="auto" w:fill="FFFFFF"/>
          </w:tcPr>
          <w:p w14:paraId="5B9B5B0C">
            <w:pPr>
              <w:spacing w:after="0" w:line="240" w:lineRule="auto"/>
              <w:jc w:val="center"/>
              <w:rPr>
                <w:rFonts w:cs="Times New Roman"/>
                <w:color w:val="000000"/>
                <w:szCs w:val="24"/>
              </w:rPr>
            </w:pPr>
            <w:r>
              <w:rPr>
                <w:rFonts w:cs="Times New Roman"/>
                <w:color w:val="000000"/>
                <w:szCs w:val="24"/>
              </w:rPr>
              <w:t>es</w:t>
            </w:r>
          </w:p>
        </w:tc>
        <w:tc>
          <w:tcPr>
            <w:tcW w:w="1210" w:type="dxa"/>
            <w:tcBorders>
              <w:bottom w:val="single" w:color="000000" w:sz="12" w:space="0"/>
            </w:tcBorders>
            <w:shd w:val="clear" w:color="auto" w:fill="FFFFFF"/>
          </w:tcPr>
          <w:p w14:paraId="7200CBC0">
            <w:pPr>
              <w:spacing w:after="0" w:line="240" w:lineRule="auto"/>
              <w:jc w:val="center"/>
              <w:rPr>
                <w:rFonts w:cs="Times New Roman"/>
                <w:color w:val="000000"/>
                <w:szCs w:val="24"/>
              </w:rPr>
            </w:pPr>
            <w:r>
              <w:rPr>
                <w:rFonts w:cs="Times New Roman"/>
                <w:color w:val="000000"/>
                <w:szCs w:val="24"/>
              </w:rPr>
              <w:t>240</w:t>
            </w:r>
          </w:p>
        </w:tc>
        <w:tc>
          <w:tcPr>
            <w:tcW w:w="1247" w:type="dxa"/>
            <w:tcBorders>
              <w:bottom w:val="single" w:color="000000" w:sz="12" w:space="0"/>
            </w:tcBorders>
            <w:shd w:val="clear" w:color="auto" w:fill="FFFFFF"/>
          </w:tcPr>
          <w:p w14:paraId="23957046">
            <w:pPr>
              <w:spacing w:after="0" w:line="240" w:lineRule="auto"/>
              <w:jc w:val="center"/>
              <w:rPr>
                <w:rFonts w:cs="Times New Roman"/>
                <w:color w:val="000000"/>
                <w:szCs w:val="24"/>
              </w:rPr>
            </w:pPr>
            <w:r>
              <w:rPr>
                <w:rFonts w:cs="Times New Roman"/>
                <w:color w:val="000000"/>
                <w:szCs w:val="24"/>
              </w:rPr>
              <w:t>0.3418</w:t>
            </w:r>
          </w:p>
        </w:tc>
        <w:tc>
          <w:tcPr>
            <w:tcW w:w="1247" w:type="dxa"/>
            <w:tcBorders>
              <w:bottom w:val="single" w:color="000000" w:sz="12" w:space="0"/>
            </w:tcBorders>
            <w:shd w:val="clear" w:color="auto" w:fill="FFFFFF"/>
          </w:tcPr>
          <w:p w14:paraId="3700FA15">
            <w:pPr>
              <w:spacing w:after="0" w:line="240" w:lineRule="auto"/>
              <w:jc w:val="center"/>
              <w:rPr>
                <w:rFonts w:cs="Times New Roman"/>
                <w:color w:val="000000"/>
                <w:szCs w:val="24"/>
              </w:rPr>
            </w:pPr>
            <w:r>
              <w:rPr>
                <w:rFonts w:cs="Times New Roman"/>
                <w:color w:val="000000"/>
                <w:szCs w:val="24"/>
              </w:rPr>
              <w:t>0.1414</w:t>
            </w:r>
          </w:p>
        </w:tc>
        <w:tc>
          <w:tcPr>
            <w:tcW w:w="1247" w:type="dxa"/>
            <w:tcBorders>
              <w:bottom w:val="single" w:color="000000" w:sz="12" w:space="0"/>
            </w:tcBorders>
            <w:shd w:val="clear" w:color="auto" w:fill="FFFFFF"/>
          </w:tcPr>
          <w:p w14:paraId="3B86CA80">
            <w:pPr>
              <w:spacing w:after="0" w:line="240" w:lineRule="auto"/>
              <w:jc w:val="center"/>
              <w:rPr>
                <w:rFonts w:cs="Times New Roman"/>
                <w:color w:val="000000"/>
                <w:szCs w:val="24"/>
              </w:rPr>
            </w:pPr>
            <w:r>
              <w:rPr>
                <w:rFonts w:cs="Times New Roman"/>
                <w:color w:val="000000"/>
                <w:szCs w:val="24"/>
              </w:rPr>
              <w:t>0.0056</w:t>
            </w:r>
          </w:p>
        </w:tc>
        <w:tc>
          <w:tcPr>
            <w:tcW w:w="1247" w:type="dxa"/>
            <w:tcBorders>
              <w:bottom w:val="single" w:color="000000" w:sz="12" w:space="0"/>
            </w:tcBorders>
            <w:shd w:val="clear" w:color="auto" w:fill="FFFFFF"/>
          </w:tcPr>
          <w:p w14:paraId="3D13664B">
            <w:pPr>
              <w:spacing w:after="0" w:line="240" w:lineRule="auto"/>
              <w:jc w:val="center"/>
              <w:rPr>
                <w:rFonts w:cs="Times New Roman"/>
                <w:color w:val="000000"/>
                <w:szCs w:val="24"/>
              </w:rPr>
            </w:pPr>
            <w:r>
              <w:rPr>
                <w:rFonts w:cs="Times New Roman"/>
                <w:color w:val="000000"/>
                <w:szCs w:val="24"/>
              </w:rPr>
              <w:t>0.3469</w:t>
            </w:r>
          </w:p>
        </w:tc>
        <w:tc>
          <w:tcPr>
            <w:tcW w:w="1247" w:type="dxa"/>
            <w:tcBorders>
              <w:bottom w:val="single" w:color="000000" w:sz="12" w:space="0"/>
            </w:tcBorders>
            <w:shd w:val="clear" w:color="auto" w:fill="FFFFFF"/>
          </w:tcPr>
          <w:p w14:paraId="2C482443">
            <w:pPr>
              <w:spacing w:after="0" w:line="240" w:lineRule="auto"/>
              <w:jc w:val="center"/>
              <w:rPr>
                <w:rFonts w:cs="Times New Roman"/>
                <w:color w:val="000000"/>
                <w:szCs w:val="24"/>
              </w:rPr>
            </w:pPr>
            <w:r>
              <w:rPr>
                <w:rFonts w:cs="Times New Roman"/>
                <w:color w:val="000000"/>
                <w:szCs w:val="24"/>
              </w:rPr>
              <w:t>0.6371</w:t>
            </w:r>
          </w:p>
        </w:tc>
      </w:tr>
    </w:tbl>
    <w:p w14:paraId="3A3E5C5A">
      <w:pPr>
        <w:spacing w:after="0"/>
        <w:jc w:val="center"/>
        <w:rPr>
          <w:lang w:eastAsia="zh-CN"/>
        </w:rPr>
      </w:pPr>
      <w:r>
        <w:rPr>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5" cstate="hqprint"/>
                    <a:stretch>
                      <a:fillRect/>
                    </a:stretch>
                  </pic:blipFill>
                  <pic:spPr>
                    <a:xfrm>
                      <a:off x="0" y="0"/>
                      <a:ext cx="5900420" cy="2992120"/>
                    </a:xfrm>
                    <a:prstGeom prst="rect">
                      <a:avLst/>
                    </a:prstGeom>
                  </pic:spPr>
                </pic:pic>
              </a:graphicData>
            </a:graphic>
          </wp:inline>
        </w:drawing>
      </w:r>
    </w:p>
    <w:p w14:paraId="0569B2CE">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6</w:t>
      </w:r>
      <w:r>
        <w:fldChar w:fldCharType="end"/>
      </w:r>
      <w:bookmarkStart w:id="31" w:name="_Toc8706"/>
      <w:r>
        <w:rPr>
          <w:rFonts w:hint="eastAsia"/>
          <w:lang w:eastAsia="zh-CN"/>
        </w:rPr>
        <w:t xml:space="preserve"> 核心变量相关关系椭圆矩阵图</w:t>
      </w:r>
      <w:bookmarkEnd w:id="31"/>
    </w:p>
    <w:p w14:paraId="42FD2E9A">
      <w:pPr>
        <w:spacing w:after="0"/>
        <w:rPr>
          <w:lang w:eastAsia="zh-CN"/>
        </w:rPr>
      </w:pPr>
      <w:r>
        <w:rPr>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6" cstate="hqprint"/>
                    <a:srcRect/>
                    <a:stretch>
                      <a:fillRect/>
                    </a:stretch>
                  </pic:blipFill>
                  <pic:spPr>
                    <a:xfrm>
                      <a:off x="0" y="0"/>
                      <a:ext cx="5399405" cy="3046095"/>
                    </a:xfrm>
                    <a:prstGeom prst="rect">
                      <a:avLst/>
                    </a:prstGeom>
                  </pic:spPr>
                </pic:pic>
              </a:graphicData>
            </a:graphic>
          </wp:inline>
        </w:drawing>
      </w:r>
    </w:p>
    <w:p w14:paraId="05F19268">
      <w:pPr>
        <w:pStyle w:val="15"/>
        <w:rPr>
          <w:rFonts w:hint="eastAsia"/>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7</w:t>
      </w:r>
      <w:r>
        <w:fldChar w:fldCharType="end"/>
      </w:r>
      <w:bookmarkStart w:id="32" w:name="_Toc3231"/>
      <w:r>
        <w:rPr>
          <w:rFonts w:hint="eastAsia"/>
          <w:lang w:eastAsia="zh-CN"/>
        </w:rPr>
        <w:t xml:space="preserve"> 核心解释变量VIF检验图</w:t>
      </w:r>
      <w:bookmarkEnd w:id="32"/>
    </w:p>
    <w:p w14:paraId="1F8A45B3">
      <w:pPr>
        <w:spacing w:after="0"/>
        <w:ind w:firstLine="480" w:firstLineChars="200"/>
        <w:jc w:val="both"/>
        <w:rPr>
          <w:lang w:eastAsia="zh-CN"/>
        </w:rPr>
      </w:pPr>
      <w:r>
        <w:rPr>
          <w:rFonts w:hint="eastAsia"/>
          <w:lang w:eastAsia="zh-CN"/>
        </w:rPr>
        <w:t>图7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16A0940F">
      <w:pPr>
        <w:ind w:firstLine="480" w:firstLineChars="200"/>
        <w:jc w:val="both"/>
        <w:rPr>
          <w:lang w:eastAsia="zh-CN"/>
        </w:rPr>
      </w:pPr>
      <w:r>
        <w:rPr>
          <w:rStyle w:val="144"/>
          <w:rFonts w:hint="eastAsia"/>
          <w:sz w:val="24"/>
          <w:szCs w:val="22"/>
          <w:lang w:eastAsia="zh-CN"/>
        </w:rPr>
        <w:t>图8</w:t>
      </w:r>
      <w:r>
        <w:rPr>
          <w:rStyle w:val="144"/>
          <w:sz w:val="24"/>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95CC77C">
      <w:pPr>
        <w:pStyle w:val="3"/>
        <w:jc w:val="both"/>
        <w:rPr>
          <w:color w:val="auto"/>
          <w:szCs w:val="30"/>
          <w:lang w:eastAsia="zh-CN"/>
        </w:rPr>
      </w:pPr>
      <w:bookmarkStart w:id="33" w:name="_Toc25981"/>
      <w:r>
        <w:rPr>
          <w:color w:val="auto"/>
          <w:szCs w:val="30"/>
          <w:lang w:eastAsia="zh-CN"/>
        </w:rPr>
        <w:t>五、</w:t>
      </w:r>
      <w:r>
        <w:rPr>
          <w:rFonts w:hint="eastAsia"/>
          <w:color w:val="auto"/>
          <w:szCs w:val="30"/>
          <w:lang w:eastAsia="zh-CN"/>
        </w:rPr>
        <w:t>省域</w:t>
      </w:r>
      <w:r>
        <w:rPr>
          <w:color w:val="auto"/>
          <w:szCs w:val="30"/>
          <w:lang w:eastAsia="zh-CN"/>
        </w:rPr>
        <w:t>碳排放效率测度结果</w:t>
      </w:r>
      <w:bookmarkEnd w:id="33"/>
    </w:p>
    <w:p w14:paraId="675DB730">
      <w:pPr>
        <w:pStyle w:val="4"/>
        <w:jc w:val="both"/>
        <w:rPr>
          <w:rFonts w:ascii="楷体" w:hAnsi="楷体"/>
          <w:color w:val="auto"/>
          <w:lang w:eastAsia="zh-CN"/>
        </w:rPr>
      </w:pPr>
      <w:bookmarkStart w:id="34" w:name="_Toc7999"/>
      <w:r>
        <w:rPr>
          <w:rFonts w:ascii="楷体" w:hAnsi="楷体"/>
          <w:color w:val="auto"/>
          <w:lang w:eastAsia="zh-CN"/>
        </w:rPr>
        <w:t>（一）静态碳排放效率的总体特征</w:t>
      </w:r>
      <w:bookmarkEnd w:id="34"/>
    </w:p>
    <w:p w14:paraId="11498FCC">
      <w:pPr>
        <w:spacing w:after="0" w:line="480" w:lineRule="exact"/>
        <w:ind w:firstLine="480" w:firstLineChars="200"/>
        <w:jc w:val="both"/>
        <w:rPr>
          <w:rFonts w:cs="Times New Roman"/>
          <w:lang w:eastAsia="zh-CN"/>
        </w:rPr>
      </w:pPr>
      <w:r>
        <w:rPr>
          <w:rFonts w:cs="Times New Roman"/>
          <w:lang w:eastAsia="zh-CN"/>
        </w:rPr>
        <w:t>由第一阶段测度结果可知，2015—2022年我国30个省级地区碳排放效率整体呈现明显的地区分化特征，如图9所示。不同地区在经济产出与碳排放约束之间的协调能力存在较大差异，说明我国省域碳排放效率并非处于均衡状态，而是表现出较为显著的层次分化。从总体分布看，部分地区已处于相对较高效率水平，而另一些地区仍停留在较低区间，这表明区域绿色发展能力仍存在较强的不平衡性。</w:t>
      </w:r>
    </w:p>
    <w:p w14:paraId="4E1E330A">
      <w:pPr>
        <w:spacing w:before="120" w:beforeLines="50" w:after="0" w:line="240" w:lineRule="auto"/>
        <w:rPr>
          <w:lang w:eastAsia="zh-CN"/>
        </w:rPr>
      </w:pPr>
      <w:r>
        <w:rPr>
          <w:rFonts w:hint="eastAsia"/>
          <w:lang w:eastAsia="zh-CN"/>
        </w:rPr>
        <w:drawing>
          <wp:inline distT="0" distB="0" distL="114300" distR="114300">
            <wp:extent cx="5278755" cy="2981960"/>
            <wp:effectExtent l="0" t="0" r="0" b="889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7" cstate="hqprint"/>
                    <a:srcRect/>
                    <a:stretch>
                      <a:fillRect/>
                    </a:stretch>
                  </pic:blipFill>
                  <pic:spPr>
                    <a:xfrm>
                      <a:off x="0" y="0"/>
                      <a:ext cx="5294128" cy="2990814"/>
                    </a:xfrm>
                    <a:prstGeom prst="rect">
                      <a:avLst/>
                    </a:prstGeom>
                  </pic:spPr>
                </pic:pic>
              </a:graphicData>
            </a:graphic>
          </wp:inline>
        </w:drawing>
      </w:r>
    </w:p>
    <w:p w14:paraId="7798EDBB">
      <w:pPr>
        <w:pStyle w:val="15"/>
        <w:spacing w:before="120" w:beforeLines="50" w:after="0" w:line="240" w:lineRule="auto"/>
        <w:ind w:firstLine="72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8</w:t>
      </w:r>
      <w:r>
        <w:fldChar w:fldCharType="end"/>
      </w:r>
      <w:bookmarkStart w:id="35" w:name="_Toc1446"/>
      <w:r>
        <w:rPr>
          <w:rFonts w:hint="eastAsia"/>
          <w:lang w:eastAsia="zh-CN"/>
        </w:rPr>
        <w:t xml:space="preserve"> 省域碳排放效率核密度图</w:t>
      </w:r>
      <w:bookmarkEnd w:id="35"/>
    </w:p>
    <w:p w14:paraId="40E51CBD">
      <w:pPr>
        <w:pStyle w:val="15"/>
        <w:ind w:firstLine="480" w:firstLineChars="200"/>
        <w:jc w:val="both"/>
        <w:rPr>
          <w:lang w:eastAsia="zh-CN"/>
        </w:rPr>
      </w:pPr>
      <w:r>
        <w:rPr>
          <w:rFonts w:hint="eastAsia"/>
          <w:lang w:eastAsia="zh-CN"/>
        </w:rPr>
        <w:t>图9展示了 2015—2022 年省域碳排放效率的核密度分布演变。总体来看，各年份核密度曲线的主峰位置整体向右移动，表明我国省域碳排放效率总体呈上升趋势，整体效率水平持续改善，如表5所示。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308C579A">
      <w:pPr>
        <w:spacing w:after="0"/>
        <w:jc w:val="center"/>
        <w:rPr>
          <w:lang w:eastAsia="zh-CN"/>
        </w:rPr>
      </w:pPr>
      <w:r>
        <w:rPr>
          <w:rFonts w:hint="eastAsia"/>
          <w:lang w:eastAsia="zh-CN"/>
        </w:rPr>
        <w:t xml:space="preserve">表 </w:t>
      </w:r>
      <w:r>
        <w:rPr>
          <w:rFonts w:hint="eastAsia"/>
          <w:lang w:eastAsia="zh-CN"/>
        </w:rPr>
        <w:fldChar w:fldCharType="begin"/>
      </w:r>
      <w:r>
        <w:rPr>
          <w:rFonts w:hint="eastAsia"/>
          <w:lang w:eastAsia="zh-CN"/>
        </w:rPr>
        <w:instrText xml:space="preserve"> SEQ 表 \* ARABIC </w:instrText>
      </w:r>
      <w:r>
        <w:rPr>
          <w:rFonts w:hint="eastAsia"/>
          <w:lang w:eastAsia="zh-CN"/>
        </w:rPr>
        <w:fldChar w:fldCharType="separate"/>
      </w:r>
      <w:r>
        <w:rPr>
          <w:rFonts w:hint="eastAsia"/>
          <w:lang w:eastAsia="zh-CN"/>
        </w:rPr>
        <w:t>5</w:t>
      </w:r>
      <w:r>
        <w:rPr>
          <w:rFonts w:hint="eastAsia"/>
          <w:lang w:eastAsia="zh-CN"/>
        </w:rPr>
        <w:fldChar w:fldCharType="end"/>
      </w:r>
      <w:bookmarkStart w:id="36" w:name="_Toc11059"/>
      <w:r>
        <w:rPr>
          <w:rFonts w:hint="eastAsia"/>
          <w:lang w:eastAsia="zh-CN"/>
        </w:rPr>
        <w:t xml:space="preserve"> 2015—2022年全国平均碳排放效率年度统计</w:t>
      </w:r>
      <w:bookmarkEnd w:id="36"/>
    </w:p>
    <w:tbl>
      <w:tblPr>
        <w:tblStyle w:val="41"/>
        <w:tblW w:w="4943"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43"/>
        <w:gridCol w:w="1752"/>
        <w:gridCol w:w="1756"/>
        <w:gridCol w:w="1756"/>
        <w:gridCol w:w="1754"/>
      </w:tblGrid>
      <w:tr w14:paraId="26F6AAE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single" w:color="000000" w:sz="12" w:space="0"/>
              <w:bottom w:val="single" w:color="000000" w:sz="4" w:space="0"/>
              <w:tl2br w:val="nil"/>
            </w:tcBorders>
            <w:shd w:val="clear" w:color="auto" w:fill="FFFFFF"/>
          </w:tcPr>
          <w:p w14:paraId="130979BA">
            <w:pPr>
              <w:spacing w:after="0" w:line="240" w:lineRule="auto"/>
              <w:jc w:val="both"/>
              <w:rPr>
                <w:rFonts w:cs="Times New Roman"/>
                <w:color w:val="000000"/>
                <w:szCs w:val="24"/>
              </w:rPr>
            </w:pPr>
            <w:r>
              <w:rPr>
                <w:rFonts w:cs="Times New Roman"/>
                <w:color w:val="000000"/>
                <w:szCs w:val="24"/>
              </w:rPr>
              <w:t>年份</w:t>
            </w:r>
          </w:p>
        </w:tc>
        <w:tc>
          <w:tcPr>
            <w:tcW w:w="1000" w:type="pct"/>
            <w:tcBorders>
              <w:top w:val="single" w:color="000000" w:sz="12" w:space="0"/>
              <w:bottom w:val="single" w:color="000000" w:sz="4" w:space="0"/>
            </w:tcBorders>
            <w:shd w:val="clear" w:color="auto" w:fill="FFFFFF"/>
          </w:tcPr>
          <w:p w14:paraId="6D8F92AF">
            <w:pPr>
              <w:spacing w:after="0" w:line="240" w:lineRule="auto"/>
              <w:jc w:val="both"/>
              <w:rPr>
                <w:rFonts w:cs="Times New Roman"/>
                <w:color w:val="000000"/>
                <w:szCs w:val="24"/>
              </w:rPr>
            </w:pPr>
            <w:r>
              <w:rPr>
                <w:rFonts w:cs="Times New Roman"/>
                <w:color w:val="000000"/>
                <w:szCs w:val="24"/>
              </w:rPr>
              <w:t>均值</w:t>
            </w:r>
          </w:p>
        </w:tc>
        <w:tc>
          <w:tcPr>
            <w:tcW w:w="1002" w:type="pct"/>
            <w:tcBorders>
              <w:top w:val="single" w:color="000000" w:sz="12" w:space="0"/>
              <w:bottom w:val="single" w:color="000000" w:sz="4" w:space="0"/>
            </w:tcBorders>
            <w:shd w:val="clear" w:color="auto" w:fill="FFFFFF"/>
          </w:tcPr>
          <w:p w14:paraId="37FB33AB">
            <w:pPr>
              <w:spacing w:after="0" w:line="240" w:lineRule="auto"/>
              <w:jc w:val="both"/>
              <w:rPr>
                <w:rFonts w:cs="Times New Roman"/>
                <w:color w:val="000000"/>
                <w:szCs w:val="24"/>
              </w:rPr>
            </w:pPr>
            <w:r>
              <w:rPr>
                <w:rFonts w:cs="Times New Roman"/>
                <w:color w:val="000000"/>
                <w:szCs w:val="24"/>
              </w:rPr>
              <w:t>中位数</w:t>
            </w:r>
          </w:p>
        </w:tc>
        <w:tc>
          <w:tcPr>
            <w:tcW w:w="1002" w:type="pct"/>
            <w:tcBorders>
              <w:top w:val="single" w:color="000000" w:sz="12" w:space="0"/>
              <w:bottom w:val="single" w:color="000000" w:sz="4" w:space="0"/>
            </w:tcBorders>
            <w:shd w:val="clear" w:color="auto" w:fill="FFFFFF"/>
          </w:tcPr>
          <w:p w14:paraId="3AF9F6C5">
            <w:pPr>
              <w:spacing w:after="0" w:line="240" w:lineRule="auto"/>
              <w:jc w:val="both"/>
              <w:rPr>
                <w:rFonts w:cs="Times New Roman"/>
                <w:color w:val="000000"/>
                <w:szCs w:val="24"/>
              </w:rPr>
            </w:pPr>
            <w:r>
              <w:rPr>
                <w:rFonts w:cs="Times New Roman"/>
                <w:color w:val="000000"/>
                <w:szCs w:val="24"/>
              </w:rPr>
              <w:t>最高值</w:t>
            </w:r>
          </w:p>
        </w:tc>
        <w:tc>
          <w:tcPr>
            <w:tcW w:w="1001" w:type="pct"/>
            <w:tcBorders>
              <w:top w:val="single" w:color="000000" w:sz="12" w:space="0"/>
              <w:bottom w:val="single" w:color="000000" w:sz="4" w:space="0"/>
            </w:tcBorders>
            <w:shd w:val="clear" w:color="auto" w:fill="FFFFFF"/>
          </w:tcPr>
          <w:p w14:paraId="227CC0A1">
            <w:pPr>
              <w:spacing w:after="0" w:line="240" w:lineRule="auto"/>
              <w:jc w:val="both"/>
              <w:rPr>
                <w:rFonts w:cs="Times New Roman"/>
                <w:color w:val="000000"/>
                <w:szCs w:val="24"/>
              </w:rPr>
            </w:pPr>
            <w:r>
              <w:rPr>
                <w:rFonts w:cs="Times New Roman"/>
                <w:color w:val="000000"/>
                <w:szCs w:val="24"/>
              </w:rPr>
              <w:t>最低值</w:t>
            </w:r>
          </w:p>
        </w:tc>
      </w:tr>
      <w:tr w14:paraId="25F8A6D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single" w:color="000000" w:sz="4" w:space="0"/>
              <w:bottom w:val="nil"/>
            </w:tcBorders>
            <w:shd w:val="clear" w:color="auto" w:fill="FFFFFF"/>
          </w:tcPr>
          <w:p w14:paraId="6006D4D4">
            <w:pPr>
              <w:spacing w:after="0" w:line="240" w:lineRule="auto"/>
              <w:jc w:val="both"/>
              <w:rPr>
                <w:rFonts w:cs="Times New Roman"/>
                <w:color w:val="000000"/>
                <w:szCs w:val="24"/>
              </w:rPr>
            </w:pPr>
            <w:r>
              <w:rPr>
                <w:rFonts w:cs="Times New Roman"/>
                <w:color w:val="000000"/>
                <w:szCs w:val="24"/>
              </w:rPr>
              <w:t>2015</w:t>
            </w:r>
          </w:p>
        </w:tc>
        <w:tc>
          <w:tcPr>
            <w:tcW w:w="1000" w:type="pct"/>
            <w:tcBorders>
              <w:top w:val="single" w:color="000000" w:sz="4" w:space="0"/>
              <w:bottom w:val="nil"/>
            </w:tcBorders>
            <w:shd w:val="clear" w:color="auto" w:fill="FFFFFF"/>
          </w:tcPr>
          <w:p w14:paraId="011FA75B">
            <w:pPr>
              <w:spacing w:after="0" w:line="240" w:lineRule="auto"/>
              <w:jc w:val="both"/>
              <w:rPr>
                <w:rFonts w:cs="Times New Roman"/>
                <w:color w:val="000000"/>
                <w:szCs w:val="24"/>
              </w:rPr>
            </w:pPr>
            <w:r>
              <w:rPr>
                <w:rFonts w:cs="Times New Roman"/>
                <w:color w:val="000000"/>
                <w:szCs w:val="24"/>
              </w:rPr>
              <w:t>0.4183</w:t>
            </w:r>
          </w:p>
        </w:tc>
        <w:tc>
          <w:tcPr>
            <w:tcW w:w="1002" w:type="pct"/>
            <w:tcBorders>
              <w:top w:val="single" w:color="000000" w:sz="4" w:space="0"/>
              <w:bottom w:val="nil"/>
            </w:tcBorders>
            <w:shd w:val="clear" w:color="auto" w:fill="FFFFFF"/>
          </w:tcPr>
          <w:p w14:paraId="3663F579">
            <w:pPr>
              <w:spacing w:after="0" w:line="240" w:lineRule="auto"/>
              <w:jc w:val="both"/>
              <w:rPr>
                <w:rFonts w:cs="Times New Roman"/>
                <w:color w:val="000000"/>
                <w:szCs w:val="24"/>
              </w:rPr>
            </w:pPr>
            <w:r>
              <w:rPr>
                <w:rFonts w:cs="Times New Roman"/>
                <w:color w:val="000000"/>
                <w:szCs w:val="24"/>
              </w:rPr>
              <w:t>0.3719</w:t>
            </w:r>
          </w:p>
        </w:tc>
        <w:tc>
          <w:tcPr>
            <w:tcW w:w="1002" w:type="pct"/>
            <w:tcBorders>
              <w:top w:val="single" w:color="000000" w:sz="4" w:space="0"/>
              <w:bottom w:val="nil"/>
            </w:tcBorders>
            <w:shd w:val="clear" w:color="auto" w:fill="FFFFFF"/>
          </w:tcPr>
          <w:p w14:paraId="33CCEB44">
            <w:pPr>
              <w:spacing w:after="0" w:line="240" w:lineRule="auto"/>
              <w:jc w:val="both"/>
              <w:rPr>
                <w:rFonts w:cs="Times New Roman"/>
                <w:color w:val="000000"/>
                <w:szCs w:val="24"/>
              </w:rPr>
            </w:pPr>
            <w:r>
              <w:rPr>
                <w:rFonts w:cs="Times New Roman"/>
                <w:color w:val="000000"/>
                <w:szCs w:val="24"/>
              </w:rPr>
              <w:t>1.0545</w:t>
            </w:r>
          </w:p>
        </w:tc>
        <w:tc>
          <w:tcPr>
            <w:tcW w:w="1001" w:type="pct"/>
            <w:tcBorders>
              <w:top w:val="single" w:color="000000" w:sz="4" w:space="0"/>
              <w:bottom w:val="nil"/>
            </w:tcBorders>
            <w:shd w:val="clear" w:color="auto" w:fill="FFFFFF"/>
          </w:tcPr>
          <w:p w14:paraId="576A5982">
            <w:pPr>
              <w:spacing w:after="0" w:line="240" w:lineRule="auto"/>
              <w:jc w:val="both"/>
              <w:rPr>
                <w:rFonts w:cs="Times New Roman"/>
                <w:color w:val="000000"/>
                <w:szCs w:val="24"/>
              </w:rPr>
            </w:pPr>
            <w:r>
              <w:rPr>
                <w:rFonts w:cs="Times New Roman"/>
                <w:color w:val="000000"/>
                <w:szCs w:val="24"/>
              </w:rPr>
              <w:t>0.2180</w:t>
            </w:r>
          </w:p>
        </w:tc>
      </w:tr>
      <w:tr w14:paraId="13E8972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nil"/>
              <w:bottom w:val="nil"/>
            </w:tcBorders>
            <w:shd w:val="clear" w:color="auto" w:fill="FFFFFF"/>
          </w:tcPr>
          <w:p w14:paraId="4F258568">
            <w:pPr>
              <w:spacing w:after="0" w:line="240" w:lineRule="auto"/>
              <w:jc w:val="both"/>
              <w:rPr>
                <w:rFonts w:cs="Times New Roman"/>
                <w:color w:val="000000"/>
                <w:szCs w:val="24"/>
              </w:rPr>
            </w:pPr>
            <w:r>
              <w:rPr>
                <w:rFonts w:cs="Times New Roman"/>
                <w:color w:val="000000"/>
                <w:szCs w:val="24"/>
              </w:rPr>
              <w:t>2016</w:t>
            </w:r>
          </w:p>
        </w:tc>
        <w:tc>
          <w:tcPr>
            <w:tcW w:w="1000" w:type="pct"/>
            <w:tcBorders>
              <w:top w:val="nil"/>
              <w:bottom w:val="nil"/>
            </w:tcBorders>
            <w:shd w:val="clear" w:color="auto" w:fill="FFFFFF"/>
          </w:tcPr>
          <w:p w14:paraId="6D7BD7EC">
            <w:pPr>
              <w:spacing w:after="0" w:line="240" w:lineRule="auto"/>
              <w:jc w:val="both"/>
              <w:rPr>
                <w:rFonts w:cs="Times New Roman"/>
                <w:color w:val="000000"/>
                <w:szCs w:val="24"/>
              </w:rPr>
            </w:pPr>
            <w:r>
              <w:rPr>
                <w:rFonts w:cs="Times New Roman"/>
                <w:color w:val="000000"/>
                <w:szCs w:val="24"/>
              </w:rPr>
              <w:t>0.4602</w:t>
            </w:r>
          </w:p>
        </w:tc>
        <w:tc>
          <w:tcPr>
            <w:tcW w:w="1002" w:type="pct"/>
            <w:tcBorders>
              <w:top w:val="nil"/>
              <w:bottom w:val="nil"/>
            </w:tcBorders>
            <w:shd w:val="clear" w:color="auto" w:fill="FFFFFF"/>
          </w:tcPr>
          <w:p w14:paraId="43175D37">
            <w:pPr>
              <w:spacing w:after="0" w:line="240" w:lineRule="auto"/>
              <w:jc w:val="both"/>
              <w:rPr>
                <w:rFonts w:cs="Times New Roman"/>
                <w:color w:val="000000"/>
                <w:szCs w:val="24"/>
              </w:rPr>
            </w:pPr>
            <w:r>
              <w:rPr>
                <w:rFonts w:cs="Times New Roman"/>
                <w:color w:val="000000"/>
                <w:szCs w:val="24"/>
              </w:rPr>
              <w:t>0.4037</w:t>
            </w:r>
          </w:p>
        </w:tc>
        <w:tc>
          <w:tcPr>
            <w:tcW w:w="1002" w:type="pct"/>
            <w:tcBorders>
              <w:top w:val="nil"/>
              <w:bottom w:val="nil"/>
            </w:tcBorders>
            <w:shd w:val="clear" w:color="auto" w:fill="FFFFFF"/>
          </w:tcPr>
          <w:p w14:paraId="725FD0C8">
            <w:pPr>
              <w:spacing w:after="0" w:line="240" w:lineRule="auto"/>
              <w:jc w:val="both"/>
              <w:rPr>
                <w:rFonts w:cs="Times New Roman"/>
                <w:color w:val="000000"/>
                <w:szCs w:val="24"/>
              </w:rPr>
            </w:pPr>
            <w:r>
              <w:rPr>
                <w:rFonts w:cs="Times New Roman"/>
                <w:color w:val="000000"/>
                <w:szCs w:val="24"/>
              </w:rPr>
              <w:t>1.0241</w:t>
            </w:r>
          </w:p>
        </w:tc>
        <w:tc>
          <w:tcPr>
            <w:tcW w:w="1001" w:type="pct"/>
            <w:tcBorders>
              <w:top w:val="nil"/>
              <w:bottom w:val="nil"/>
            </w:tcBorders>
            <w:shd w:val="clear" w:color="auto" w:fill="FFFFFF"/>
          </w:tcPr>
          <w:p w14:paraId="60D985A3">
            <w:pPr>
              <w:spacing w:after="0" w:line="240" w:lineRule="auto"/>
              <w:jc w:val="both"/>
              <w:rPr>
                <w:rFonts w:cs="Times New Roman"/>
                <w:color w:val="000000"/>
                <w:szCs w:val="24"/>
              </w:rPr>
            </w:pPr>
            <w:r>
              <w:rPr>
                <w:rFonts w:cs="Times New Roman"/>
                <w:color w:val="000000"/>
                <w:szCs w:val="24"/>
              </w:rPr>
              <w:t>0.2305</w:t>
            </w:r>
          </w:p>
        </w:tc>
      </w:tr>
      <w:tr w14:paraId="7B623F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nil"/>
              <w:bottom w:val="nil"/>
            </w:tcBorders>
            <w:shd w:val="clear" w:color="auto" w:fill="FFFFFF"/>
          </w:tcPr>
          <w:p w14:paraId="5CFBA44F">
            <w:pPr>
              <w:spacing w:after="0" w:line="240" w:lineRule="auto"/>
              <w:jc w:val="both"/>
              <w:rPr>
                <w:rFonts w:cs="Times New Roman"/>
                <w:color w:val="000000"/>
                <w:szCs w:val="24"/>
              </w:rPr>
            </w:pPr>
            <w:r>
              <w:rPr>
                <w:rFonts w:cs="Times New Roman"/>
                <w:color w:val="000000"/>
                <w:szCs w:val="24"/>
              </w:rPr>
              <w:t>2017</w:t>
            </w:r>
          </w:p>
        </w:tc>
        <w:tc>
          <w:tcPr>
            <w:tcW w:w="1000" w:type="pct"/>
            <w:tcBorders>
              <w:top w:val="nil"/>
              <w:bottom w:val="nil"/>
            </w:tcBorders>
            <w:shd w:val="clear" w:color="auto" w:fill="FFFFFF"/>
          </w:tcPr>
          <w:p w14:paraId="3CDB4F2E">
            <w:pPr>
              <w:spacing w:after="0" w:line="240" w:lineRule="auto"/>
              <w:jc w:val="both"/>
              <w:rPr>
                <w:rFonts w:cs="Times New Roman"/>
                <w:color w:val="000000"/>
                <w:szCs w:val="24"/>
              </w:rPr>
            </w:pPr>
            <w:r>
              <w:rPr>
                <w:rFonts w:cs="Times New Roman"/>
                <w:color w:val="000000"/>
                <w:szCs w:val="24"/>
              </w:rPr>
              <w:t>0.4814</w:t>
            </w:r>
          </w:p>
        </w:tc>
        <w:tc>
          <w:tcPr>
            <w:tcW w:w="1002" w:type="pct"/>
            <w:tcBorders>
              <w:top w:val="nil"/>
              <w:bottom w:val="nil"/>
            </w:tcBorders>
            <w:shd w:val="clear" w:color="auto" w:fill="FFFFFF"/>
          </w:tcPr>
          <w:p w14:paraId="44796171">
            <w:pPr>
              <w:spacing w:after="0" w:line="240" w:lineRule="auto"/>
              <w:jc w:val="both"/>
              <w:rPr>
                <w:rFonts w:cs="Times New Roman"/>
                <w:color w:val="000000"/>
                <w:szCs w:val="24"/>
              </w:rPr>
            </w:pPr>
            <w:r>
              <w:rPr>
                <w:rFonts w:cs="Times New Roman"/>
                <w:color w:val="000000"/>
                <w:szCs w:val="24"/>
              </w:rPr>
              <w:t>0.4647</w:t>
            </w:r>
          </w:p>
        </w:tc>
        <w:tc>
          <w:tcPr>
            <w:tcW w:w="1002" w:type="pct"/>
            <w:tcBorders>
              <w:top w:val="nil"/>
              <w:bottom w:val="nil"/>
            </w:tcBorders>
            <w:shd w:val="clear" w:color="auto" w:fill="FFFFFF"/>
          </w:tcPr>
          <w:p w14:paraId="7F9BFBB2">
            <w:pPr>
              <w:spacing w:after="0" w:line="240" w:lineRule="auto"/>
              <w:jc w:val="both"/>
              <w:rPr>
                <w:rFonts w:cs="Times New Roman"/>
                <w:color w:val="000000"/>
                <w:szCs w:val="24"/>
              </w:rPr>
            </w:pPr>
            <w:r>
              <w:rPr>
                <w:rFonts w:cs="Times New Roman"/>
                <w:color w:val="000000"/>
                <w:szCs w:val="24"/>
              </w:rPr>
              <w:t>1.0128</w:t>
            </w:r>
          </w:p>
        </w:tc>
        <w:tc>
          <w:tcPr>
            <w:tcW w:w="1001" w:type="pct"/>
            <w:tcBorders>
              <w:top w:val="nil"/>
              <w:bottom w:val="nil"/>
            </w:tcBorders>
            <w:shd w:val="clear" w:color="auto" w:fill="FFFFFF"/>
          </w:tcPr>
          <w:p w14:paraId="1E13DF17">
            <w:pPr>
              <w:spacing w:after="0" w:line="240" w:lineRule="auto"/>
              <w:jc w:val="both"/>
              <w:rPr>
                <w:rFonts w:cs="Times New Roman"/>
                <w:color w:val="000000"/>
                <w:szCs w:val="24"/>
              </w:rPr>
            </w:pPr>
            <w:r>
              <w:rPr>
                <w:rFonts w:cs="Times New Roman"/>
                <w:color w:val="000000"/>
                <w:szCs w:val="24"/>
              </w:rPr>
              <w:t>0.2407</w:t>
            </w:r>
          </w:p>
        </w:tc>
      </w:tr>
      <w:tr w14:paraId="3B2F59A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nil"/>
              <w:bottom w:val="nil"/>
            </w:tcBorders>
            <w:shd w:val="clear" w:color="auto" w:fill="FFFFFF"/>
          </w:tcPr>
          <w:p w14:paraId="033A9D39">
            <w:pPr>
              <w:spacing w:after="0" w:line="240" w:lineRule="auto"/>
              <w:jc w:val="both"/>
              <w:rPr>
                <w:rFonts w:cs="Times New Roman"/>
                <w:color w:val="000000"/>
                <w:szCs w:val="24"/>
              </w:rPr>
            </w:pPr>
            <w:r>
              <w:rPr>
                <w:rFonts w:cs="Times New Roman"/>
                <w:color w:val="000000"/>
                <w:szCs w:val="24"/>
              </w:rPr>
              <w:t>2018</w:t>
            </w:r>
          </w:p>
        </w:tc>
        <w:tc>
          <w:tcPr>
            <w:tcW w:w="1000" w:type="pct"/>
            <w:tcBorders>
              <w:top w:val="nil"/>
              <w:bottom w:val="nil"/>
            </w:tcBorders>
            <w:shd w:val="clear" w:color="auto" w:fill="FFFFFF"/>
          </w:tcPr>
          <w:p w14:paraId="7AAE4395">
            <w:pPr>
              <w:spacing w:after="0" w:line="240" w:lineRule="auto"/>
              <w:jc w:val="both"/>
              <w:rPr>
                <w:rFonts w:cs="Times New Roman"/>
                <w:color w:val="000000"/>
                <w:szCs w:val="24"/>
              </w:rPr>
            </w:pPr>
            <w:r>
              <w:rPr>
                <w:rFonts w:cs="Times New Roman"/>
                <w:color w:val="000000"/>
                <w:szCs w:val="24"/>
              </w:rPr>
              <w:t>0.5005</w:t>
            </w:r>
          </w:p>
        </w:tc>
        <w:tc>
          <w:tcPr>
            <w:tcW w:w="1002" w:type="pct"/>
            <w:tcBorders>
              <w:top w:val="nil"/>
              <w:bottom w:val="nil"/>
            </w:tcBorders>
            <w:shd w:val="clear" w:color="auto" w:fill="FFFFFF"/>
          </w:tcPr>
          <w:p w14:paraId="0A63ADF6">
            <w:pPr>
              <w:spacing w:after="0" w:line="240" w:lineRule="auto"/>
              <w:jc w:val="both"/>
              <w:rPr>
                <w:rFonts w:cs="Times New Roman"/>
                <w:color w:val="000000"/>
                <w:szCs w:val="24"/>
              </w:rPr>
            </w:pPr>
            <w:r>
              <w:rPr>
                <w:rFonts w:cs="Times New Roman"/>
                <w:color w:val="000000"/>
                <w:szCs w:val="24"/>
              </w:rPr>
              <w:t>0.4567</w:t>
            </w:r>
          </w:p>
        </w:tc>
        <w:tc>
          <w:tcPr>
            <w:tcW w:w="1002" w:type="pct"/>
            <w:tcBorders>
              <w:top w:val="nil"/>
              <w:bottom w:val="nil"/>
            </w:tcBorders>
            <w:shd w:val="clear" w:color="auto" w:fill="FFFFFF"/>
          </w:tcPr>
          <w:p w14:paraId="2D15601B">
            <w:pPr>
              <w:spacing w:after="0" w:line="240" w:lineRule="auto"/>
              <w:jc w:val="both"/>
              <w:rPr>
                <w:rFonts w:cs="Times New Roman"/>
                <w:color w:val="000000"/>
                <w:szCs w:val="24"/>
              </w:rPr>
            </w:pPr>
            <w:r>
              <w:rPr>
                <w:rFonts w:cs="Times New Roman"/>
                <w:color w:val="000000"/>
                <w:szCs w:val="24"/>
              </w:rPr>
              <w:t>1.0383</w:t>
            </w:r>
          </w:p>
        </w:tc>
        <w:tc>
          <w:tcPr>
            <w:tcW w:w="1001" w:type="pct"/>
            <w:tcBorders>
              <w:top w:val="nil"/>
              <w:bottom w:val="nil"/>
            </w:tcBorders>
            <w:shd w:val="clear" w:color="auto" w:fill="FFFFFF"/>
          </w:tcPr>
          <w:p w14:paraId="2814A5F4">
            <w:pPr>
              <w:spacing w:after="0" w:line="240" w:lineRule="auto"/>
              <w:jc w:val="both"/>
              <w:rPr>
                <w:rFonts w:cs="Times New Roman"/>
                <w:color w:val="000000"/>
                <w:szCs w:val="24"/>
              </w:rPr>
            </w:pPr>
            <w:r>
              <w:rPr>
                <w:rFonts w:cs="Times New Roman"/>
                <w:color w:val="000000"/>
                <w:szCs w:val="24"/>
              </w:rPr>
              <w:t>0.2468</w:t>
            </w:r>
          </w:p>
        </w:tc>
      </w:tr>
      <w:tr w14:paraId="6EBBE38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7" w:hRule="atLeast"/>
          <w:jc w:val="center"/>
        </w:trPr>
        <w:tc>
          <w:tcPr>
            <w:tcW w:w="995" w:type="pct"/>
            <w:tcBorders>
              <w:top w:val="nil"/>
              <w:bottom w:val="nil"/>
            </w:tcBorders>
            <w:shd w:val="clear" w:color="auto" w:fill="FFFFFF"/>
          </w:tcPr>
          <w:p w14:paraId="22905276">
            <w:pPr>
              <w:spacing w:after="0" w:line="240" w:lineRule="auto"/>
              <w:jc w:val="both"/>
              <w:rPr>
                <w:rFonts w:cs="Times New Roman"/>
                <w:color w:val="000000"/>
                <w:szCs w:val="24"/>
              </w:rPr>
            </w:pPr>
            <w:r>
              <w:rPr>
                <w:rFonts w:cs="Times New Roman"/>
                <w:color w:val="000000"/>
                <w:szCs w:val="24"/>
              </w:rPr>
              <w:t>2019</w:t>
            </w:r>
          </w:p>
        </w:tc>
        <w:tc>
          <w:tcPr>
            <w:tcW w:w="1000" w:type="pct"/>
            <w:tcBorders>
              <w:top w:val="nil"/>
              <w:bottom w:val="nil"/>
            </w:tcBorders>
            <w:shd w:val="clear" w:color="auto" w:fill="FFFFFF"/>
          </w:tcPr>
          <w:p w14:paraId="15B84213">
            <w:pPr>
              <w:spacing w:after="0" w:line="240" w:lineRule="auto"/>
              <w:jc w:val="both"/>
              <w:rPr>
                <w:rFonts w:cs="Times New Roman"/>
                <w:color w:val="000000"/>
                <w:szCs w:val="24"/>
              </w:rPr>
            </w:pPr>
            <w:r>
              <w:rPr>
                <w:rFonts w:cs="Times New Roman"/>
                <w:color w:val="000000"/>
                <w:szCs w:val="24"/>
              </w:rPr>
              <w:t>0.5431</w:t>
            </w:r>
          </w:p>
        </w:tc>
        <w:tc>
          <w:tcPr>
            <w:tcW w:w="1002" w:type="pct"/>
            <w:tcBorders>
              <w:top w:val="nil"/>
              <w:bottom w:val="nil"/>
            </w:tcBorders>
            <w:shd w:val="clear" w:color="auto" w:fill="FFFFFF"/>
          </w:tcPr>
          <w:p w14:paraId="58CB9823">
            <w:pPr>
              <w:spacing w:after="0" w:line="240" w:lineRule="auto"/>
              <w:jc w:val="both"/>
              <w:rPr>
                <w:rFonts w:cs="Times New Roman"/>
                <w:color w:val="000000"/>
                <w:szCs w:val="24"/>
              </w:rPr>
            </w:pPr>
            <w:r>
              <w:rPr>
                <w:rFonts w:cs="Times New Roman"/>
                <w:color w:val="000000"/>
                <w:szCs w:val="24"/>
              </w:rPr>
              <w:t>0.4712</w:t>
            </w:r>
          </w:p>
        </w:tc>
        <w:tc>
          <w:tcPr>
            <w:tcW w:w="1002" w:type="pct"/>
            <w:tcBorders>
              <w:top w:val="nil"/>
              <w:bottom w:val="nil"/>
            </w:tcBorders>
            <w:shd w:val="clear" w:color="auto" w:fill="FFFFFF"/>
          </w:tcPr>
          <w:p w14:paraId="15984A43">
            <w:pPr>
              <w:spacing w:after="0" w:line="240" w:lineRule="auto"/>
              <w:jc w:val="both"/>
              <w:rPr>
                <w:rFonts w:cs="Times New Roman"/>
                <w:color w:val="000000"/>
                <w:szCs w:val="24"/>
              </w:rPr>
            </w:pPr>
            <w:r>
              <w:rPr>
                <w:rFonts w:cs="Times New Roman"/>
                <w:color w:val="000000"/>
                <w:szCs w:val="24"/>
              </w:rPr>
              <w:t>1.0156</w:t>
            </w:r>
          </w:p>
        </w:tc>
        <w:tc>
          <w:tcPr>
            <w:tcW w:w="1001" w:type="pct"/>
            <w:tcBorders>
              <w:top w:val="nil"/>
              <w:bottom w:val="nil"/>
            </w:tcBorders>
            <w:shd w:val="clear" w:color="auto" w:fill="FFFFFF"/>
          </w:tcPr>
          <w:p w14:paraId="0E65B420">
            <w:pPr>
              <w:spacing w:after="0" w:line="240" w:lineRule="auto"/>
              <w:jc w:val="both"/>
              <w:rPr>
                <w:rFonts w:cs="Times New Roman"/>
                <w:color w:val="000000"/>
                <w:szCs w:val="24"/>
              </w:rPr>
            </w:pPr>
            <w:r>
              <w:rPr>
                <w:rFonts w:cs="Times New Roman"/>
                <w:color w:val="000000"/>
                <w:szCs w:val="24"/>
              </w:rPr>
              <w:t>0.2445</w:t>
            </w:r>
          </w:p>
        </w:tc>
      </w:tr>
      <w:tr w14:paraId="3BAFD6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nil"/>
              <w:bottom w:val="nil"/>
            </w:tcBorders>
            <w:shd w:val="clear" w:color="auto" w:fill="FFFFFF"/>
          </w:tcPr>
          <w:p w14:paraId="39156D58">
            <w:pPr>
              <w:spacing w:after="0" w:line="240" w:lineRule="auto"/>
              <w:jc w:val="both"/>
              <w:rPr>
                <w:rFonts w:cs="Times New Roman"/>
                <w:color w:val="000000"/>
                <w:szCs w:val="24"/>
              </w:rPr>
            </w:pPr>
            <w:r>
              <w:rPr>
                <w:rFonts w:cs="Times New Roman"/>
                <w:color w:val="000000"/>
                <w:szCs w:val="24"/>
              </w:rPr>
              <w:t>2020</w:t>
            </w:r>
          </w:p>
        </w:tc>
        <w:tc>
          <w:tcPr>
            <w:tcW w:w="1000" w:type="pct"/>
            <w:tcBorders>
              <w:top w:val="nil"/>
              <w:bottom w:val="nil"/>
            </w:tcBorders>
            <w:shd w:val="clear" w:color="auto" w:fill="FFFFFF"/>
          </w:tcPr>
          <w:p w14:paraId="061089A3">
            <w:pPr>
              <w:spacing w:after="0" w:line="240" w:lineRule="auto"/>
              <w:jc w:val="both"/>
              <w:rPr>
                <w:rFonts w:cs="Times New Roman"/>
                <w:color w:val="000000"/>
                <w:szCs w:val="24"/>
              </w:rPr>
            </w:pPr>
            <w:r>
              <w:rPr>
                <w:rFonts w:cs="Times New Roman"/>
                <w:color w:val="000000"/>
                <w:szCs w:val="24"/>
              </w:rPr>
              <w:t>0.5989</w:t>
            </w:r>
          </w:p>
        </w:tc>
        <w:tc>
          <w:tcPr>
            <w:tcW w:w="1002" w:type="pct"/>
            <w:tcBorders>
              <w:top w:val="nil"/>
              <w:bottom w:val="nil"/>
            </w:tcBorders>
            <w:shd w:val="clear" w:color="auto" w:fill="FFFFFF"/>
          </w:tcPr>
          <w:p w14:paraId="437CDC53">
            <w:pPr>
              <w:spacing w:after="0" w:line="240" w:lineRule="auto"/>
              <w:jc w:val="both"/>
              <w:rPr>
                <w:rFonts w:cs="Times New Roman"/>
                <w:color w:val="000000"/>
                <w:szCs w:val="24"/>
              </w:rPr>
            </w:pPr>
            <w:r>
              <w:rPr>
                <w:rFonts w:cs="Times New Roman"/>
                <w:color w:val="000000"/>
                <w:szCs w:val="24"/>
              </w:rPr>
              <w:t>0.5433</w:t>
            </w:r>
          </w:p>
        </w:tc>
        <w:tc>
          <w:tcPr>
            <w:tcW w:w="1002" w:type="pct"/>
            <w:tcBorders>
              <w:top w:val="nil"/>
              <w:bottom w:val="nil"/>
            </w:tcBorders>
            <w:shd w:val="clear" w:color="auto" w:fill="FFFFFF"/>
          </w:tcPr>
          <w:p w14:paraId="281D3924">
            <w:pPr>
              <w:spacing w:after="0" w:line="240" w:lineRule="auto"/>
              <w:jc w:val="both"/>
              <w:rPr>
                <w:rFonts w:cs="Times New Roman"/>
                <w:color w:val="000000"/>
                <w:szCs w:val="24"/>
              </w:rPr>
            </w:pPr>
            <w:r>
              <w:rPr>
                <w:rFonts w:cs="Times New Roman"/>
                <w:color w:val="000000"/>
                <w:szCs w:val="24"/>
              </w:rPr>
              <w:t>1.0845</w:t>
            </w:r>
          </w:p>
        </w:tc>
        <w:tc>
          <w:tcPr>
            <w:tcW w:w="1001" w:type="pct"/>
            <w:tcBorders>
              <w:top w:val="nil"/>
              <w:bottom w:val="nil"/>
            </w:tcBorders>
            <w:shd w:val="clear" w:color="auto" w:fill="FFFFFF"/>
          </w:tcPr>
          <w:p w14:paraId="0425DD84">
            <w:pPr>
              <w:spacing w:after="0" w:line="240" w:lineRule="auto"/>
              <w:jc w:val="both"/>
              <w:rPr>
                <w:rFonts w:cs="Times New Roman"/>
                <w:color w:val="000000"/>
                <w:szCs w:val="24"/>
              </w:rPr>
            </w:pPr>
            <w:r>
              <w:rPr>
                <w:rFonts w:cs="Times New Roman"/>
                <w:color w:val="000000"/>
                <w:szCs w:val="24"/>
              </w:rPr>
              <w:t>0.2588</w:t>
            </w:r>
          </w:p>
        </w:tc>
      </w:tr>
      <w:tr w14:paraId="5483BC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nil"/>
              <w:bottom w:val="nil"/>
            </w:tcBorders>
            <w:shd w:val="clear" w:color="auto" w:fill="FFFFFF"/>
          </w:tcPr>
          <w:p w14:paraId="63CCE213">
            <w:pPr>
              <w:spacing w:after="0" w:line="240" w:lineRule="auto"/>
              <w:jc w:val="both"/>
              <w:rPr>
                <w:rFonts w:cs="Times New Roman"/>
                <w:color w:val="000000"/>
                <w:szCs w:val="24"/>
              </w:rPr>
            </w:pPr>
            <w:r>
              <w:rPr>
                <w:rFonts w:cs="Times New Roman"/>
                <w:color w:val="000000"/>
                <w:szCs w:val="24"/>
              </w:rPr>
              <w:t>2021</w:t>
            </w:r>
          </w:p>
        </w:tc>
        <w:tc>
          <w:tcPr>
            <w:tcW w:w="1000" w:type="pct"/>
            <w:tcBorders>
              <w:top w:val="nil"/>
              <w:bottom w:val="nil"/>
            </w:tcBorders>
            <w:shd w:val="clear" w:color="auto" w:fill="FFFFFF"/>
          </w:tcPr>
          <w:p w14:paraId="4609EA90">
            <w:pPr>
              <w:spacing w:after="0" w:line="240" w:lineRule="auto"/>
              <w:jc w:val="both"/>
              <w:rPr>
                <w:rFonts w:cs="Times New Roman"/>
                <w:color w:val="000000"/>
                <w:szCs w:val="24"/>
              </w:rPr>
            </w:pPr>
            <w:r>
              <w:rPr>
                <w:rFonts w:cs="Times New Roman"/>
                <w:color w:val="000000"/>
                <w:szCs w:val="24"/>
              </w:rPr>
              <w:t>0.5801</w:t>
            </w:r>
          </w:p>
        </w:tc>
        <w:tc>
          <w:tcPr>
            <w:tcW w:w="1002" w:type="pct"/>
            <w:tcBorders>
              <w:top w:val="nil"/>
              <w:bottom w:val="nil"/>
            </w:tcBorders>
            <w:shd w:val="clear" w:color="auto" w:fill="FFFFFF"/>
          </w:tcPr>
          <w:p w14:paraId="0578733A">
            <w:pPr>
              <w:spacing w:after="0" w:line="240" w:lineRule="auto"/>
              <w:jc w:val="both"/>
              <w:rPr>
                <w:rFonts w:cs="Times New Roman"/>
                <w:color w:val="000000"/>
                <w:szCs w:val="24"/>
              </w:rPr>
            </w:pPr>
            <w:r>
              <w:rPr>
                <w:rFonts w:cs="Times New Roman"/>
                <w:color w:val="000000"/>
                <w:szCs w:val="24"/>
              </w:rPr>
              <w:t>0.5461</w:t>
            </w:r>
          </w:p>
        </w:tc>
        <w:tc>
          <w:tcPr>
            <w:tcW w:w="1002" w:type="pct"/>
            <w:tcBorders>
              <w:top w:val="nil"/>
              <w:bottom w:val="nil"/>
            </w:tcBorders>
            <w:shd w:val="clear" w:color="auto" w:fill="FFFFFF"/>
          </w:tcPr>
          <w:p w14:paraId="78E93489">
            <w:pPr>
              <w:spacing w:after="0" w:line="240" w:lineRule="auto"/>
              <w:jc w:val="both"/>
              <w:rPr>
                <w:rFonts w:cs="Times New Roman"/>
                <w:color w:val="000000"/>
                <w:szCs w:val="24"/>
              </w:rPr>
            </w:pPr>
            <w:r>
              <w:rPr>
                <w:rFonts w:cs="Times New Roman"/>
                <w:color w:val="000000"/>
                <w:szCs w:val="24"/>
              </w:rPr>
              <w:t>1.0184</w:t>
            </w:r>
          </w:p>
        </w:tc>
        <w:tc>
          <w:tcPr>
            <w:tcW w:w="1001" w:type="pct"/>
            <w:tcBorders>
              <w:top w:val="nil"/>
              <w:bottom w:val="nil"/>
            </w:tcBorders>
            <w:shd w:val="clear" w:color="auto" w:fill="FFFFFF"/>
          </w:tcPr>
          <w:p w14:paraId="25915C04">
            <w:pPr>
              <w:spacing w:after="0" w:line="240" w:lineRule="auto"/>
              <w:jc w:val="both"/>
              <w:rPr>
                <w:rFonts w:cs="Times New Roman"/>
                <w:color w:val="000000"/>
                <w:szCs w:val="24"/>
              </w:rPr>
            </w:pPr>
            <w:r>
              <w:rPr>
                <w:rFonts w:cs="Times New Roman"/>
                <w:color w:val="000000"/>
                <w:szCs w:val="24"/>
              </w:rPr>
              <w:t>0.2473</w:t>
            </w:r>
          </w:p>
        </w:tc>
      </w:tr>
      <w:tr w14:paraId="2ECE7F8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4" w:hRule="atLeast"/>
          <w:jc w:val="center"/>
        </w:trPr>
        <w:tc>
          <w:tcPr>
            <w:tcW w:w="995" w:type="pct"/>
            <w:tcBorders>
              <w:top w:val="nil"/>
              <w:bottom w:val="single" w:color="000000" w:sz="12" w:space="0"/>
            </w:tcBorders>
            <w:shd w:val="clear" w:color="auto" w:fill="FFFFFF"/>
          </w:tcPr>
          <w:p w14:paraId="5CEFCD68">
            <w:pPr>
              <w:spacing w:after="0" w:line="240" w:lineRule="auto"/>
              <w:jc w:val="both"/>
              <w:rPr>
                <w:rFonts w:cs="Times New Roman"/>
                <w:color w:val="000000"/>
                <w:szCs w:val="24"/>
              </w:rPr>
            </w:pPr>
            <w:r>
              <w:rPr>
                <w:rFonts w:cs="Times New Roman"/>
                <w:color w:val="000000"/>
                <w:szCs w:val="24"/>
              </w:rPr>
              <w:t>2022</w:t>
            </w:r>
          </w:p>
        </w:tc>
        <w:tc>
          <w:tcPr>
            <w:tcW w:w="1000" w:type="pct"/>
            <w:tcBorders>
              <w:top w:val="nil"/>
              <w:bottom w:val="single" w:color="000000" w:sz="12" w:space="0"/>
            </w:tcBorders>
            <w:shd w:val="clear" w:color="auto" w:fill="FFFFFF"/>
          </w:tcPr>
          <w:p w14:paraId="76A7F80D">
            <w:pPr>
              <w:spacing w:after="0" w:line="240" w:lineRule="auto"/>
              <w:jc w:val="both"/>
              <w:rPr>
                <w:rFonts w:cs="Times New Roman"/>
                <w:color w:val="000000"/>
                <w:szCs w:val="24"/>
              </w:rPr>
            </w:pPr>
            <w:r>
              <w:rPr>
                <w:rFonts w:cs="Times New Roman"/>
                <w:color w:val="000000"/>
                <w:szCs w:val="24"/>
              </w:rPr>
              <w:t>0.6350</w:t>
            </w:r>
          </w:p>
        </w:tc>
        <w:tc>
          <w:tcPr>
            <w:tcW w:w="1002" w:type="pct"/>
            <w:tcBorders>
              <w:top w:val="nil"/>
              <w:bottom w:val="single" w:color="000000" w:sz="12" w:space="0"/>
            </w:tcBorders>
            <w:shd w:val="clear" w:color="auto" w:fill="FFFFFF"/>
          </w:tcPr>
          <w:p w14:paraId="24E412CB">
            <w:pPr>
              <w:spacing w:after="0" w:line="240" w:lineRule="auto"/>
              <w:jc w:val="both"/>
              <w:rPr>
                <w:rFonts w:cs="Times New Roman"/>
                <w:color w:val="000000"/>
                <w:szCs w:val="24"/>
              </w:rPr>
            </w:pPr>
            <w:r>
              <w:rPr>
                <w:rFonts w:cs="Times New Roman"/>
                <w:color w:val="000000"/>
                <w:szCs w:val="24"/>
              </w:rPr>
              <w:t>0.5933</w:t>
            </w:r>
          </w:p>
        </w:tc>
        <w:tc>
          <w:tcPr>
            <w:tcW w:w="1002" w:type="pct"/>
            <w:tcBorders>
              <w:top w:val="nil"/>
              <w:bottom w:val="single" w:color="000000" w:sz="12" w:space="0"/>
            </w:tcBorders>
            <w:shd w:val="clear" w:color="auto" w:fill="FFFFFF"/>
          </w:tcPr>
          <w:p w14:paraId="5CB1CA30">
            <w:pPr>
              <w:spacing w:after="0" w:line="240" w:lineRule="auto"/>
              <w:jc w:val="both"/>
              <w:rPr>
                <w:rFonts w:cs="Times New Roman"/>
                <w:color w:val="000000"/>
                <w:szCs w:val="24"/>
              </w:rPr>
            </w:pPr>
            <w:r>
              <w:rPr>
                <w:rFonts w:cs="Times New Roman"/>
                <w:color w:val="000000"/>
                <w:szCs w:val="24"/>
              </w:rPr>
              <w:t>1.2500</w:t>
            </w:r>
          </w:p>
        </w:tc>
        <w:tc>
          <w:tcPr>
            <w:tcW w:w="1001" w:type="pct"/>
            <w:tcBorders>
              <w:top w:val="nil"/>
              <w:bottom w:val="single" w:color="000000" w:sz="12" w:space="0"/>
            </w:tcBorders>
            <w:shd w:val="clear" w:color="auto" w:fill="FFFFFF"/>
          </w:tcPr>
          <w:p w14:paraId="2BA6887A">
            <w:pPr>
              <w:spacing w:after="0" w:line="240" w:lineRule="auto"/>
              <w:jc w:val="both"/>
              <w:rPr>
                <w:rFonts w:cs="Times New Roman"/>
                <w:color w:val="000000"/>
                <w:szCs w:val="24"/>
              </w:rPr>
            </w:pPr>
            <w:r>
              <w:rPr>
                <w:rFonts w:cs="Times New Roman"/>
                <w:color w:val="000000"/>
                <w:szCs w:val="24"/>
              </w:rPr>
              <w:t>0.2444</w:t>
            </w:r>
          </w:p>
        </w:tc>
      </w:tr>
    </w:tbl>
    <w:p w14:paraId="42FEEAEE">
      <w:pPr>
        <w:ind w:firstLine="480" w:firstLineChars="200"/>
        <w:rPr>
          <w:lang w:eastAsia="zh-CN"/>
        </w:rPr>
      </w:pPr>
    </w:p>
    <w:p w14:paraId="48878F97">
      <w:pPr>
        <w:ind w:firstLine="480" w:firstLineChars="200"/>
        <w:jc w:val="both"/>
        <w:rPr>
          <w:lang w:eastAsia="zh-CN"/>
        </w:rPr>
      </w:pPr>
      <w:commentRangeStart w:id="0"/>
      <w:r>
        <w:rPr>
          <w:lang w:eastAsia="zh-CN"/>
        </w:rPr>
        <w:t>省域碳排放效率空间分布</w:t>
      </w:r>
      <w:r>
        <w:rPr>
          <w:rFonts w:hint="eastAsia"/>
          <w:lang w:eastAsia="zh-CN"/>
        </w:rPr>
        <w:t>如图1</w:t>
      </w:r>
      <w:r>
        <w:rPr>
          <w:lang w:eastAsia="zh-CN"/>
        </w:rPr>
        <w:t>0</w:t>
      </w:r>
      <w:r>
        <w:rPr>
          <w:rFonts w:hint="eastAsia"/>
          <w:lang w:eastAsia="zh-CN"/>
        </w:rPr>
        <w:t>所示，</w:t>
      </w:r>
      <w:r>
        <w:rPr>
          <w:lang w:eastAsia="zh-CN"/>
        </w:rPr>
        <w:t xml:space="preserve"> 2022年各省碳排放效率并非随机分布，而是呈现出较明显的空间分化特征。高值和低值地区在地理上都具有一定集中性，这一直观结果也为后文开展空间相关性检验提供了图形依据。</w:t>
      </w:r>
      <w:commentRangeEnd w:id="0"/>
      <w:r>
        <w:rPr>
          <w:rStyle w:val="144"/>
        </w:rPr>
        <w:commentReference w:id="0"/>
      </w:r>
    </w:p>
    <w:p w14:paraId="139C799C">
      <w:pPr>
        <w:rPr>
          <w:lang w:eastAsia="zh-CN"/>
        </w:rPr>
      </w:pPr>
    </w:p>
    <w:p w14:paraId="74F222C5">
      <w:pPr>
        <w:spacing w:after="0"/>
        <w:jc w:val="center"/>
        <w:rPr>
          <w:sz w:val="22"/>
          <w:lang w:eastAsia="zh-CN"/>
        </w:rPr>
      </w:pPr>
      <w:r>
        <w:rPr>
          <w:sz w:val="22"/>
          <w:lang w:eastAsia="zh-CN"/>
        </w:rPr>
        <w:drawing>
          <wp:inline distT="0" distB="0" distL="114300" distR="114300">
            <wp:extent cx="5322570" cy="4278630"/>
            <wp:effectExtent l="0" t="0" r="0" b="762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8" cstate="hqprint"/>
                    <a:srcRect b="3466"/>
                    <a:stretch>
                      <a:fillRect/>
                    </a:stretch>
                  </pic:blipFill>
                  <pic:spPr>
                    <a:xfrm>
                      <a:off x="0" y="0"/>
                      <a:ext cx="5322570" cy="4278702"/>
                    </a:xfrm>
                    <a:prstGeom prst="rect">
                      <a:avLst/>
                    </a:prstGeom>
                    <a:ln>
                      <a:noFill/>
                    </a:ln>
                  </pic:spPr>
                </pic:pic>
              </a:graphicData>
            </a:graphic>
          </wp:inline>
        </w:drawing>
      </w:r>
    </w:p>
    <w:p w14:paraId="082CDC40">
      <w:pPr>
        <w:pStyle w:val="15"/>
        <w:spacing w:after="120" w:afterLines="5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9</w:t>
      </w:r>
      <w:r>
        <w:fldChar w:fldCharType="end"/>
      </w:r>
      <w:bookmarkStart w:id="37" w:name="_Toc17099"/>
      <w:r>
        <w:rPr>
          <w:rFonts w:hint="eastAsia"/>
          <w:lang w:eastAsia="zh-CN"/>
        </w:rPr>
        <w:t xml:space="preserve"> </w:t>
      </w:r>
      <w:r>
        <w:rPr>
          <w:lang w:eastAsia="zh-CN"/>
        </w:rPr>
        <w:t>省域碳排放效率空间分布图</w:t>
      </w:r>
      <w:bookmarkEnd w:id="37"/>
    </w:p>
    <w:p w14:paraId="3C0A4051">
      <w:pPr>
        <w:spacing w:after="0" w:line="240" w:lineRule="auto"/>
        <w:jc w:val="both"/>
        <w:rPr>
          <w:sz w:val="22"/>
          <w:lang w:eastAsia="zh-CN"/>
        </w:rPr>
      </w:pPr>
      <w:r>
        <w:rPr>
          <w:sz w:val="22"/>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9" cstate="hqprint"/>
                    <a:srcRect/>
                    <a:stretch>
                      <a:fillRect/>
                    </a:stretch>
                  </pic:blipFill>
                  <pic:spPr>
                    <a:xfrm>
                      <a:off x="0" y="0"/>
                      <a:ext cx="5490210" cy="2976880"/>
                    </a:xfrm>
                    <a:prstGeom prst="rect">
                      <a:avLst/>
                    </a:prstGeom>
                  </pic:spPr>
                </pic:pic>
              </a:graphicData>
            </a:graphic>
          </wp:inline>
        </w:drawing>
      </w:r>
    </w:p>
    <w:p w14:paraId="70523EB0">
      <w:pPr>
        <w:pStyle w:val="15"/>
        <w:rPr>
          <w:sz w:val="22"/>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10</w:t>
      </w:r>
      <w:r>
        <w:fldChar w:fldCharType="end"/>
      </w:r>
      <w:bookmarkStart w:id="38" w:name="_Toc28412"/>
      <w:r>
        <w:rPr>
          <w:rFonts w:hint="eastAsia"/>
          <w:lang w:eastAsia="zh-CN"/>
        </w:rPr>
        <w:t xml:space="preserve"> 2015-2022分区域碳排放效率箱线图</w:t>
      </w:r>
      <w:bookmarkEnd w:id="38"/>
    </w:p>
    <w:p w14:paraId="1E3BC8EC">
      <w:pPr>
        <w:spacing w:after="0" w:line="240" w:lineRule="auto"/>
        <w:jc w:val="both"/>
        <w:rPr>
          <w:sz w:val="22"/>
          <w:lang w:eastAsia="zh-CN"/>
        </w:rPr>
      </w:pPr>
      <w:r>
        <w:rPr>
          <w:sz w:val="22"/>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20" cstate="hqprint"/>
                    <a:srcRect t="4726"/>
                    <a:stretch>
                      <a:fillRect/>
                    </a:stretch>
                  </pic:blipFill>
                  <pic:spPr>
                    <a:xfrm>
                      <a:off x="0" y="0"/>
                      <a:ext cx="5490210" cy="3008630"/>
                    </a:xfrm>
                    <a:prstGeom prst="rect">
                      <a:avLst/>
                    </a:prstGeom>
                  </pic:spPr>
                </pic:pic>
              </a:graphicData>
            </a:graphic>
          </wp:inline>
        </w:drawing>
      </w:r>
    </w:p>
    <w:p w14:paraId="7697B742">
      <w:pPr>
        <w:pStyle w:val="15"/>
        <w:rPr>
          <w:sz w:val="22"/>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11</w:t>
      </w:r>
      <w:r>
        <w:fldChar w:fldCharType="end"/>
      </w:r>
      <w:bookmarkStart w:id="39" w:name="_Toc12337"/>
      <w:r>
        <w:rPr>
          <w:rFonts w:hint="eastAsia"/>
          <w:lang w:eastAsia="zh-CN"/>
        </w:rPr>
        <w:t xml:space="preserve"> 西部各省碳排放效率年际变化图</w:t>
      </w:r>
      <w:bookmarkEnd w:id="39"/>
    </w:p>
    <w:p w14:paraId="355E61A7">
      <w:pPr>
        <w:spacing w:after="0" w:line="240" w:lineRule="auto"/>
        <w:jc w:val="center"/>
        <w:rPr>
          <w:sz w:val="22"/>
          <w:lang w:eastAsia="zh-CN"/>
        </w:rPr>
      </w:pPr>
      <w:r>
        <w:rPr>
          <w:sz w:val="22"/>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1" cstate="hqprint"/>
                    <a:srcRect/>
                    <a:stretch>
                      <a:fillRect/>
                    </a:stretch>
                  </pic:blipFill>
                  <pic:spPr>
                    <a:xfrm>
                      <a:off x="0" y="0"/>
                      <a:ext cx="4693920" cy="2465070"/>
                    </a:xfrm>
                    <a:prstGeom prst="rect">
                      <a:avLst/>
                    </a:prstGeom>
                  </pic:spPr>
                </pic:pic>
              </a:graphicData>
            </a:graphic>
          </wp:inline>
        </w:drawing>
      </w:r>
    </w:p>
    <w:p w14:paraId="00D5151F">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12</w:t>
      </w:r>
      <w:r>
        <w:fldChar w:fldCharType="end"/>
      </w:r>
      <w:bookmarkStart w:id="40" w:name="_Toc15591"/>
      <w:r>
        <w:rPr>
          <w:rFonts w:hint="eastAsia"/>
          <w:lang w:eastAsia="zh-CN"/>
        </w:rPr>
        <w:t xml:space="preserve"> 青海与西部均值投入产出指标对比图</w:t>
      </w:r>
      <w:bookmarkEnd w:id="40"/>
    </w:p>
    <w:p w14:paraId="0997E463">
      <w:pPr>
        <w:ind w:firstLine="480" w:firstLineChars="200"/>
        <w:jc w:val="both"/>
        <w:rPr>
          <w:lang w:eastAsia="zh-CN"/>
        </w:rPr>
      </w:pPr>
      <w:r>
        <w:rPr>
          <w:rFonts w:hint="eastAsia"/>
          <w:lang w:eastAsia="zh-CN"/>
        </w:rPr>
        <w:t>图1</w:t>
      </w:r>
      <w:r>
        <w:rPr>
          <w:lang w:eastAsia="zh-CN"/>
        </w:rPr>
        <w:t>3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23215E31">
      <w:pPr>
        <w:ind w:firstLine="480" w:firstLineChars="200"/>
        <w:jc w:val="both"/>
        <w:rPr>
          <w:sz w:val="22"/>
          <w:lang w:eastAsia="zh-CN"/>
        </w:rPr>
      </w:pPr>
      <w:r>
        <w:rPr>
          <w:lang w:eastAsia="zh-CN"/>
        </w:rPr>
        <w:t>从区域分布特征看，不同区域碳排放效率仍存在明显差异。整体上，东部地区碳排放效率相对较高，说明其在产业升级、技术创新和资源配置方面具有一定优势；中部、西部和东北地区整体效率水平相对偏低，但区域内部表现并不完全一致。其中，西部地区虽然整体中位水平不高，但仍存在少数效率表现较突出的省份，说明其内部差异相对更为复杂；东北地区整体波动相对较小，效率分布较为集中。总体来看，区域差异不仅表现为不同区域之间的水平差距，也反映出各区域内部绿色发展能力并不均衡。</w:t>
      </w:r>
    </w:p>
    <w:p w14:paraId="272AF717">
      <w:pPr>
        <w:pStyle w:val="4"/>
        <w:jc w:val="both"/>
        <w:rPr>
          <w:rFonts w:ascii="楷体" w:hAnsi="楷体"/>
          <w:color w:val="auto"/>
          <w:lang w:eastAsia="zh-CN"/>
        </w:rPr>
      </w:pPr>
      <w:bookmarkStart w:id="41" w:name="_Toc8721"/>
      <w:r>
        <w:rPr>
          <w:rFonts w:ascii="楷体" w:hAnsi="楷体"/>
          <w:color w:val="auto"/>
          <w:lang w:eastAsia="zh-CN"/>
        </w:rPr>
        <w:t>（</w:t>
      </w:r>
      <w:r>
        <w:rPr>
          <w:rFonts w:hint="eastAsia" w:ascii="楷体" w:hAnsi="楷体"/>
          <w:color w:val="auto"/>
          <w:lang w:eastAsia="zh-CN"/>
        </w:rPr>
        <w:t>二</w:t>
      </w:r>
      <w:r>
        <w:rPr>
          <w:rFonts w:ascii="楷体" w:hAnsi="楷体"/>
          <w:color w:val="auto"/>
          <w:lang w:eastAsia="zh-CN"/>
        </w:rPr>
        <w:t>）动态演进特征分析</w:t>
      </w:r>
      <w:bookmarkEnd w:id="41"/>
    </w:p>
    <w:p w14:paraId="3655FFB4">
      <w:pPr>
        <w:spacing w:after="0" w:line="480" w:lineRule="exact"/>
        <w:ind w:firstLine="480" w:firstLineChars="200"/>
        <w:jc w:val="both"/>
        <w:rPr>
          <w:rFonts w:cs="Times New Roman"/>
          <w:lang w:eastAsia="zh-CN"/>
        </w:rPr>
      </w:pPr>
      <w:r>
        <w:rPr>
          <w:rStyle w:val="144"/>
          <w:rFonts w:cs="Times New Roman"/>
          <w:sz w:val="24"/>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1C3F67C5">
      <w:pPr>
        <w:spacing w:after="0" w:line="480" w:lineRule="exact"/>
        <w:ind w:firstLine="480" w:firstLineChars="200"/>
        <w:jc w:val="both"/>
        <w:rPr>
          <w:rFonts w:cs="Times New Roman"/>
          <w:lang w:eastAsia="zh-CN"/>
        </w:rPr>
      </w:pPr>
      <w:r>
        <w:rPr>
          <w:rFonts w:cs="Times New Roman"/>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477CC011">
      <w:pPr>
        <w:spacing w:after="0" w:line="480" w:lineRule="exact"/>
        <w:ind w:firstLine="480" w:firstLineChars="200"/>
        <w:jc w:val="center"/>
      </w:pPr>
      <w:r>
        <w:t xml:space="preserve">表 </w:t>
      </w:r>
      <w:r>
        <w:fldChar w:fldCharType="begin"/>
      </w:r>
      <w:r>
        <w:instrText xml:space="preserve"> SEQ 表 \* ARABIC </w:instrText>
      </w:r>
      <w:r>
        <w:fldChar w:fldCharType="separate"/>
      </w:r>
      <w:r>
        <w:t>6</w:t>
      </w:r>
      <w:r>
        <w:fldChar w:fldCharType="end"/>
      </w:r>
      <w:bookmarkStart w:id="42" w:name="_Toc5255"/>
      <w:r>
        <w:rPr>
          <w:rFonts w:hint="eastAsia"/>
          <w:lang w:eastAsia="zh-CN"/>
        </w:rPr>
        <w:t xml:space="preserve"> </w:t>
      </w:r>
      <w:r>
        <w:t>Malmquist 指数年度均值</w:t>
      </w:r>
      <w:bookmarkEnd w:id="42"/>
    </w:p>
    <w:tbl>
      <w:tblPr>
        <w:tblStyle w:val="40"/>
        <w:tblW w:w="4949" w:type="pct"/>
        <w:tblInd w:w="0" w:type="dxa"/>
        <w:tblLayout w:type="autofit"/>
        <w:tblCellMar>
          <w:top w:w="17" w:type="dxa"/>
          <w:left w:w="17" w:type="dxa"/>
          <w:bottom w:w="17" w:type="dxa"/>
          <w:right w:w="17" w:type="dxa"/>
        </w:tblCellMar>
      </w:tblPr>
      <w:tblGrid>
        <w:gridCol w:w="2824"/>
        <w:gridCol w:w="1471"/>
        <w:gridCol w:w="2076"/>
        <w:gridCol w:w="2220"/>
      </w:tblGrid>
      <w:tr w14:paraId="2417A633">
        <w:tblPrEx>
          <w:tblCellMar>
            <w:top w:w="17" w:type="dxa"/>
            <w:left w:w="17" w:type="dxa"/>
            <w:bottom w:w="17" w:type="dxa"/>
            <w:right w:w="17" w:type="dxa"/>
          </w:tblCellMar>
        </w:tblPrEx>
        <w:trPr>
          <w:trHeight w:val="162" w:hRule="atLeast"/>
          <w:tblHeader/>
        </w:trPr>
        <w:tc>
          <w:tcPr>
            <w:tcW w:w="1644" w:type="pct"/>
            <w:tcBorders>
              <w:top w:val="single" w:color="000000" w:sz="12" w:space="0"/>
              <w:bottom w:val="single" w:color="000000" w:sz="4" w:space="0"/>
              <w:tl2br w:val="nil"/>
            </w:tcBorders>
            <w:shd w:val="clear" w:color="auto" w:fill="FFFFFF"/>
            <w:vAlign w:val="center"/>
          </w:tcPr>
          <w:p w14:paraId="17E11B4E">
            <w:pPr>
              <w:spacing w:after="0" w:line="240" w:lineRule="auto"/>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31E12B9F">
            <w:pPr>
              <w:spacing w:after="0" w:line="240" w:lineRule="auto"/>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265333A7">
            <w:pPr>
              <w:spacing w:after="0" w:line="240" w:lineRule="auto"/>
              <w:jc w:val="center"/>
              <w:rPr>
                <w:color w:val="000000"/>
                <w:lang w:eastAsia="zh-CN"/>
              </w:rPr>
            </w:pPr>
            <w:r>
              <w:rPr>
                <w:rFonts w:hint="eastAsia"/>
                <w:color w:val="000000"/>
                <w:lang w:eastAsia="zh-CN"/>
              </w:rPr>
              <w:t>效率变化（effch）</w:t>
            </w:r>
          </w:p>
        </w:tc>
        <w:tc>
          <w:tcPr>
            <w:tcW w:w="1292" w:type="pct"/>
            <w:tcBorders>
              <w:top w:val="single" w:color="000000" w:sz="12" w:space="0"/>
              <w:bottom w:val="single" w:color="000000" w:sz="4" w:space="0"/>
            </w:tcBorders>
            <w:shd w:val="clear" w:color="auto" w:fill="FFFFFF"/>
            <w:vAlign w:val="center"/>
          </w:tcPr>
          <w:p w14:paraId="60F14CAE">
            <w:pPr>
              <w:spacing w:after="0" w:line="240" w:lineRule="auto"/>
              <w:jc w:val="center"/>
              <w:rPr>
                <w:color w:val="000000"/>
                <w:lang w:eastAsia="zh-CN"/>
              </w:rPr>
            </w:pPr>
            <w:r>
              <w:rPr>
                <w:rFonts w:hint="eastAsia"/>
                <w:color w:val="000000"/>
                <w:lang w:eastAsia="zh-CN"/>
              </w:rPr>
              <w:t>技术变化（techch）</w:t>
            </w:r>
          </w:p>
        </w:tc>
      </w:tr>
      <w:tr w14:paraId="07050CA7">
        <w:tblPrEx>
          <w:tblCellMar>
            <w:top w:w="17" w:type="dxa"/>
            <w:left w:w="17" w:type="dxa"/>
            <w:bottom w:w="17" w:type="dxa"/>
            <w:right w:w="17" w:type="dxa"/>
          </w:tblCellMar>
        </w:tblPrEx>
        <w:trPr>
          <w:trHeight w:val="410" w:hRule="atLeast"/>
        </w:trPr>
        <w:tc>
          <w:tcPr>
            <w:tcW w:w="1644" w:type="pct"/>
            <w:tcBorders>
              <w:top w:val="single" w:color="000000" w:sz="4" w:space="0"/>
            </w:tcBorders>
            <w:shd w:val="clear" w:color="auto" w:fill="FFFFFF"/>
            <w:vAlign w:val="center"/>
          </w:tcPr>
          <w:p w14:paraId="3A4FB716">
            <w:pPr>
              <w:spacing w:after="0" w:line="240" w:lineRule="auto"/>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1F2FA88D">
            <w:pPr>
              <w:spacing w:after="0" w:line="240" w:lineRule="auto"/>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0261EFBC">
            <w:pPr>
              <w:spacing w:after="0" w:line="240" w:lineRule="auto"/>
              <w:jc w:val="center"/>
              <w:rPr>
                <w:color w:val="000000"/>
                <w:lang w:eastAsia="zh-CN"/>
              </w:rPr>
            </w:pPr>
            <w:r>
              <w:rPr>
                <w:rFonts w:hint="eastAsia"/>
                <w:color w:val="000000"/>
                <w:lang w:eastAsia="zh-CN"/>
              </w:rPr>
              <w:t>1.0404</w:t>
            </w:r>
          </w:p>
        </w:tc>
        <w:tc>
          <w:tcPr>
            <w:tcW w:w="1292" w:type="pct"/>
            <w:tcBorders>
              <w:top w:val="single" w:color="000000" w:sz="4" w:space="0"/>
            </w:tcBorders>
            <w:shd w:val="clear" w:color="auto" w:fill="FFFFFF"/>
            <w:vAlign w:val="center"/>
          </w:tcPr>
          <w:p w14:paraId="0236AFDB">
            <w:pPr>
              <w:spacing w:after="0" w:line="240" w:lineRule="auto"/>
              <w:jc w:val="center"/>
              <w:rPr>
                <w:color w:val="000000"/>
                <w:lang w:eastAsia="zh-CN"/>
              </w:rPr>
            </w:pPr>
            <w:r>
              <w:rPr>
                <w:rFonts w:hint="eastAsia"/>
                <w:color w:val="000000"/>
                <w:lang w:eastAsia="zh-CN"/>
              </w:rPr>
              <w:t>0.9698</w:t>
            </w:r>
          </w:p>
        </w:tc>
      </w:tr>
      <w:tr w14:paraId="4C3B7AFE">
        <w:tblPrEx>
          <w:tblCellMar>
            <w:top w:w="17" w:type="dxa"/>
            <w:left w:w="17" w:type="dxa"/>
            <w:bottom w:w="17" w:type="dxa"/>
            <w:right w:w="17" w:type="dxa"/>
          </w:tblCellMar>
        </w:tblPrEx>
        <w:trPr>
          <w:trHeight w:val="410" w:hRule="atLeast"/>
        </w:trPr>
        <w:tc>
          <w:tcPr>
            <w:tcW w:w="1644" w:type="pct"/>
            <w:shd w:val="clear" w:color="auto" w:fill="FFFFFF"/>
            <w:vAlign w:val="center"/>
          </w:tcPr>
          <w:p w14:paraId="67C30D98">
            <w:pPr>
              <w:spacing w:after="0" w:line="240" w:lineRule="auto"/>
              <w:jc w:val="center"/>
              <w:rPr>
                <w:color w:val="000000"/>
                <w:lang w:eastAsia="zh-CN"/>
              </w:rPr>
            </w:pPr>
            <w:r>
              <w:rPr>
                <w:rFonts w:hint="eastAsia"/>
                <w:color w:val="000000"/>
                <w:lang w:eastAsia="zh-CN"/>
              </w:rPr>
              <w:t>2016–2017</w:t>
            </w:r>
          </w:p>
        </w:tc>
        <w:tc>
          <w:tcPr>
            <w:tcW w:w="856" w:type="pct"/>
            <w:shd w:val="clear" w:color="auto" w:fill="FFFFFF"/>
            <w:vAlign w:val="center"/>
          </w:tcPr>
          <w:p w14:paraId="40ED7BDF">
            <w:pPr>
              <w:spacing w:after="0" w:line="240" w:lineRule="auto"/>
              <w:jc w:val="center"/>
              <w:rPr>
                <w:color w:val="000000"/>
                <w:lang w:eastAsia="zh-CN"/>
              </w:rPr>
            </w:pPr>
            <w:r>
              <w:rPr>
                <w:rFonts w:hint="eastAsia"/>
                <w:color w:val="000000"/>
                <w:lang w:eastAsia="zh-CN"/>
              </w:rPr>
              <w:t>1.0147</w:t>
            </w:r>
          </w:p>
        </w:tc>
        <w:tc>
          <w:tcPr>
            <w:tcW w:w="1208" w:type="pct"/>
            <w:shd w:val="clear" w:color="auto" w:fill="FFFFFF"/>
            <w:vAlign w:val="center"/>
          </w:tcPr>
          <w:p w14:paraId="71B5E0BE">
            <w:pPr>
              <w:spacing w:after="0" w:line="240" w:lineRule="auto"/>
              <w:jc w:val="center"/>
              <w:rPr>
                <w:color w:val="000000"/>
                <w:lang w:eastAsia="zh-CN"/>
              </w:rPr>
            </w:pPr>
            <w:r>
              <w:rPr>
                <w:rFonts w:hint="eastAsia"/>
                <w:color w:val="000000"/>
                <w:lang w:eastAsia="zh-CN"/>
              </w:rPr>
              <w:t>0.9875</w:t>
            </w:r>
          </w:p>
        </w:tc>
        <w:tc>
          <w:tcPr>
            <w:tcW w:w="1292" w:type="pct"/>
            <w:shd w:val="clear" w:color="auto" w:fill="FFFFFF"/>
            <w:vAlign w:val="center"/>
          </w:tcPr>
          <w:p w14:paraId="697BC4D8">
            <w:pPr>
              <w:spacing w:after="0" w:line="240" w:lineRule="auto"/>
              <w:jc w:val="center"/>
              <w:rPr>
                <w:color w:val="000000"/>
                <w:lang w:eastAsia="zh-CN"/>
              </w:rPr>
            </w:pPr>
            <w:r>
              <w:rPr>
                <w:rFonts w:hint="eastAsia"/>
                <w:color w:val="000000"/>
                <w:lang w:eastAsia="zh-CN"/>
              </w:rPr>
              <w:t>1.0558</w:t>
            </w:r>
          </w:p>
        </w:tc>
      </w:tr>
      <w:tr w14:paraId="2EE677CE">
        <w:tblPrEx>
          <w:tblCellMar>
            <w:top w:w="17" w:type="dxa"/>
            <w:left w:w="17" w:type="dxa"/>
            <w:bottom w:w="17" w:type="dxa"/>
            <w:right w:w="17" w:type="dxa"/>
          </w:tblCellMar>
        </w:tblPrEx>
        <w:trPr>
          <w:trHeight w:val="410" w:hRule="atLeast"/>
        </w:trPr>
        <w:tc>
          <w:tcPr>
            <w:tcW w:w="1644" w:type="pct"/>
            <w:shd w:val="clear" w:color="auto" w:fill="FFFFFF"/>
            <w:vAlign w:val="center"/>
          </w:tcPr>
          <w:p w14:paraId="20EA4B07">
            <w:pPr>
              <w:spacing w:after="0" w:line="240" w:lineRule="auto"/>
              <w:jc w:val="center"/>
              <w:rPr>
                <w:color w:val="000000"/>
                <w:lang w:eastAsia="zh-CN"/>
              </w:rPr>
            </w:pPr>
            <w:r>
              <w:rPr>
                <w:rFonts w:hint="eastAsia"/>
                <w:color w:val="000000"/>
                <w:lang w:eastAsia="zh-CN"/>
              </w:rPr>
              <w:t>2017–2018</w:t>
            </w:r>
          </w:p>
        </w:tc>
        <w:tc>
          <w:tcPr>
            <w:tcW w:w="856" w:type="pct"/>
            <w:shd w:val="clear" w:color="auto" w:fill="FFFFFF"/>
            <w:vAlign w:val="center"/>
          </w:tcPr>
          <w:p w14:paraId="574CFC78">
            <w:pPr>
              <w:spacing w:after="0" w:line="240" w:lineRule="auto"/>
              <w:jc w:val="center"/>
              <w:rPr>
                <w:color w:val="000000"/>
                <w:lang w:eastAsia="zh-CN"/>
              </w:rPr>
            </w:pPr>
            <w:r>
              <w:rPr>
                <w:rFonts w:hint="eastAsia"/>
                <w:color w:val="000000"/>
                <w:lang w:eastAsia="zh-CN"/>
              </w:rPr>
              <w:t>1.0465</w:t>
            </w:r>
          </w:p>
        </w:tc>
        <w:tc>
          <w:tcPr>
            <w:tcW w:w="1208" w:type="pct"/>
            <w:shd w:val="clear" w:color="auto" w:fill="FFFFFF"/>
            <w:vAlign w:val="center"/>
          </w:tcPr>
          <w:p w14:paraId="3F7E78E3">
            <w:pPr>
              <w:spacing w:after="0" w:line="240" w:lineRule="auto"/>
              <w:jc w:val="center"/>
              <w:rPr>
                <w:color w:val="000000"/>
                <w:lang w:eastAsia="zh-CN"/>
              </w:rPr>
            </w:pPr>
            <w:r>
              <w:rPr>
                <w:rFonts w:hint="eastAsia"/>
                <w:color w:val="000000"/>
                <w:lang w:eastAsia="zh-CN"/>
              </w:rPr>
              <w:t>0.9834</w:t>
            </w:r>
          </w:p>
        </w:tc>
        <w:tc>
          <w:tcPr>
            <w:tcW w:w="1292" w:type="pct"/>
            <w:shd w:val="clear" w:color="auto" w:fill="FFFFFF"/>
            <w:vAlign w:val="center"/>
          </w:tcPr>
          <w:p w14:paraId="71F06884">
            <w:pPr>
              <w:spacing w:after="0" w:line="240" w:lineRule="auto"/>
              <w:jc w:val="center"/>
              <w:rPr>
                <w:color w:val="000000"/>
                <w:lang w:eastAsia="zh-CN"/>
              </w:rPr>
            </w:pPr>
            <w:r>
              <w:rPr>
                <w:rFonts w:hint="eastAsia"/>
                <w:color w:val="000000"/>
                <w:lang w:eastAsia="zh-CN"/>
              </w:rPr>
              <w:t>1.0849</w:t>
            </w:r>
          </w:p>
        </w:tc>
      </w:tr>
      <w:tr w14:paraId="614B882E">
        <w:tblPrEx>
          <w:tblCellMar>
            <w:top w:w="17" w:type="dxa"/>
            <w:left w:w="17" w:type="dxa"/>
            <w:bottom w:w="17" w:type="dxa"/>
            <w:right w:w="17" w:type="dxa"/>
          </w:tblCellMar>
        </w:tblPrEx>
        <w:trPr>
          <w:trHeight w:val="410" w:hRule="atLeast"/>
        </w:trPr>
        <w:tc>
          <w:tcPr>
            <w:tcW w:w="1644" w:type="pct"/>
            <w:shd w:val="clear" w:color="auto" w:fill="FFFFFF"/>
            <w:vAlign w:val="center"/>
          </w:tcPr>
          <w:p w14:paraId="5A8EEA62">
            <w:pPr>
              <w:spacing w:after="0" w:line="240" w:lineRule="auto"/>
              <w:jc w:val="center"/>
              <w:rPr>
                <w:color w:val="000000"/>
                <w:lang w:eastAsia="zh-CN"/>
              </w:rPr>
            </w:pPr>
            <w:r>
              <w:rPr>
                <w:rFonts w:hint="eastAsia"/>
                <w:color w:val="000000"/>
                <w:lang w:eastAsia="zh-CN"/>
              </w:rPr>
              <w:t>2018–2019</w:t>
            </w:r>
          </w:p>
        </w:tc>
        <w:tc>
          <w:tcPr>
            <w:tcW w:w="856" w:type="pct"/>
            <w:shd w:val="clear" w:color="auto" w:fill="FFFFFF"/>
            <w:vAlign w:val="center"/>
          </w:tcPr>
          <w:p w14:paraId="37C2958F">
            <w:pPr>
              <w:spacing w:after="0" w:line="240" w:lineRule="auto"/>
              <w:jc w:val="center"/>
              <w:rPr>
                <w:color w:val="000000"/>
                <w:lang w:eastAsia="zh-CN"/>
              </w:rPr>
            </w:pPr>
            <w:r>
              <w:rPr>
                <w:rFonts w:hint="eastAsia"/>
                <w:color w:val="000000"/>
                <w:lang w:eastAsia="zh-CN"/>
              </w:rPr>
              <w:t>1.0392</w:t>
            </w:r>
          </w:p>
        </w:tc>
        <w:tc>
          <w:tcPr>
            <w:tcW w:w="1208" w:type="pct"/>
            <w:shd w:val="clear" w:color="auto" w:fill="FFFFFF"/>
            <w:vAlign w:val="center"/>
          </w:tcPr>
          <w:p w14:paraId="3EF04E44">
            <w:pPr>
              <w:spacing w:after="0" w:line="240" w:lineRule="auto"/>
              <w:jc w:val="center"/>
              <w:rPr>
                <w:color w:val="000000"/>
                <w:lang w:eastAsia="zh-CN"/>
              </w:rPr>
            </w:pPr>
            <w:r>
              <w:rPr>
                <w:rFonts w:hint="eastAsia"/>
                <w:color w:val="000000"/>
                <w:lang w:eastAsia="zh-CN"/>
              </w:rPr>
              <w:t>0.9844</w:t>
            </w:r>
          </w:p>
        </w:tc>
        <w:tc>
          <w:tcPr>
            <w:tcW w:w="1292" w:type="pct"/>
            <w:shd w:val="clear" w:color="auto" w:fill="FFFFFF"/>
            <w:vAlign w:val="center"/>
          </w:tcPr>
          <w:p w14:paraId="23F74CD7">
            <w:pPr>
              <w:spacing w:after="0" w:line="240" w:lineRule="auto"/>
              <w:jc w:val="center"/>
              <w:rPr>
                <w:color w:val="000000"/>
                <w:lang w:eastAsia="zh-CN"/>
              </w:rPr>
            </w:pPr>
            <w:r>
              <w:rPr>
                <w:rFonts w:hint="eastAsia"/>
                <w:color w:val="000000"/>
                <w:lang w:eastAsia="zh-CN"/>
              </w:rPr>
              <w:t>1.0602</w:t>
            </w:r>
          </w:p>
        </w:tc>
      </w:tr>
      <w:tr w14:paraId="275208B3">
        <w:tblPrEx>
          <w:tblCellMar>
            <w:top w:w="17" w:type="dxa"/>
            <w:left w:w="17" w:type="dxa"/>
            <w:bottom w:w="17" w:type="dxa"/>
            <w:right w:w="17" w:type="dxa"/>
          </w:tblCellMar>
        </w:tblPrEx>
        <w:trPr>
          <w:trHeight w:val="410" w:hRule="atLeast"/>
        </w:trPr>
        <w:tc>
          <w:tcPr>
            <w:tcW w:w="1644" w:type="pct"/>
            <w:shd w:val="clear" w:color="auto" w:fill="FFFFFF"/>
            <w:vAlign w:val="center"/>
          </w:tcPr>
          <w:p w14:paraId="29B42FC5">
            <w:pPr>
              <w:spacing w:after="0" w:line="240" w:lineRule="auto"/>
              <w:jc w:val="center"/>
              <w:rPr>
                <w:color w:val="000000"/>
                <w:lang w:eastAsia="zh-CN"/>
              </w:rPr>
            </w:pPr>
            <w:r>
              <w:rPr>
                <w:rFonts w:hint="eastAsia"/>
                <w:color w:val="000000"/>
                <w:lang w:eastAsia="zh-CN"/>
              </w:rPr>
              <w:t>2019–2020</w:t>
            </w:r>
          </w:p>
        </w:tc>
        <w:tc>
          <w:tcPr>
            <w:tcW w:w="856" w:type="pct"/>
            <w:shd w:val="clear" w:color="auto" w:fill="FFFFFF"/>
            <w:vAlign w:val="center"/>
          </w:tcPr>
          <w:p w14:paraId="009950FE">
            <w:pPr>
              <w:spacing w:after="0" w:line="240" w:lineRule="auto"/>
              <w:jc w:val="center"/>
              <w:rPr>
                <w:color w:val="000000"/>
                <w:lang w:eastAsia="zh-CN"/>
              </w:rPr>
            </w:pPr>
            <w:r>
              <w:rPr>
                <w:rFonts w:hint="eastAsia"/>
                <w:color w:val="000000"/>
                <w:lang w:eastAsia="zh-CN"/>
              </w:rPr>
              <w:t>1.0082</w:t>
            </w:r>
          </w:p>
        </w:tc>
        <w:tc>
          <w:tcPr>
            <w:tcW w:w="1208" w:type="pct"/>
            <w:shd w:val="clear" w:color="auto" w:fill="FFFFFF"/>
            <w:vAlign w:val="center"/>
          </w:tcPr>
          <w:p w14:paraId="14C4CB23">
            <w:pPr>
              <w:spacing w:after="0" w:line="240" w:lineRule="auto"/>
              <w:jc w:val="center"/>
              <w:rPr>
                <w:color w:val="000000"/>
                <w:lang w:eastAsia="zh-CN"/>
              </w:rPr>
            </w:pPr>
            <w:r>
              <w:rPr>
                <w:rFonts w:hint="eastAsia"/>
                <w:color w:val="000000"/>
                <w:lang w:eastAsia="zh-CN"/>
              </w:rPr>
              <w:t>1.0087</w:t>
            </w:r>
          </w:p>
        </w:tc>
        <w:tc>
          <w:tcPr>
            <w:tcW w:w="1292" w:type="pct"/>
            <w:shd w:val="clear" w:color="auto" w:fill="FFFFFF"/>
            <w:vAlign w:val="center"/>
          </w:tcPr>
          <w:p w14:paraId="5CB1AD4B">
            <w:pPr>
              <w:spacing w:after="0" w:line="240" w:lineRule="auto"/>
              <w:jc w:val="center"/>
              <w:rPr>
                <w:color w:val="000000"/>
                <w:lang w:eastAsia="zh-CN"/>
              </w:rPr>
            </w:pPr>
            <w:r>
              <w:rPr>
                <w:rFonts w:hint="eastAsia"/>
                <w:color w:val="000000"/>
                <w:lang w:eastAsia="zh-CN"/>
              </w:rPr>
              <w:t>1.0108</w:t>
            </w:r>
          </w:p>
        </w:tc>
      </w:tr>
      <w:tr w14:paraId="1963D075">
        <w:tblPrEx>
          <w:tblCellMar>
            <w:top w:w="17" w:type="dxa"/>
            <w:left w:w="17" w:type="dxa"/>
            <w:bottom w:w="17" w:type="dxa"/>
            <w:right w:w="17" w:type="dxa"/>
          </w:tblCellMar>
        </w:tblPrEx>
        <w:trPr>
          <w:trHeight w:val="410" w:hRule="atLeast"/>
        </w:trPr>
        <w:tc>
          <w:tcPr>
            <w:tcW w:w="1644" w:type="pct"/>
            <w:shd w:val="clear" w:color="auto" w:fill="FFFFFF"/>
            <w:vAlign w:val="center"/>
          </w:tcPr>
          <w:p w14:paraId="11249325">
            <w:pPr>
              <w:spacing w:after="0" w:line="240" w:lineRule="auto"/>
              <w:jc w:val="center"/>
              <w:rPr>
                <w:color w:val="000000"/>
                <w:lang w:eastAsia="zh-CN"/>
              </w:rPr>
            </w:pPr>
            <w:r>
              <w:rPr>
                <w:rFonts w:hint="eastAsia"/>
                <w:color w:val="000000"/>
                <w:lang w:eastAsia="zh-CN"/>
              </w:rPr>
              <w:t>2020–2021</w:t>
            </w:r>
          </w:p>
        </w:tc>
        <w:tc>
          <w:tcPr>
            <w:tcW w:w="856" w:type="pct"/>
            <w:shd w:val="clear" w:color="auto" w:fill="FFFFFF"/>
            <w:vAlign w:val="center"/>
          </w:tcPr>
          <w:p w14:paraId="432DBD4B">
            <w:pPr>
              <w:spacing w:after="0" w:line="240" w:lineRule="auto"/>
              <w:jc w:val="center"/>
              <w:rPr>
                <w:color w:val="000000"/>
                <w:lang w:eastAsia="zh-CN"/>
              </w:rPr>
            </w:pPr>
            <w:r>
              <w:rPr>
                <w:rFonts w:hint="eastAsia"/>
                <w:color w:val="000000"/>
                <w:lang w:eastAsia="zh-CN"/>
              </w:rPr>
              <w:t>1.0393</w:t>
            </w:r>
          </w:p>
        </w:tc>
        <w:tc>
          <w:tcPr>
            <w:tcW w:w="1208" w:type="pct"/>
            <w:shd w:val="clear" w:color="auto" w:fill="FFFFFF"/>
            <w:vAlign w:val="center"/>
          </w:tcPr>
          <w:p w14:paraId="4CC3D1B1">
            <w:pPr>
              <w:spacing w:after="0" w:line="240" w:lineRule="auto"/>
              <w:jc w:val="center"/>
              <w:rPr>
                <w:color w:val="000000"/>
                <w:lang w:eastAsia="zh-CN"/>
              </w:rPr>
            </w:pPr>
            <w:r>
              <w:rPr>
                <w:rFonts w:hint="eastAsia"/>
                <w:color w:val="000000"/>
                <w:lang w:eastAsia="zh-CN"/>
              </w:rPr>
              <w:t>1.0288</w:t>
            </w:r>
          </w:p>
        </w:tc>
        <w:tc>
          <w:tcPr>
            <w:tcW w:w="1292" w:type="pct"/>
            <w:shd w:val="clear" w:color="auto" w:fill="FFFFFF"/>
            <w:vAlign w:val="center"/>
          </w:tcPr>
          <w:p w14:paraId="0F505F47">
            <w:pPr>
              <w:spacing w:after="0" w:line="240" w:lineRule="auto"/>
              <w:jc w:val="center"/>
              <w:rPr>
                <w:color w:val="000000"/>
                <w:lang w:eastAsia="zh-CN"/>
              </w:rPr>
            </w:pPr>
            <w:r>
              <w:rPr>
                <w:rFonts w:hint="eastAsia"/>
                <w:color w:val="000000"/>
                <w:lang w:eastAsia="zh-CN"/>
              </w:rPr>
              <w:t>1.0150</w:t>
            </w:r>
          </w:p>
        </w:tc>
      </w:tr>
      <w:tr w14:paraId="06A97625">
        <w:tblPrEx>
          <w:tblCellMar>
            <w:top w:w="17" w:type="dxa"/>
            <w:left w:w="17" w:type="dxa"/>
            <w:bottom w:w="17" w:type="dxa"/>
            <w:right w:w="17" w:type="dxa"/>
          </w:tblCellMar>
        </w:tblPrEx>
        <w:trPr>
          <w:trHeight w:val="410" w:hRule="atLeast"/>
        </w:trPr>
        <w:tc>
          <w:tcPr>
            <w:tcW w:w="1644" w:type="pct"/>
            <w:shd w:val="clear" w:color="auto" w:fill="FFFFFF"/>
            <w:vAlign w:val="center"/>
          </w:tcPr>
          <w:p w14:paraId="2540CBAF">
            <w:pPr>
              <w:spacing w:after="0" w:line="240" w:lineRule="auto"/>
              <w:jc w:val="center"/>
              <w:rPr>
                <w:color w:val="000000"/>
                <w:lang w:eastAsia="zh-CN"/>
              </w:rPr>
            </w:pPr>
            <w:r>
              <w:rPr>
                <w:rFonts w:hint="eastAsia"/>
                <w:color w:val="000000"/>
                <w:lang w:eastAsia="zh-CN"/>
              </w:rPr>
              <w:t>2021–2022</w:t>
            </w:r>
          </w:p>
        </w:tc>
        <w:tc>
          <w:tcPr>
            <w:tcW w:w="856" w:type="pct"/>
            <w:shd w:val="clear" w:color="auto" w:fill="FFFFFF"/>
            <w:vAlign w:val="center"/>
          </w:tcPr>
          <w:p w14:paraId="41D2AE5F">
            <w:pPr>
              <w:spacing w:after="0" w:line="240" w:lineRule="auto"/>
              <w:jc w:val="center"/>
              <w:rPr>
                <w:color w:val="000000"/>
                <w:lang w:eastAsia="zh-CN"/>
              </w:rPr>
            </w:pPr>
            <w:r>
              <w:rPr>
                <w:rFonts w:hint="eastAsia"/>
                <w:color w:val="000000"/>
                <w:lang w:eastAsia="zh-CN"/>
              </w:rPr>
              <w:t>1.0256</w:t>
            </w:r>
          </w:p>
        </w:tc>
        <w:tc>
          <w:tcPr>
            <w:tcW w:w="1208" w:type="pct"/>
            <w:shd w:val="clear" w:color="auto" w:fill="FFFFFF"/>
            <w:vAlign w:val="center"/>
          </w:tcPr>
          <w:p w14:paraId="4A785C63">
            <w:pPr>
              <w:spacing w:after="0" w:line="240" w:lineRule="auto"/>
              <w:jc w:val="center"/>
              <w:rPr>
                <w:color w:val="000000"/>
                <w:lang w:eastAsia="zh-CN"/>
              </w:rPr>
            </w:pPr>
            <w:r>
              <w:rPr>
                <w:rFonts w:hint="eastAsia"/>
                <w:color w:val="000000"/>
                <w:lang w:eastAsia="zh-CN"/>
              </w:rPr>
              <w:t>0.9732</w:t>
            </w:r>
          </w:p>
        </w:tc>
        <w:tc>
          <w:tcPr>
            <w:tcW w:w="1292" w:type="pct"/>
            <w:shd w:val="clear" w:color="auto" w:fill="FFFFFF"/>
            <w:vAlign w:val="center"/>
          </w:tcPr>
          <w:p w14:paraId="067D0EB2">
            <w:pPr>
              <w:spacing w:after="0" w:line="240" w:lineRule="auto"/>
              <w:jc w:val="center"/>
              <w:rPr>
                <w:color w:val="000000"/>
                <w:lang w:eastAsia="zh-CN"/>
              </w:rPr>
            </w:pPr>
            <w:r>
              <w:rPr>
                <w:rFonts w:hint="eastAsia"/>
                <w:color w:val="000000"/>
                <w:lang w:eastAsia="zh-CN"/>
              </w:rPr>
              <w:t>1.0569</w:t>
            </w:r>
          </w:p>
        </w:tc>
      </w:tr>
      <w:tr w14:paraId="6B78C468">
        <w:tblPrEx>
          <w:tblCellMar>
            <w:top w:w="17" w:type="dxa"/>
            <w:left w:w="17" w:type="dxa"/>
            <w:bottom w:w="17" w:type="dxa"/>
            <w:right w:w="17" w:type="dxa"/>
          </w:tblCellMar>
        </w:tblPrEx>
        <w:trPr>
          <w:trHeight w:val="410" w:hRule="atLeast"/>
        </w:trPr>
        <w:tc>
          <w:tcPr>
            <w:tcW w:w="1644" w:type="pct"/>
            <w:tcBorders>
              <w:bottom w:val="single" w:color="000000" w:sz="12" w:space="0"/>
            </w:tcBorders>
            <w:shd w:val="clear" w:color="auto" w:fill="FFFFFF"/>
            <w:vAlign w:val="center"/>
          </w:tcPr>
          <w:p w14:paraId="2E2614C0">
            <w:pPr>
              <w:spacing w:after="0" w:line="240" w:lineRule="auto"/>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05F6E325">
            <w:pPr>
              <w:spacing w:after="0" w:line="240" w:lineRule="auto"/>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6B74AA4D">
            <w:pPr>
              <w:spacing w:after="0" w:line="240" w:lineRule="auto"/>
              <w:jc w:val="center"/>
              <w:rPr>
                <w:color w:val="000000"/>
                <w:lang w:eastAsia="zh-CN"/>
              </w:rPr>
            </w:pPr>
            <w:r>
              <w:rPr>
                <w:rFonts w:hint="eastAsia"/>
                <w:color w:val="000000"/>
                <w:lang w:eastAsia="zh-CN"/>
              </w:rPr>
              <w:t>1.0009</w:t>
            </w:r>
          </w:p>
        </w:tc>
        <w:tc>
          <w:tcPr>
            <w:tcW w:w="1292" w:type="pct"/>
            <w:tcBorders>
              <w:bottom w:val="single" w:color="000000" w:sz="12" w:space="0"/>
            </w:tcBorders>
            <w:shd w:val="clear" w:color="auto" w:fill="FFFFFF"/>
            <w:vAlign w:val="center"/>
          </w:tcPr>
          <w:p w14:paraId="75B63E16">
            <w:pPr>
              <w:spacing w:after="0" w:line="240" w:lineRule="auto"/>
              <w:jc w:val="center"/>
              <w:rPr>
                <w:color w:val="000000"/>
                <w:lang w:eastAsia="zh-CN"/>
              </w:rPr>
            </w:pPr>
            <w:r>
              <w:rPr>
                <w:rFonts w:hint="eastAsia"/>
                <w:color w:val="000000"/>
                <w:lang w:eastAsia="zh-CN"/>
              </w:rPr>
              <w:t>1.0362</w:t>
            </w:r>
          </w:p>
        </w:tc>
      </w:tr>
    </w:tbl>
    <w:p w14:paraId="1313B1B6">
      <w:pPr>
        <w:spacing w:before="120" w:beforeLines="50"/>
        <w:jc w:val="center"/>
        <w:rPr>
          <w:lang w:eastAsia="zh-CN"/>
        </w:rPr>
      </w:pPr>
      <w:r>
        <w:rPr>
          <w:rFonts w:hint="eastAsia"/>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cstate="hqprint"/>
                    <a:stretch>
                      <a:fillRect/>
                    </a:stretch>
                  </pic:blipFill>
                  <pic:spPr>
                    <a:xfrm>
                      <a:off x="0" y="0"/>
                      <a:ext cx="5486400" cy="3141345"/>
                    </a:xfrm>
                    <a:prstGeom prst="rect">
                      <a:avLst/>
                    </a:prstGeom>
                  </pic:spPr>
                </pic:pic>
              </a:graphicData>
            </a:graphic>
          </wp:inline>
        </w:drawing>
      </w:r>
    </w:p>
    <w:p w14:paraId="75954431">
      <w:pPr>
        <w:pStyle w:val="15"/>
        <w:spacing w:before="120" w:beforeLines="50"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13</w:t>
      </w:r>
      <w:r>
        <w:fldChar w:fldCharType="end"/>
      </w:r>
      <w:bookmarkStart w:id="43" w:name="_Toc26175"/>
      <w:r>
        <w:rPr>
          <w:rFonts w:hint="eastAsia"/>
          <w:lang w:eastAsia="zh-CN"/>
        </w:rPr>
        <w:t xml:space="preserve"> Malmquist指数及其分解项年度趋势图</w:t>
      </w:r>
      <w:bookmarkEnd w:id="43"/>
    </w:p>
    <w:p w14:paraId="7A660B07">
      <w:pPr>
        <w:pStyle w:val="4"/>
        <w:jc w:val="both"/>
        <w:rPr>
          <w:rFonts w:ascii="楷体" w:hAnsi="楷体"/>
          <w:color w:val="auto"/>
          <w:lang w:eastAsia="zh-CN"/>
        </w:rPr>
      </w:pPr>
      <w:bookmarkStart w:id="44" w:name="_Toc29636"/>
      <w:r>
        <w:rPr>
          <w:rFonts w:ascii="楷体" w:hAnsi="楷体"/>
          <w:color w:val="auto"/>
          <w:lang w:eastAsia="zh-CN"/>
        </w:rPr>
        <w:t>（</w:t>
      </w:r>
      <w:r>
        <w:rPr>
          <w:rFonts w:hint="eastAsia" w:ascii="楷体" w:hAnsi="楷体"/>
          <w:color w:val="auto"/>
          <w:lang w:eastAsia="zh-CN"/>
        </w:rPr>
        <w:t>三</w:t>
      </w:r>
      <w:r>
        <w:rPr>
          <w:rFonts w:ascii="楷体" w:hAnsi="楷体"/>
          <w:color w:val="auto"/>
          <w:lang w:eastAsia="zh-CN"/>
        </w:rPr>
        <w:t>）效率分解与成因讨论</w:t>
      </w:r>
      <w:bookmarkEnd w:id="44"/>
    </w:p>
    <w:p w14:paraId="37C1F5DE">
      <w:pPr>
        <w:spacing w:after="0" w:line="480" w:lineRule="exact"/>
        <w:ind w:firstLine="480" w:firstLineChars="200"/>
        <w:jc w:val="both"/>
        <w:rPr>
          <w:rFonts w:cs="Times New Roman"/>
          <w:lang w:eastAsia="zh-CN"/>
        </w:rPr>
      </w:pPr>
      <w:r>
        <w:rPr>
          <w:rFonts w:cs="Times New Roman"/>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70215E6">
      <w:pPr>
        <w:spacing w:after="0" w:line="480" w:lineRule="exact"/>
        <w:ind w:firstLine="480" w:firstLineChars="200"/>
        <w:jc w:val="both"/>
        <w:rPr>
          <w:rFonts w:cs="Times New Roman"/>
          <w:sz w:val="22"/>
          <w:lang w:eastAsia="zh-CN"/>
        </w:rPr>
      </w:pPr>
      <w:r>
        <w:rPr>
          <w:rFonts w:cs="Times New Roman"/>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160EE0A3">
      <w:pPr>
        <w:pStyle w:val="3"/>
        <w:jc w:val="both"/>
        <w:rPr>
          <w:color w:val="auto"/>
          <w:szCs w:val="30"/>
          <w:lang w:eastAsia="zh-CN"/>
        </w:rPr>
      </w:pPr>
      <w:bookmarkStart w:id="45" w:name="_Toc28897"/>
      <w:r>
        <w:rPr>
          <w:color w:val="auto"/>
          <w:szCs w:val="30"/>
          <w:lang w:eastAsia="zh-CN"/>
        </w:rPr>
        <w:t>六、</w:t>
      </w:r>
      <w:r>
        <w:rPr>
          <w:rFonts w:hint="eastAsia"/>
          <w:color w:val="auto"/>
          <w:szCs w:val="30"/>
          <w:lang w:eastAsia="zh-CN"/>
        </w:rPr>
        <w:t>夜间灯光强度</w:t>
      </w:r>
      <w:r>
        <w:rPr>
          <w:color w:val="auto"/>
          <w:szCs w:val="30"/>
          <w:lang w:eastAsia="zh-CN"/>
        </w:rPr>
        <w:t>对碳排放效率的影响</w:t>
      </w:r>
      <w:bookmarkEnd w:id="45"/>
    </w:p>
    <w:p w14:paraId="53CC9D03">
      <w:pPr>
        <w:pStyle w:val="4"/>
        <w:jc w:val="both"/>
        <w:rPr>
          <w:rFonts w:ascii="楷体" w:hAnsi="楷体"/>
          <w:color w:val="auto"/>
          <w:lang w:eastAsia="zh-CN"/>
        </w:rPr>
      </w:pPr>
      <w:bookmarkStart w:id="46" w:name="_Toc24790"/>
      <w:r>
        <w:rPr>
          <w:rFonts w:ascii="楷体" w:hAnsi="楷体"/>
          <w:color w:val="auto"/>
          <w:lang w:eastAsia="zh-CN"/>
        </w:rPr>
        <w:t>（一）基准模型设定与估计思路</w:t>
      </w:r>
      <w:bookmarkEnd w:id="46"/>
    </w:p>
    <w:p w14:paraId="6BB06716">
      <w:pPr>
        <w:spacing w:after="0" w:line="480" w:lineRule="exact"/>
        <w:ind w:firstLine="480" w:firstLineChars="200"/>
        <w:jc w:val="both"/>
        <w:rPr>
          <w:rFonts w:cs="Times New Roman"/>
          <w:lang w:eastAsia="zh-CN"/>
        </w:rPr>
      </w:pPr>
      <w:r>
        <w:rPr>
          <w:rFonts w:cs="Times New Roman"/>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696F9F84">
      <w:pPr>
        <w:spacing w:after="0" w:line="480" w:lineRule="exact"/>
        <w:ind w:firstLine="480" w:firstLineChars="200"/>
        <w:jc w:val="both"/>
        <w:rPr>
          <w:rFonts w:cs="Times New Roman"/>
          <w:lang w:eastAsia="zh-CN"/>
        </w:rPr>
      </w:pPr>
      <w:r>
        <w:rPr>
          <w:rFonts w:cs="Times New Roman"/>
          <w:lang w:eastAsia="zh-CN"/>
        </w:rPr>
        <w:t>前述超效率SBM和Malmquist指数主要回答“碳排放效率是多少、如何变化”的问题，但并不能解释“为什么不同地区存在差异”。因此，本文进一步构建面板回归模型，以碳排放效率为被解释变量，以夜间灯光强度对数项为核心解释变量，并引入产业结构、城镇化率、研发投入、对外开放和能源结构等控制变量，以尽可能减少遗漏变量偏误。</w:t>
      </w:r>
    </w:p>
    <w:p w14:paraId="7A4773C6">
      <w:pPr>
        <w:pStyle w:val="4"/>
        <w:jc w:val="both"/>
        <w:rPr>
          <w:rFonts w:ascii="楷体" w:hAnsi="楷体"/>
          <w:color w:val="auto"/>
          <w:lang w:eastAsia="zh-CN"/>
        </w:rPr>
      </w:pPr>
      <w:bookmarkStart w:id="47" w:name="_Toc24900"/>
      <w:r>
        <w:rPr>
          <w:rFonts w:ascii="楷体" w:hAnsi="楷体"/>
          <w:color w:val="auto"/>
          <w:lang w:eastAsia="zh-CN"/>
        </w:rPr>
        <w:t>（二）影响因素分析</w:t>
      </w:r>
      <w:bookmarkEnd w:id="47"/>
    </w:p>
    <w:p w14:paraId="2231778E">
      <w:pPr>
        <w:spacing w:after="0" w:line="480" w:lineRule="exact"/>
        <w:ind w:firstLine="480" w:firstLineChars="200"/>
        <w:jc w:val="both"/>
        <w:rPr>
          <w:rFonts w:ascii="宋体" w:hAnsi="宋体"/>
          <w:lang w:eastAsia="zh-CN"/>
        </w:rPr>
      </w:pPr>
      <w:r>
        <w:rPr>
          <w:rStyle w:val="144"/>
          <w:rFonts w:ascii="宋体" w:hAnsi="宋体"/>
          <w:sz w:val="24"/>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5EC4498B">
      <w:pPr>
        <w:spacing w:after="0" w:line="480" w:lineRule="exact"/>
        <w:ind w:firstLine="480" w:firstLineChars="200"/>
        <w:jc w:val="both"/>
        <w:rPr>
          <w:rFonts w:ascii="宋体" w:hAnsi="宋体"/>
          <w:lang w:eastAsia="zh-CN"/>
        </w:rPr>
      </w:pPr>
      <w:r>
        <w:rPr>
          <w:rFonts w:ascii="宋体" w:hAnsi="宋体"/>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宋体" w:hAnsi="宋体"/>
          <w:lang w:eastAsia="zh-CN"/>
        </w:rPr>
        <w:t>。</w:t>
      </w:r>
    </w:p>
    <w:p w14:paraId="2B4633DC">
      <w:pPr>
        <w:pStyle w:val="4"/>
        <w:jc w:val="both"/>
        <w:rPr>
          <w:rFonts w:ascii="楷体" w:hAnsi="楷体"/>
          <w:color w:val="auto"/>
          <w:lang w:eastAsia="zh-CN"/>
        </w:rPr>
      </w:pPr>
      <w:bookmarkStart w:id="48" w:name="_Toc7302"/>
      <w:r>
        <w:rPr>
          <w:rFonts w:ascii="楷体" w:hAnsi="楷体"/>
          <w:color w:val="auto"/>
          <w:lang w:eastAsia="zh-CN"/>
        </w:rPr>
        <w:t>（三）基准回归结果与可视化表达</w:t>
      </w:r>
      <w:bookmarkEnd w:id="48"/>
    </w:p>
    <w:p w14:paraId="3F405B02">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7</w:t>
      </w:r>
      <w:r>
        <w:fldChar w:fldCharType="end"/>
      </w:r>
      <w:bookmarkStart w:id="49" w:name="_Toc13931"/>
      <w:r>
        <w:rPr>
          <w:rFonts w:hint="eastAsia"/>
          <w:lang w:eastAsia="zh-CN"/>
        </w:rPr>
        <w:t xml:space="preserve"> </w:t>
      </w:r>
      <w:r>
        <w:rPr>
          <w:lang w:eastAsia="zh-CN"/>
        </w:rPr>
        <w:t>双向固定效应基准回归结果</w:t>
      </w:r>
      <w:bookmarkEnd w:id="49"/>
    </w:p>
    <w:tbl>
      <w:tblPr>
        <w:tblStyle w:val="41"/>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B847B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22F03EA2">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759F9DB2">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0771B57F">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304C781E">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00A8EC79">
            <w:pPr>
              <w:spacing w:after="0"/>
              <w:jc w:val="both"/>
              <w:rPr>
                <w:rFonts w:ascii="宋体" w:hAnsi="宋体"/>
                <w:color w:val="000000"/>
                <w:szCs w:val="24"/>
              </w:rPr>
            </w:pPr>
            <w:r>
              <w:rPr>
                <w:rFonts w:ascii="宋体" w:hAnsi="宋体"/>
                <w:color w:val="000000"/>
                <w:szCs w:val="24"/>
              </w:rPr>
              <w:t>p值</w:t>
            </w:r>
          </w:p>
        </w:tc>
      </w:tr>
      <w:tr w14:paraId="73DA4E1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548A8680">
            <w:pPr>
              <w:spacing w:after="0"/>
              <w:rPr>
                <w:color w:val="000000"/>
              </w:rPr>
            </w:pPr>
            <w:r>
              <w:rPr>
                <w:color w:val="000000"/>
              </w:rPr>
              <w:t>NTL</w:t>
            </w:r>
          </w:p>
        </w:tc>
        <w:tc>
          <w:tcPr>
            <w:tcW w:w="1813" w:type="dxa"/>
            <w:tcBorders>
              <w:top w:val="single" w:color="000000" w:sz="4" w:space="0"/>
              <w:bottom w:val="nil"/>
            </w:tcBorders>
            <w:shd w:val="clear" w:color="auto" w:fill="FFFFFF"/>
          </w:tcPr>
          <w:p w14:paraId="6156C745">
            <w:pPr>
              <w:spacing w:after="0"/>
              <w:rPr>
                <w:color w:val="000000"/>
              </w:rPr>
            </w:pPr>
            <w:r>
              <w:rPr>
                <w:color w:val="000000"/>
              </w:rPr>
              <w:t>0.1725*</w:t>
            </w:r>
          </w:p>
        </w:tc>
        <w:tc>
          <w:tcPr>
            <w:tcW w:w="1813" w:type="dxa"/>
            <w:tcBorders>
              <w:top w:val="single" w:color="000000" w:sz="4" w:space="0"/>
              <w:bottom w:val="nil"/>
            </w:tcBorders>
            <w:shd w:val="clear" w:color="auto" w:fill="FFFFFF"/>
          </w:tcPr>
          <w:p w14:paraId="59279C0C">
            <w:pPr>
              <w:spacing w:after="0"/>
              <w:rPr>
                <w:color w:val="000000"/>
              </w:rPr>
            </w:pPr>
            <w:r>
              <w:rPr>
                <w:color w:val="000000"/>
              </w:rPr>
              <w:t>0.0876</w:t>
            </w:r>
          </w:p>
        </w:tc>
        <w:tc>
          <w:tcPr>
            <w:tcW w:w="1813" w:type="dxa"/>
            <w:tcBorders>
              <w:top w:val="single" w:color="000000" w:sz="4" w:space="0"/>
              <w:bottom w:val="nil"/>
            </w:tcBorders>
            <w:shd w:val="clear" w:color="auto" w:fill="FFFFFF"/>
          </w:tcPr>
          <w:p w14:paraId="5F9A6D78">
            <w:pPr>
              <w:spacing w:after="0"/>
              <w:rPr>
                <w:color w:val="000000"/>
              </w:rPr>
            </w:pPr>
            <w:r>
              <w:rPr>
                <w:color w:val="000000"/>
              </w:rPr>
              <w:t>1.9686</w:t>
            </w:r>
          </w:p>
        </w:tc>
        <w:tc>
          <w:tcPr>
            <w:tcW w:w="1813" w:type="dxa"/>
            <w:tcBorders>
              <w:top w:val="single" w:color="000000" w:sz="4" w:space="0"/>
              <w:bottom w:val="nil"/>
            </w:tcBorders>
            <w:shd w:val="clear" w:color="auto" w:fill="FFFFFF"/>
          </w:tcPr>
          <w:p w14:paraId="42669120">
            <w:pPr>
              <w:spacing w:after="0"/>
              <w:rPr>
                <w:color w:val="000000"/>
              </w:rPr>
            </w:pPr>
            <w:r>
              <w:rPr>
                <w:color w:val="000000"/>
              </w:rPr>
              <w:t>0.0504</w:t>
            </w:r>
          </w:p>
        </w:tc>
      </w:tr>
      <w:tr w14:paraId="28481C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8F3B868">
            <w:pPr>
              <w:spacing w:after="0"/>
              <w:rPr>
                <w:color w:val="000000"/>
              </w:rPr>
            </w:pPr>
            <w:r>
              <w:rPr>
                <w:color w:val="000000"/>
              </w:rPr>
              <w:t>IND</w:t>
            </w:r>
          </w:p>
        </w:tc>
        <w:tc>
          <w:tcPr>
            <w:tcW w:w="1813" w:type="dxa"/>
            <w:tcBorders>
              <w:top w:val="nil"/>
              <w:bottom w:val="nil"/>
            </w:tcBorders>
            <w:shd w:val="clear" w:color="auto" w:fill="FFFFFF"/>
          </w:tcPr>
          <w:p w14:paraId="58F629A6">
            <w:pPr>
              <w:spacing w:after="0"/>
              <w:rPr>
                <w:color w:val="000000"/>
              </w:rPr>
            </w:pPr>
            <w:r>
              <w:rPr>
                <w:color w:val="000000"/>
              </w:rPr>
              <w:t>0.0828</w:t>
            </w:r>
          </w:p>
        </w:tc>
        <w:tc>
          <w:tcPr>
            <w:tcW w:w="1813" w:type="dxa"/>
            <w:tcBorders>
              <w:top w:val="nil"/>
              <w:bottom w:val="nil"/>
            </w:tcBorders>
            <w:shd w:val="clear" w:color="auto" w:fill="FFFFFF"/>
          </w:tcPr>
          <w:p w14:paraId="76A8A429">
            <w:pPr>
              <w:spacing w:after="0"/>
              <w:rPr>
                <w:color w:val="000000"/>
              </w:rPr>
            </w:pPr>
            <w:r>
              <w:rPr>
                <w:color w:val="000000"/>
              </w:rPr>
              <w:t>0.0729</w:t>
            </w:r>
          </w:p>
        </w:tc>
        <w:tc>
          <w:tcPr>
            <w:tcW w:w="1813" w:type="dxa"/>
            <w:tcBorders>
              <w:top w:val="nil"/>
              <w:bottom w:val="nil"/>
            </w:tcBorders>
            <w:shd w:val="clear" w:color="auto" w:fill="FFFFFF"/>
          </w:tcPr>
          <w:p w14:paraId="3EAEB773">
            <w:pPr>
              <w:spacing w:after="0"/>
              <w:rPr>
                <w:color w:val="000000"/>
              </w:rPr>
            </w:pPr>
            <w:r>
              <w:rPr>
                <w:color w:val="000000"/>
              </w:rPr>
              <w:t>1.1362</w:t>
            </w:r>
          </w:p>
        </w:tc>
        <w:tc>
          <w:tcPr>
            <w:tcW w:w="1813" w:type="dxa"/>
            <w:tcBorders>
              <w:top w:val="nil"/>
              <w:bottom w:val="nil"/>
            </w:tcBorders>
            <w:shd w:val="clear" w:color="auto" w:fill="FFFFFF"/>
          </w:tcPr>
          <w:p w14:paraId="4FC088AC">
            <w:pPr>
              <w:spacing w:after="0"/>
              <w:rPr>
                <w:color w:val="000000"/>
              </w:rPr>
            </w:pPr>
            <w:r>
              <w:rPr>
                <w:color w:val="000000"/>
              </w:rPr>
              <w:t>0.2572</w:t>
            </w:r>
          </w:p>
        </w:tc>
      </w:tr>
      <w:tr w14:paraId="6077D2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184E684">
            <w:pPr>
              <w:spacing w:after="0"/>
              <w:rPr>
                <w:color w:val="000000"/>
              </w:rPr>
            </w:pPr>
            <w:r>
              <w:rPr>
                <w:color w:val="000000"/>
              </w:rPr>
              <w:t>URB</w:t>
            </w:r>
          </w:p>
        </w:tc>
        <w:tc>
          <w:tcPr>
            <w:tcW w:w="1813" w:type="dxa"/>
            <w:tcBorders>
              <w:top w:val="nil"/>
              <w:bottom w:val="nil"/>
            </w:tcBorders>
            <w:shd w:val="clear" w:color="auto" w:fill="FFFFFF"/>
          </w:tcPr>
          <w:p w14:paraId="128C4932">
            <w:pPr>
              <w:spacing w:after="0"/>
              <w:rPr>
                <w:color w:val="000000"/>
              </w:rPr>
            </w:pPr>
            <w:r>
              <w:rPr>
                <w:color w:val="000000"/>
              </w:rPr>
              <w:t>-1.9282***</w:t>
            </w:r>
          </w:p>
        </w:tc>
        <w:tc>
          <w:tcPr>
            <w:tcW w:w="1813" w:type="dxa"/>
            <w:tcBorders>
              <w:top w:val="nil"/>
              <w:bottom w:val="nil"/>
            </w:tcBorders>
            <w:shd w:val="clear" w:color="auto" w:fill="FFFFFF"/>
          </w:tcPr>
          <w:p w14:paraId="2AE0C4BA">
            <w:pPr>
              <w:spacing w:after="0"/>
              <w:rPr>
                <w:color w:val="000000"/>
              </w:rPr>
            </w:pPr>
            <w:r>
              <w:rPr>
                <w:color w:val="000000"/>
              </w:rPr>
              <w:t>0.3816</w:t>
            </w:r>
          </w:p>
        </w:tc>
        <w:tc>
          <w:tcPr>
            <w:tcW w:w="1813" w:type="dxa"/>
            <w:tcBorders>
              <w:top w:val="nil"/>
              <w:bottom w:val="nil"/>
            </w:tcBorders>
            <w:shd w:val="clear" w:color="auto" w:fill="FFFFFF"/>
          </w:tcPr>
          <w:p w14:paraId="0BE7EAF1">
            <w:pPr>
              <w:spacing w:after="0"/>
              <w:rPr>
                <w:color w:val="000000"/>
              </w:rPr>
            </w:pPr>
            <w:r>
              <w:rPr>
                <w:color w:val="000000"/>
              </w:rPr>
              <w:t>-5.0533</w:t>
            </w:r>
          </w:p>
        </w:tc>
        <w:tc>
          <w:tcPr>
            <w:tcW w:w="1813" w:type="dxa"/>
            <w:tcBorders>
              <w:top w:val="nil"/>
              <w:bottom w:val="nil"/>
            </w:tcBorders>
            <w:shd w:val="clear" w:color="auto" w:fill="FFFFFF"/>
          </w:tcPr>
          <w:p w14:paraId="5B2CCB15">
            <w:pPr>
              <w:spacing w:after="0"/>
              <w:rPr>
                <w:color w:val="000000"/>
              </w:rPr>
            </w:pPr>
            <w:r>
              <w:rPr>
                <w:color w:val="000000"/>
              </w:rPr>
              <w:t>0.0000</w:t>
            </w:r>
          </w:p>
        </w:tc>
      </w:tr>
      <w:tr w14:paraId="3E57A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6FE38FF5">
            <w:pPr>
              <w:spacing w:after="0"/>
              <w:rPr>
                <w:color w:val="000000"/>
              </w:rPr>
            </w:pPr>
            <w:r>
              <w:rPr>
                <w:color w:val="000000"/>
              </w:rPr>
              <w:t>RD</w:t>
            </w:r>
          </w:p>
        </w:tc>
        <w:tc>
          <w:tcPr>
            <w:tcW w:w="1813" w:type="dxa"/>
            <w:tcBorders>
              <w:top w:val="nil"/>
              <w:bottom w:val="nil"/>
            </w:tcBorders>
            <w:shd w:val="clear" w:color="auto" w:fill="FFFFFF"/>
          </w:tcPr>
          <w:p w14:paraId="08169D3F">
            <w:pPr>
              <w:spacing w:after="0"/>
              <w:rPr>
                <w:color w:val="000000"/>
              </w:rPr>
            </w:pPr>
            <w:r>
              <w:rPr>
                <w:color w:val="000000"/>
              </w:rPr>
              <w:t>6.5889*</w:t>
            </w:r>
          </w:p>
        </w:tc>
        <w:tc>
          <w:tcPr>
            <w:tcW w:w="1813" w:type="dxa"/>
            <w:tcBorders>
              <w:top w:val="nil"/>
              <w:bottom w:val="nil"/>
            </w:tcBorders>
            <w:shd w:val="clear" w:color="auto" w:fill="FFFFFF"/>
          </w:tcPr>
          <w:p w14:paraId="669B3B72">
            <w:pPr>
              <w:spacing w:after="0"/>
              <w:rPr>
                <w:color w:val="000000"/>
              </w:rPr>
            </w:pPr>
            <w:r>
              <w:rPr>
                <w:color w:val="000000"/>
              </w:rPr>
              <w:t>3.4404</w:t>
            </w:r>
          </w:p>
        </w:tc>
        <w:tc>
          <w:tcPr>
            <w:tcW w:w="1813" w:type="dxa"/>
            <w:tcBorders>
              <w:top w:val="nil"/>
              <w:bottom w:val="nil"/>
            </w:tcBorders>
            <w:shd w:val="clear" w:color="auto" w:fill="FFFFFF"/>
          </w:tcPr>
          <w:p w14:paraId="6C448224">
            <w:pPr>
              <w:spacing w:after="0"/>
              <w:rPr>
                <w:color w:val="000000"/>
              </w:rPr>
            </w:pPr>
            <w:r>
              <w:rPr>
                <w:color w:val="000000"/>
              </w:rPr>
              <w:t>1.9151</w:t>
            </w:r>
          </w:p>
        </w:tc>
        <w:tc>
          <w:tcPr>
            <w:tcW w:w="1813" w:type="dxa"/>
            <w:tcBorders>
              <w:top w:val="nil"/>
              <w:bottom w:val="nil"/>
            </w:tcBorders>
            <w:shd w:val="clear" w:color="auto" w:fill="FFFFFF"/>
          </w:tcPr>
          <w:p w14:paraId="1B419757">
            <w:pPr>
              <w:spacing w:after="0"/>
              <w:rPr>
                <w:color w:val="000000"/>
              </w:rPr>
            </w:pPr>
            <w:r>
              <w:rPr>
                <w:color w:val="000000"/>
              </w:rPr>
              <w:t>0.0569</w:t>
            </w:r>
          </w:p>
        </w:tc>
      </w:tr>
      <w:tr w14:paraId="69109C9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485CBDE">
            <w:pPr>
              <w:spacing w:after="0"/>
              <w:rPr>
                <w:color w:val="000000"/>
              </w:rPr>
            </w:pPr>
            <w:r>
              <w:rPr>
                <w:color w:val="000000"/>
              </w:rPr>
              <w:t>OPEN</w:t>
            </w:r>
          </w:p>
        </w:tc>
        <w:tc>
          <w:tcPr>
            <w:tcW w:w="1813" w:type="dxa"/>
            <w:tcBorders>
              <w:top w:val="nil"/>
              <w:bottom w:val="nil"/>
            </w:tcBorders>
            <w:shd w:val="clear" w:color="auto" w:fill="FFFFFF"/>
          </w:tcPr>
          <w:p w14:paraId="5BEACC67">
            <w:pPr>
              <w:spacing w:after="0"/>
              <w:rPr>
                <w:color w:val="000000"/>
              </w:rPr>
            </w:pPr>
            <w:r>
              <w:rPr>
                <w:color w:val="000000"/>
              </w:rPr>
              <w:t>0.4522**</w:t>
            </w:r>
          </w:p>
        </w:tc>
        <w:tc>
          <w:tcPr>
            <w:tcW w:w="1813" w:type="dxa"/>
            <w:tcBorders>
              <w:top w:val="nil"/>
              <w:bottom w:val="nil"/>
            </w:tcBorders>
            <w:shd w:val="clear" w:color="auto" w:fill="FFFFFF"/>
          </w:tcPr>
          <w:p w14:paraId="59B07391">
            <w:pPr>
              <w:spacing w:after="0"/>
              <w:rPr>
                <w:color w:val="000000"/>
              </w:rPr>
            </w:pPr>
            <w:r>
              <w:rPr>
                <w:color w:val="000000"/>
              </w:rPr>
              <w:t>0.2236</w:t>
            </w:r>
          </w:p>
        </w:tc>
        <w:tc>
          <w:tcPr>
            <w:tcW w:w="1813" w:type="dxa"/>
            <w:tcBorders>
              <w:top w:val="nil"/>
              <w:bottom w:val="nil"/>
            </w:tcBorders>
            <w:shd w:val="clear" w:color="auto" w:fill="FFFFFF"/>
          </w:tcPr>
          <w:p w14:paraId="614E6DF2">
            <w:pPr>
              <w:spacing w:after="0"/>
              <w:rPr>
                <w:color w:val="000000"/>
              </w:rPr>
            </w:pPr>
            <w:r>
              <w:rPr>
                <w:color w:val="000000"/>
              </w:rPr>
              <w:t>2.0219</w:t>
            </w:r>
          </w:p>
        </w:tc>
        <w:tc>
          <w:tcPr>
            <w:tcW w:w="1813" w:type="dxa"/>
            <w:tcBorders>
              <w:top w:val="nil"/>
              <w:bottom w:val="nil"/>
            </w:tcBorders>
            <w:shd w:val="clear" w:color="auto" w:fill="FFFFFF"/>
          </w:tcPr>
          <w:p w14:paraId="18DCC8D0">
            <w:pPr>
              <w:spacing w:after="0"/>
              <w:rPr>
                <w:color w:val="000000"/>
              </w:rPr>
            </w:pPr>
            <w:r>
              <w:rPr>
                <w:color w:val="000000"/>
              </w:rPr>
              <w:t>0.0445</w:t>
            </w:r>
          </w:p>
        </w:tc>
      </w:tr>
      <w:tr w14:paraId="73B284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3D55370F">
            <w:pPr>
              <w:spacing w:after="0"/>
              <w:rPr>
                <w:color w:val="000000"/>
              </w:rPr>
            </w:pPr>
            <w:r>
              <w:rPr>
                <w:color w:val="000000"/>
              </w:rPr>
              <w:t>ES</w:t>
            </w:r>
          </w:p>
        </w:tc>
        <w:tc>
          <w:tcPr>
            <w:tcW w:w="1813" w:type="dxa"/>
            <w:tcBorders>
              <w:top w:val="nil"/>
              <w:bottom w:val="single" w:color="000000" w:sz="12" w:space="0"/>
            </w:tcBorders>
            <w:shd w:val="clear" w:color="auto" w:fill="FFFFFF"/>
          </w:tcPr>
          <w:p w14:paraId="092E163D">
            <w:pPr>
              <w:spacing w:after="0"/>
              <w:rPr>
                <w:color w:val="000000"/>
              </w:rPr>
            </w:pPr>
            <w:r>
              <w:rPr>
                <w:color w:val="000000"/>
              </w:rPr>
              <w:t>-0.1386</w:t>
            </w:r>
          </w:p>
        </w:tc>
        <w:tc>
          <w:tcPr>
            <w:tcW w:w="1813" w:type="dxa"/>
            <w:tcBorders>
              <w:top w:val="nil"/>
              <w:bottom w:val="single" w:color="000000" w:sz="12" w:space="0"/>
            </w:tcBorders>
            <w:shd w:val="clear" w:color="auto" w:fill="FFFFFF"/>
          </w:tcPr>
          <w:p w14:paraId="4817E931">
            <w:pPr>
              <w:spacing w:after="0"/>
              <w:rPr>
                <w:color w:val="000000"/>
              </w:rPr>
            </w:pPr>
            <w:r>
              <w:rPr>
                <w:color w:val="000000"/>
              </w:rPr>
              <w:t>0.1116</w:t>
            </w:r>
          </w:p>
        </w:tc>
        <w:tc>
          <w:tcPr>
            <w:tcW w:w="1813" w:type="dxa"/>
            <w:tcBorders>
              <w:top w:val="nil"/>
              <w:bottom w:val="single" w:color="000000" w:sz="12" w:space="0"/>
            </w:tcBorders>
            <w:shd w:val="clear" w:color="auto" w:fill="FFFFFF"/>
          </w:tcPr>
          <w:p w14:paraId="5859DE22">
            <w:pPr>
              <w:spacing w:after="0"/>
              <w:rPr>
                <w:color w:val="000000"/>
              </w:rPr>
            </w:pPr>
            <w:r>
              <w:rPr>
                <w:color w:val="000000"/>
              </w:rPr>
              <w:t>-1.2418</w:t>
            </w:r>
          </w:p>
        </w:tc>
        <w:tc>
          <w:tcPr>
            <w:tcW w:w="1813" w:type="dxa"/>
            <w:tcBorders>
              <w:top w:val="nil"/>
              <w:bottom w:val="single" w:color="000000" w:sz="12" w:space="0"/>
            </w:tcBorders>
            <w:shd w:val="clear" w:color="auto" w:fill="FFFFFF"/>
          </w:tcPr>
          <w:p w14:paraId="0AAB9652">
            <w:pPr>
              <w:spacing w:after="0"/>
              <w:rPr>
                <w:color w:val="000000"/>
              </w:rPr>
            </w:pPr>
            <w:r>
              <w:rPr>
                <w:color w:val="000000"/>
              </w:rPr>
              <w:t>0.2158</w:t>
            </w:r>
          </w:p>
        </w:tc>
      </w:tr>
    </w:tbl>
    <w:p w14:paraId="2299E115">
      <w:pPr>
        <w:jc w:val="both"/>
        <w:rPr>
          <w:lang w:eastAsia="zh-CN"/>
        </w:rPr>
      </w:pPr>
      <w:r>
        <w:rPr>
          <w:lang w:eastAsia="zh-CN"/>
        </w:rPr>
        <w:t>注：样本量N=240；控制省份和年份固定效应；协方差估计采用Driscoll-Kraay稳健标准误；***、**、*分别表示在1%、5%、10%水平上显著。</w:t>
      </w:r>
    </w:p>
    <w:p w14:paraId="045CA77E">
      <w:pPr>
        <w:spacing w:after="0"/>
        <w:jc w:val="center"/>
        <w:rPr>
          <w:lang w:eastAsia="zh-CN"/>
        </w:rPr>
      </w:pPr>
      <w:r>
        <w:rPr>
          <w:rFonts w:hint="eastAsia"/>
          <w:lang w:eastAsia="zh-CN"/>
        </w:rPr>
        <w:drawing>
          <wp:inline distT="0" distB="0" distL="114300" distR="114300">
            <wp:extent cx="4923790" cy="3631565"/>
            <wp:effectExtent l="0" t="0" r="0" b="6985"/>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cstate="hqprint"/>
                    <a:srcRect/>
                    <a:stretch>
                      <a:fillRect/>
                    </a:stretch>
                  </pic:blipFill>
                  <pic:spPr>
                    <a:xfrm>
                      <a:off x="0" y="0"/>
                      <a:ext cx="4925509" cy="3632618"/>
                    </a:xfrm>
                    <a:prstGeom prst="rect">
                      <a:avLst/>
                    </a:prstGeom>
                  </pic:spPr>
                </pic:pic>
              </a:graphicData>
            </a:graphic>
          </wp:inline>
        </w:drawing>
      </w:r>
    </w:p>
    <w:p w14:paraId="71923D79">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14</w:t>
      </w:r>
      <w:r>
        <w:fldChar w:fldCharType="end"/>
      </w:r>
      <w:bookmarkStart w:id="50" w:name="_Toc28831"/>
      <w:r>
        <w:rPr>
          <w:rFonts w:hint="eastAsia"/>
          <w:lang w:eastAsia="zh-CN"/>
        </w:rPr>
        <w:t xml:space="preserve"> 预测值-真实值散点图</w:t>
      </w:r>
      <w:bookmarkEnd w:id="50"/>
    </w:p>
    <w:p w14:paraId="124D4DB6">
      <w:pPr>
        <w:spacing w:after="0"/>
        <w:jc w:val="center"/>
        <w:rPr>
          <w:lang w:eastAsia="zh-CN"/>
        </w:rPr>
      </w:pPr>
      <w:r>
        <w:rPr>
          <w:rFonts w:hint="eastAsia"/>
          <w:lang w:eastAsia="zh-CN"/>
        </w:rPr>
        <w:drawing>
          <wp:inline distT="0" distB="0" distL="114300" distR="114300">
            <wp:extent cx="5029200" cy="3558540"/>
            <wp:effectExtent l="0" t="0" r="0" b="381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cstate="hqprint"/>
                    <a:srcRect/>
                    <a:stretch>
                      <a:fillRect/>
                    </a:stretch>
                  </pic:blipFill>
                  <pic:spPr>
                    <a:xfrm>
                      <a:off x="0" y="0"/>
                      <a:ext cx="5036533" cy="3563815"/>
                    </a:xfrm>
                    <a:prstGeom prst="rect">
                      <a:avLst/>
                    </a:prstGeom>
                  </pic:spPr>
                </pic:pic>
              </a:graphicData>
            </a:graphic>
          </wp:inline>
        </w:drawing>
      </w:r>
    </w:p>
    <w:p w14:paraId="3AAAF13F">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15</w:t>
      </w:r>
      <w:r>
        <w:fldChar w:fldCharType="end"/>
      </w:r>
      <w:bookmarkStart w:id="51" w:name="_Toc23156"/>
      <w:r>
        <w:rPr>
          <w:rFonts w:hint="eastAsia"/>
          <w:lang w:eastAsia="zh-CN"/>
        </w:rPr>
        <w:t xml:space="preserve"> </w:t>
      </w:r>
      <w:r>
        <w:rPr>
          <w:lang w:eastAsia="zh-CN"/>
        </w:rPr>
        <w:t>控制双向固定效应后的</w:t>
      </w:r>
      <w:r>
        <w:rPr>
          <w:rFonts w:hint="eastAsia"/>
          <w:lang w:eastAsia="zh-CN"/>
        </w:rPr>
        <w:t>夜间灯光强度</w:t>
      </w:r>
      <w:r>
        <w:rPr>
          <w:lang w:eastAsia="zh-CN"/>
        </w:rPr>
        <w:t>与碳排放效率净关系图</w:t>
      </w:r>
      <w:bookmarkEnd w:id="51"/>
    </w:p>
    <w:p w14:paraId="4AF5C538">
      <w:pPr>
        <w:ind w:firstLine="480" w:firstLineChars="200"/>
        <w:rPr>
          <w:lang w:eastAsia="zh-CN"/>
        </w:rPr>
      </w:pPr>
      <w:r>
        <w:rPr>
          <w:lang w:eastAsia="zh-CN"/>
        </w:rPr>
        <w:t>图</w:t>
      </w:r>
      <w:r>
        <w:rPr>
          <w:rFonts w:hint="eastAsia"/>
          <w:lang w:eastAsia="zh-CN"/>
        </w:rPr>
        <w:t>1</w:t>
      </w:r>
      <w:r>
        <w:rPr>
          <w:lang w:eastAsia="zh-CN"/>
        </w:rPr>
        <w:t>7在两端区间出现轻微弯曲，主要是因为极端样本较少且不同地区异质性更强，导致局部平滑曲线在边界位置对个别观测更为敏感；就整体而言，中部样本区间仍以弱正向关系为主。</w:t>
      </w:r>
    </w:p>
    <w:p w14:paraId="519BCC2F">
      <w:pPr>
        <w:jc w:val="center"/>
        <w:rPr>
          <w:lang w:eastAsia="zh-CN"/>
        </w:rPr>
      </w:pPr>
      <w:r>
        <w:rPr>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cstate="hqprint"/>
                    <a:stretch>
                      <a:fillRect/>
                    </a:stretch>
                  </pic:blipFill>
                  <pic:spPr>
                    <a:xfrm>
                      <a:off x="0" y="0"/>
                      <a:ext cx="4365625" cy="2793365"/>
                    </a:xfrm>
                    <a:prstGeom prst="rect">
                      <a:avLst/>
                    </a:prstGeom>
                  </pic:spPr>
                </pic:pic>
              </a:graphicData>
            </a:graphic>
          </wp:inline>
        </w:drawing>
      </w:r>
    </w:p>
    <w:p w14:paraId="60F514EB">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16</w:t>
      </w:r>
      <w:r>
        <w:fldChar w:fldCharType="end"/>
      </w:r>
      <w:bookmarkStart w:id="52" w:name="_Toc6514"/>
      <w:r>
        <w:rPr>
          <w:rFonts w:hint="eastAsia"/>
          <w:lang w:eastAsia="zh-CN"/>
        </w:rPr>
        <w:t xml:space="preserve"> </w:t>
      </w:r>
      <w:r>
        <w:rPr>
          <w:lang w:eastAsia="zh-CN"/>
        </w:rPr>
        <w:t>基准回归结果可视化（系数森林图）</w:t>
      </w:r>
      <w:bookmarkEnd w:id="52"/>
    </w:p>
    <w:p w14:paraId="35306027">
      <w:pPr>
        <w:spacing w:before="120" w:beforeLines="50"/>
        <w:ind w:firstLine="480" w:firstLineChars="200"/>
        <w:rPr>
          <w:lang w:eastAsia="zh-CN"/>
        </w:rPr>
      </w:pPr>
      <w:r>
        <w:rPr>
          <w:lang w:eastAsia="zh-CN"/>
        </w:rPr>
        <w:t>系数森林图</w:t>
      </w:r>
      <w:r>
        <w:rPr>
          <w:rFonts w:hint="eastAsia"/>
          <w:lang w:eastAsia="zh-CN"/>
        </w:rPr>
        <w:t>（图1</w:t>
      </w:r>
      <w:r>
        <w:rPr>
          <w:lang w:eastAsia="zh-CN"/>
        </w:rPr>
        <w:t>8</w:t>
      </w:r>
      <w:r>
        <w:rPr>
          <w:rFonts w:hint="eastAsia"/>
          <w:lang w:eastAsia="zh-CN"/>
        </w:rPr>
        <w:t>）</w:t>
      </w:r>
      <w:r>
        <w:rPr>
          <w:lang w:eastAsia="zh-CN"/>
        </w:rPr>
        <w:t>直观展示了各解释变量影响方向、估计区间和显著性差异。其中，</w:t>
      </w:r>
      <w:r>
        <w:rPr>
          <w:rFonts w:hint="eastAsia"/>
          <w:lang w:eastAsia="zh-CN"/>
        </w:rPr>
        <w:t>夜间灯光强度</w:t>
      </w:r>
      <w:r>
        <w:rPr>
          <w:lang w:eastAsia="zh-CN"/>
        </w:rPr>
        <w:t>、研发投入和对外开放水平表现为正向影响，城镇化率表现为显著负向影响，而产业结构和能源结构在基准模型中未通过显著性检验，与表</w:t>
      </w:r>
      <w:r>
        <w:rPr>
          <w:rFonts w:hint="eastAsia"/>
          <w:lang w:eastAsia="zh-CN"/>
        </w:rPr>
        <w:t>7</w:t>
      </w:r>
      <w:r>
        <w:rPr>
          <w:lang w:eastAsia="zh-CN"/>
        </w:rPr>
        <w:t>结论一致。</w:t>
      </w:r>
    </w:p>
    <w:p w14:paraId="1BE57769">
      <w:pPr>
        <w:pStyle w:val="3"/>
        <w:jc w:val="both"/>
        <w:rPr>
          <w:color w:val="auto"/>
          <w:szCs w:val="30"/>
          <w:lang w:eastAsia="zh-CN"/>
        </w:rPr>
      </w:pPr>
      <w:bookmarkStart w:id="53" w:name="_Toc27857"/>
      <w:r>
        <w:rPr>
          <w:color w:val="auto"/>
          <w:szCs w:val="30"/>
          <w:lang w:eastAsia="zh-CN"/>
        </w:rPr>
        <w:t>七、空间相关性与空间溢出分析</w:t>
      </w:r>
      <w:bookmarkEnd w:id="53"/>
    </w:p>
    <w:p w14:paraId="4D22B64F">
      <w:pPr>
        <w:pStyle w:val="4"/>
        <w:jc w:val="both"/>
        <w:rPr>
          <w:rFonts w:ascii="楷体" w:hAnsi="楷体"/>
          <w:color w:val="auto"/>
          <w:lang w:eastAsia="zh-CN"/>
        </w:rPr>
      </w:pPr>
      <w:bookmarkStart w:id="54" w:name="_Toc3754"/>
      <w:r>
        <w:rPr>
          <w:rFonts w:ascii="楷体" w:hAnsi="楷体"/>
          <w:color w:val="auto"/>
          <w:lang w:eastAsia="zh-CN"/>
        </w:rPr>
        <w:t>（一）Global Moran’s I 检验结果</w:t>
      </w:r>
      <w:bookmarkEnd w:id="54"/>
    </w:p>
    <w:p w14:paraId="47B8D342">
      <w:pPr>
        <w:spacing w:after="0" w:line="480" w:lineRule="exact"/>
        <w:ind w:firstLine="480" w:firstLineChars="200"/>
        <w:jc w:val="both"/>
        <w:rPr>
          <w:rFonts w:cs="Times New Roman"/>
          <w:lang w:eastAsia="zh-CN"/>
        </w:rPr>
      </w:pPr>
      <w:r>
        <w:rPr>
          <w:rFonts w:cs="Times New Roman"/>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188D6DA9">
      <w:pPr>
        <w:spacing w:after="0" w:line="480" w:lineRule="exact"/>
        <w:ind w:firstLine="480" w:firstLineChars="200"/>
        <w:jc w:val="both"/>
        <w:rPr>
          <w:rFonts w:ascii="宋体" w:hAnsi="宋体"/>
          <w:lang w:eastAsia="zh-CN"/>
        </w:rPr>
      </w:pPr>
      <w:r>
        <w:rPr>
          <w:rFonts w:ascii="宋体" w:hAnsi="宋体" w:cs="宋体"/>
          <w:szCs w:val="24"/>
          <w:lang w:eastAsia="zh-CN"/>
        </w:rPr>
        <w:t>本文在空间相关性检验中采用</w:t>
      </w:r>
      <w:r>
        <w:rPr>
          <w:rStyle w:val="141"/>
          <w:rFonts w:ascii="宋体" w:hAnsi="宋体" w:cs="宋体"/>
          <w:szCs w:val="24"/>
          <w:lang w:eastAsia="zh-CN"/>
        </w:rPr>
        <w:t>经济距离倒数空间权重矩阵</w:t>
      </w:r>
      <w:r>
        <w:rPr>
          <w:rFonts w:ascii="宋体" w:hAnsi="宋体" w:cs="宋体"/>
          <w:szCs w:val="24"/>
          <w:lang w:eastAsia="zh-CN"/>
        </w:rPr>
        <w:t>并进行标准化处理，以刻画</w:t>
      </w:r>
      <w:r>
        <w:rPr>
          <w:rFonts w:hint="eastAsia" w:ascii="宋体" w:hAnsi="宋体" w:cs="宋体"/>
          <w:szCs w:val="24"/>
          <w:lang w:eastAsia="zh-CN"/>
        </w:rPr>
        <w:t>省域</w:t>
      </w:r>
      <w:r>
        <w:rPr>
          <w:rFonts w:ascii="宋体" w:hAnsi="宋体" w:cs="宋体"/>
          <w:szCs w:val="24"/>
          <w:lang w:eastAsia="zh-CN"/>
        </w:rPr>
        <w:t>之间经济联系强弱对碳排放效率空间关联的影响。经济距离倒数权重矩阵的结构特征见附录图D</w:t>
      </w:r>
      <w:r>
        <w:rPr>
          <w:rFonts w:hint="eastAsia" w:ascii="宋体" w:hAnsi="宋体" w:cs="宋体"/>
          <w:szCs w:val="24"/>
          <w:lang w:eastAsia="zh-CN"/>
        </w:rPr>
        <w:t>4</w:t>
      </w:r>
      <w:r>
        <w:rPr>
          <w:rFonts w:ascii="宋体" w:hAnsi="宋体" w:cs="宋体"/>
          <w:szCs w:val="24"/>
          <w:lang w:eastAsia="zh-CN"/>
        </w:rPr>
        <w:t>。</w:t>
      </w:r>
    </w:p>
    <w:p w14:paraId="04B4A857">
      <w:pPr>
        <w:jc w:val="center"/>
        <w:rPr>
          <w:lang w:eastAsia="zh-CN"/>
        </w:rPr>
      </w:pPr>
      <w:r>
        <w:rPr>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cstate="hqprint"/>
                    <a:srcRect/>
                    <a:stretch>
                      <a:fillRect/>
                    </a:stretch>
                  </pic:blipFill>
                  <pic:spPr>
                    <a:xfrm>
                      <a:off x="0" y="0"/>
                      <a:ext cx="5432425" cy="2999105"/>
                    </a:xfrm>
                    <a:prstGeom prst="rect">
                      <a:avLst/>
                    </a:prstGeom>
                  </pic:spPr>
                </pic:pic>
              </a:graphicData>
            </a:graphic>
          </wp:inline>
        </w:drawing>
      </w:r>
    </w:p>
    <w:p w14:paraId="21AAD112">
      <w:pPr>
        <w:pStyle w:val="15"/>
        <w:spacing w:after="0"/>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17</w:t>
      </w:r>
      <w:r>
        <w:fldChar w:fldCharType="end"/>
      </w:r>
      <w:bookmarkStart w:id="55" w:name="_Toc21876"/>
      <w:r>
        <w:rPr>
          <w:rFonts w:hint="eastAsia"/>
          <w:lang w:eastAsia="zh-CN"/>
        </w:rPr>
        <w:t xml:space="preserve"> </w:t>
      </w:r>
      <w:r>
        <w:rPr>
          <w:lang w:eastAsia="zh-CN"/>
        </w:rPr>
        <w:t>2015—2022年省域碳排放效率全局 Moran’s I 变化趋势</w:t>
      </w:r>
      <w:bookmarkEnd w:id="55"/>
    </w:p>
    <w:p w14:paraId="3123739C">
      <w:pPr>
        <w:spacing w:before="120" w:beforeLines="50"/>
        <w:ind w:firstLine="480" w:firstLineChars="200"/>
        <w:rPr>
          <w:lang w:eastAsia="zh-CN"/>
        </w:rPr>
      </w:pPr>
      <w:r>
        <w:rPr>
          <w:rFonts w:hint="eastAsia"/>
          <w:lang w:eastAsia="zh-CN"/>
        </w:rPr>
        <w:t>图1</w:t>
      </w:r>
      <w:r>
        <w:rPr>
          <w:lang w:eastAsia="zh-CN"/>
        </w:rPr>
        <w:t>9反映了2015—2022年</w:t>
      </w:r>
      <w:r>
        <w:rPr>
          <w:rFonts w:hint="eastAsia"/>
          <w:lang w:eastAsia="zh-CN"/>
        </w:rPr>
        <w:t>省域</w:t>
      </w:r>
      <w:r>
        <w:rPr>
          <w:lang w:eastAsia="zh-CN"/>
        </w:rPr>
        <w:t>碳排放效率全局 Moran’s I 的变化特征。结果显示，各年份 Moran’s I 均处于正区间，说明</w:t>
      </w:r>
      <w:r>
        <w:rPr>
          <w:rFonts w:hint="eastAsia"/>
          <w:lang w:eastAsia="zh-CN"/>
        </w:rPr>
        <w:t>省域</w:t>
      </w:r>
      <w:r>
        <w:rPr>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lang w:eastAsia="zh-CN"/>
        </w:rPr>
        <w:t>省域</w:t>
      </w:r>
      <w:r>
        <w:rPr>
          <w:lang w:eastAsia="zh-CN"/>
        </w:rPr>
        <w:t>碳排放效率的空间集聚特征并非偶然现象，而具有一定持续性。这一结果为后续局部空间聚集识别和空间计量模型估计提供了基础。</w:t>
      </w:r>
    </w:p>
    <w:p w14:paraId="3816F9DE">
      <w:pPr>
        <w:pStyle w:val="4"/>
        <w:jc w:val="both"/>
        <w:rPr>
          <w:lang w:eastAsia="zh-CN"/>
        </w:rPr>
      </w:pPr>
      <w:bookmarkStart w:id="56" w:name="_Toc26141"/>
      <w:r>
        <w:rPr>
          <w:rFonts w:ascii="楷体" w:hAnsi="楷体"/>
          <w:color w:val="auto"/>
          <w:lang w:eastAsia="zh-CN"/>
        </w:rPr>
        <w:t>（二）局部空间聚集与可能的溢出路径</w:t>
      </w:r>
      <w:bookmarkEnd w:id="56"/>
    </w:p>
    <w:p w14:paraId="647C9D73">
      <w:pPr>
        <w:spacing w:after="0" w:line="480" w:lineRule="exact"/>
        <w:ind w:firstLine="480" w:firstLineChars="200"/>
        <w:jc w:val="both"/>
        <w:rPr>
          <w:rFonts w:cs="Times New Roman"/>
          <w:lang w:eastAsia="zh-CN"/>
        </w:rPr>
      </w:pPr>
      <w:r>
        <w:rPr>
          <w:rFonts w:cs="Times New Roman"/>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w:t>
      </w:r>
      <w:r>
        <w:rPr>
          <w:rFonts w:hint="eastAsia" w:cs="Times New Roman"/>
          <w:lang w:eastAsia="zh-CN"/>
        </w:rPr>
        <w:t>“</w:t>
      </w:r>
      <w:r>
        <w:rPr>
          <w:rFonts w:cs="Times New Roman"/>
          <w:lang w:eastAsia="zh-CN"/>
        </w:rPr>
        <w:t>低—高</w:t>
      </w:r>
      <w:r>
        <w:rPr>
          <w:rFonts w:hint="eastAsia" w:cs="Times New Roman"/>
          <w:lang w:eastAsia="zh-CN"/>
        </w:rPr>
        <w:t>”</w:t>
      </w:r>
      <w:r>
        <w:rPr>
          <w:rFonts w:cs="Times New Roman"/>
          <w:lang w:eastAsia="zh-CN"/>
        </w:rPr>
        <w:t>类型的空间异常；2018年上海和海南表现为显著</w:t>
      </w:r>
      <w:r>
        <w:rPr>
          <w:rFonts w:hint="eastAsia" w:cs="Times New Roman"/>
          <w:lang w:eastAsia="zh-CN"/>
        </w:rPr>
        <w:t>“</w:t>
      </w:r>
      <w:r>
        <w:rPr>
          <w:rFonts w:cs="Times New Roman"/>
          <w:lang w:eastAsia="zh-CN"/>
        </w:rPr>
        <w:t>高—高</w:t>
      </w:r>
      <w:r>
        <w:rPr>
          <w:rFonts w:hint="eastAsia" w:cs="Times New Roman"/>
          <w:lang w:eastAsia="zh-CN"/>
        </w:rPr>
        <w:t>”</w:t>
      </w:r>
      <w:r>
        <w:rPr>
          <w:rFonts w:cs="Times New Roman"/>
          <w:lang w:eastAsia="zh-CN"/>
        </w:rPr>
        <w:t>集聚；到2022年，天津和海南继续呈现“高—高”集聚特征。总体来看，省域碳排放效率的空间关联更多体现为整体性相关，局部板块性虽不强，但沿海高效率地区的示范扩散效应已开始显现。</w:t>
      </w:r>
    </w:p>
    <w:p w14:paraId="1BB142E2">
      <w:pPr>
        <w:jc w:val="center"/>
        <w:rPr>
          <w:lang w:eastAsia="zh-CN"/>
        </w:rPr>
      </w:pPr>
      <w:r>
        <w:rPr>
          <w:lang w:eastAsia="zh-CN"/>
        </w:rPr>
        <w:drawing>
          <wp:inline distT="0" distB="0" distL="114300" distR="114300">
            <wp:extent cx="5551805" cy="4053840"/>
            <wp:effectExtent l="0" t="0" r="0" b="381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cstate="hqprint"/>
                    <a:srcRect/>
                    <a:stretch>
                      <a:fillRect/>
                    </a:stretch>
                  </pic:blipFill>
                  <pic:spPr>
                    <a:xfrm>
                      <a:off x="0" y="0"/>
                      <a:ext cx="5561967" cy="4061402"/>
                    </a:xfrm>
                    <a:prstGeom prst="rect">
                      <a:avLst/>
                    </a:prstGeom>
                  </pic:spPr>
                </pic:pic>
              </a:graphicData>
            </a:graphic>
          </wp:inline>
        </w:drawing>
      </w:r>
    </w:p>
    <w:p w14:paraId="7A5FA679">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18</w:t>
      </w:r>
      <w:r>
        <w:fldChar w:fldCharType="end"/>
      </w:r>
      <w:bookmarkStart w:id="57" w:name="_Toc15836"/>
      <w:r>
        <w:rPr>
          <w:rFonts w:hint="eastAsia"/>
          <w:lang w:eastAsia="zh-CN"/>
        </w:rPr>
        <w:t xml:space="preserve"> 2015-2018-2022年</w:t>
      </w:r>
      <w:r>
        <w:rPr>
          <w:lang w:eastAsia="zh-CN"/>
        </w:rPr>
        <w:t>Moran散点图</w:t>
      </w:r>
      <w:bookmarkEnd w:id="57"/>
    </w:p>
    <w:p w14:paraId="42827002">
      <w:pPr>
        <w:ind w:firstLine="480" w:firstLineChars="200"/>
        <w:jc w:val="both"/>
        <w:rPr>
          <w:rFonts w:cs="Times New Roman"/>
          <w:lang w:eastAsia="zh-CN"/>
        </w:rPr>
      </w:pPr>
      <w:r>
        <w:rPr>
          <w:rFonts w:cs="Times New Roman"/>
          <w:lang w:eastAsia="zh-CN"/>
        </w:rPr>
        <w:t>Moran散点图</w:t>
      </w:r>
      <w:r>
        <w:rPr>
          <w:rFonts w:hint="eastAsia" w:cs="Times New Roman"/>
          <w:lang w:eastAsia="zh-CN"/>
        </w:rPr>
        <w:t>（图2</w:t>
      </w:r>
      <w:r>
        <w:rPr>
          <w:rFonts w:cs="Times New Roman"/>
          <w:lang w:eastAsia="zh-CN"/>
        </w:rPr>
        <w:t>0</w:t>
      </w:r>
      <w:r>
        <w:rPr>
          <w:rFonts w:hint="eastAsia" w:cs="Times New Roman"/>
          <w:lang w:eastAsia="zh-CN"/>
        </w:rPr>
        <w:t>）</w:t>
      </w:r>
      <w:r>
        <w:rPr>
          <w:rFonts w:cs="Times New Roman"/>
          <w:lang w:eastAsia="zh-CN"/>
        </w:rPr>
        <w:t>中回归线斜率为正，进一步说明样本地区碳排放效率存在正向空间相关。结合象限分布可以看出，高值与高值相邻、低值与低值相邻的现象在局部范围内均有体现，这与全局 Moran’s I 的检验结果相互印证。</w:t>
      </w:r>
    </w:p>
    <w:p w14:paraId="4F9D00B6">
      <w:pPr>
        <w:pStyle w:val="4"/>
        <w:numPr>
          <w:ilvl w:val="0"/>
          <w:numId w:val="7"/>
        </w:numPr>
        <w:rPr>
          <w:lang w:eastAsia="zh-CN"/>
        </w:rPr>
      </w:pPr>
      <w:bookmarkStart w:id="58" w:name="_Toc2366"/>
      <w:r>
        <w:rPr>
          <w:lang w:eastAsia="zh-CN"/>
        </w:rPr>
        <w:t>空间杜宾模型结果与效应分解</w:t>
      </w:r>
      <w:bookmarkEnd w:id="58"/>
    </w:p>
    <w:p w14:paraId="55311863">
      <w:pPr>
        <w:ind w:firstLine="480" w:firstLineChars="200"/>
        <w:rPr>
          <w:lang w:eastAsia="zh-CN"/>
        </w:rPr>
      </w:pPr>
      <w:r>
        <w:rPr>
          <w:lang w:eastAsia="zh-CN"/>
        </w:rPr>
        <w:t>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w:t>
      </w:r>
      <w:r>
        <w:rPr>
          <w:rFonts w:hint="eastAsia"/>
          <w:lang w:eastAsia="zh-CN"/>
        </w:rPr>
        <w:t>“</w:t>
      </w:r>
      <w:r>
        <w:rPr>
          <w:lang w:eastAsia="zh-CN"/>
        </w:rPr>
        <w:t>某一地区变量变化是否会通过空间联系影响周边地区</w:t>
      </w:r>
      <w:r>
        <w:rPr>
          <w:rFonts w:hint="eastAsia"/>
          <w:lang w:eastAsia="zh-CN"/>
        </w:rPr>
        <w:t>”</w:t>
      </w:r>
      <w:r>
        <w:rPr>
          <w:lang w:eastAsia="zh-CN"/>
        </w:rPr>
        <w:t>的问题，从而更适合分析夜间灯光强度对碳排放效率的空间溢出效应。主要变量的直接效应、间接效应和总效应的直观对比见附录图D2。</w:t>
      </w:r>
    </w:p>
    <w:p w14:paraId="578178BD">
      <w:pPr>
        <w:jc w:val="center"/>
        <w:rPr>
          <w:lang w:eastAsia="zh-CN"/>
        </w:rPr>
      </w:pPr>
      <w:r>
        <w:rPr>
          <w:lang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8" cstate="hqprint"/>
                    <a:stretch>
                      <a:fillRect/>
                    </a:stretch>
                  </pic:blipFill>
                  <pic:spPr>
                    <a:xfrm>
                      <a:off x="0" y="0"/>
                      <a:ext cx="5480685" cy="3326130"/>
                    </a:xfrm>
                    <a:prstGeom prst="rect">
                      <a:avLst/>
                    </a:prstGeom>
                  </pic:spPr>
                </pic:pic>
              </a:graphicData>
            </a:graphic>
          </wp:inline>
        </w:drawing>
      </w:r>
    </w:p>
    <w:p w14:paraId="1D01BE48">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19</w:t>
      </w:r>
      <w:r>
        <w:fldChar w:fldCharType="end"/>
      </w:r>
      <w:bookmarkStart w:id="59" w:name="_Toc29064"/>
      <w:r>
        <w:rPr>
          <w:rFonts w:hint="eastAsia"/>
          <w:lang w:eastAsia="zh-CN"/>
        </w:rPr>
        <w:t xml:space="preserve"> SDM空间效应森林图</w:t>
      </w:r>
      <w:bookmarkEnd w:id="59"/>
    </w:p>
    <w:p w14:paraId="66ED9EE7">
      <w:pPr>
        <w:spacing w:after="0"/>
        <w:ind w:firstLine="480" w:firstLineChars="200"/>
        <w:rPr>
          <w:rFonts w:ascii="宋体" w:hAnsi="宋体" w:cs="宋体"/>
          <w:szCs w:val="24"/>
          <w:lang w:eastAsia="zh-CN"/>
        </w:rPr>
      </w:pPr>
      <w:r>
        <w:rPr>
          <w:lang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宋体" w:hAnsi="宋体" w:cs="宋体"/>
          <w:szCs w:val="24"/>
          <w:lang w:eastAsia="zh-CN"/>
        </w:rPr>
        <w:t>夜间灯光强度在不同时点上的空间传导关系见附录图D3。</w:t>
      </w:r>
    </w:p>
    <w:p w14:paraId="3581F4F3">
      <w:pPr>
        <w:spacing w:after="0"/>
        <w:jc w:val="center"/>
        <w:rPr>
          <w:lang w:eastAsia="zh-CN"/>
        </w:rPr>
      </w:pPr>
      <w:r>
        <w:rPr>
          <w:lang w:eastAsia="zh-CN"/>
        </w:rPr>
        <w:drawing>
          <wp:inline distT="0" distB="0" distL="114300" distR="114300">
            <wp:extent cx="5376545" cy="4269740"/>
            <wp:effectExtent l="0" t="0" r="8255" b="10160"/>
            <wp:docPr id="9" name="图片 9"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ed37a7828e132e49748e5eb2b3c9f2"/>
                    <pic:cNvPicPr>
                      <a:picLocks noChangeAspect="1"/>
                    </pic:cNvPicPr>
                  </pic:nvPicPr>
                  <pic:blipFill>
                    <a:blip r:embed="rId29" cstate="hqprint"/>
                    <a:stretch>
                      <a:fillRect/>
                    </a:stretch>
                  </pic:blipFill>
                  <pic:spPr>
                    <a:xfrm>
                      <a:off x="0" y="0"/>
                      <a:ext cx="5383040" cy="4274806"/>
                    </a:xfrm>
                    <a:prstGeom prst="rect">
                      <a:avLst/>
                    </a:prstGeom>
                  </pic:spPr>
                </pic:pic>
              </a:graphicData>
            </a:graphic>
          </wp:inline>
        </w:drawing>
      </w:r>
    </w:p>
    <w:p w14:paraId="55C1957E">
      <w:pPr>
        <w:pStyle w:val="15"/>
        <w:spacing w:after="0"/>
        <w:jc w:val="center"/>
        <w:rPr>
          <w:lang w:eastAsia="zh-CN"/>
        </w:rPr>
      </w:pPr>
      <w:r>
        <w:t xml:space="preserve">图 </w:t>
      </w:r>
      <w:r>
        <w:fldChar w:fldCharType="begin"/>
      </w:r>
      <w:r>
        <w:instrText xml:space="preserve"> SEQ 图 \* ARABIC </w:instrText>
      </w:r>
      <w:r>
        <w:fldChar w:fldCharType="separate"/>
      </w:r>
      <w:r>
        <w:t>20</w:t>
      </w:r>
      <w:r>
        <w:fldChar w:fldCharType="end"/>
      </w:r>
      <w:r>
        <w:rPr>
          <w:rFonts w:hint="eastAsia"/>
          <w:lang w:val="en-US" w:eastAsia="zh-CN"/>
        </w:rPr>
        <w:t xml:space="preserve"> </w:t>
      </w:r>
      <w:r>
        <w:rPr>
          <w:lang w:eastAsia="zh-CN"/>
        </w:rPr>
        <w:t>LISA聚类图</w:t>
      </w:r>
    </w:p>
    <w:p w14:paraId="39C7E630">
      <w:pPr>
        <w:ind w:firstLine="720" w:firstLineChars="0"/>
        <w:rPr>
          <w:lang w:eastAsia="zh-CN"/>
        </w:rPr>
      </w:pPr>
      <w:r>
        <w:rPr>
          <w:lang w:eastAsia="zh-CN"/>
        </w:rPr>
        <w:t>图20进一步对夜间灯光强度的空间溢出关系进行了可视化展示。在局部空间集聚识别的基础上，图中叠加了省域碳排放效率节点大小以及夜间灯光强度的空间传导方向与符号，其中橙色连线表示正向溢出，蓝色连线表示负向溢出，节点大小反映碳排放效率水平。可以看出，夜间灯光强度的空间传导以正向溢出为主，说明区域经济活跃度提升所带来的基础设施完善、产业联动和要素流动，并不局限于本地区内部，而可能通过跨区域联系对周边地区碳排放效率产生带动作用。与此同时，图中仍存在少量负向溢出联系，表明不同地区之间在发展阶段、产业结构和资源承载条件上的差异，可能导致夜间灯光强度的空间影响方向并不完全一致。结合前文空间杜宾模型结果可知，夜间灯光强度的间接效应显著为正，这与该图所展示的跨区域传导格局相一致，进一步说明夜间灯光强度对碳排放效率的作用具有明显的空间外部性。</w:t>
      </w:r>
    </w:p>
    <w:p w14:paraId="44F60073">
      <w:pPr>
        <w:spacing w:after="0"/>
        <w:ind w:firstLine="480" w:firstLineChars="200"/>
        <w:rPr>
          <w:lang w:eastAsia="zh-CN"/>
        </w:rPr>
      </w:pPr>
      <w:r>
        <w:rPr>
          <w:lang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r>
        <w:rPr>
          <w:rFonts w:hint="eastAsia"/>
          <w:lang w:eastAsia="zh-CN"/>
        </w:rPr>
        <w:t>。</w:t>
      </w:r>
    </w:p>
    <w:p w14:paraId="2C7C1146">
      <w:pPr>
        <w:ind w:firstLine="480" w:firstLineChars="200"/>
        <w:rPr>
          <w:lang w:eastAsia="zh-CN"/>
        </w:rPr>
      </w:pPr>
      <w:r>
        <w:rPr>
          <w:lang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EAF6793">
      <w:pPr>
        <w:pStyle w:val="3"/>
        <w:jc w:val="both"/>
        <w:rPr>
          <w:color w:val="auto"/>
          <w:szCs w:val="30"/>
          <w:lang w:eastAsia="zh-CN"/>
        </w:rPr>
      </w:pPr>
      <w:bookmarkStart w:id="60" w:name="_Toc16931"/>
      <w:r>
        <w:rPr>
          <w:color w:val="auto"/>
          <w:szCs w:val="30"/>
          <w:lang w:eastAsia="zh-CN"/>
        </w:rPr>
        <w:t>八、面板回归模型诊断与稳健性检验</w:t>
      </w:r>
      <w:bookmarkEnd w:id="60"/>
    </w:p>
    <w:p w14:paraId="1A252E46">
      <w:pPr>
        <w:pStyle w:val="4"/>
        <w:jc w:val="both"/>
        <w:rPr>
          <w:rFonts w:ascii="楷体" w:hAnsi="楷体"/>
          <w:color w:val="auto"/>
          <w:lang w:eastAsia="zh-CN"/>
        </w:rPr>
      </w:pPr>
      <w:bookmarkStart w:id="61" w:name="_Toc5259"/>
      <w:r>
        <w:rPr>
          <w:rFonts w:ascii="楷体" w:hAnsi="楷体"/>
          <w:color w:val="auto"/>
          <w:lang w:eastAsia="zh-CN"/>
        </w:rPr>
        <w:t>（一）模型诊断</w:t>
      </w:r>
      <w:bookmarkEnd w:id="61"/>
    </w:p>
    <w:p w14:paraId="1F6CEBEE">
      <w:pPr>
        <w:spacing w:after="0" w:line="480" w:lineRule="exact"/>
        <w:ind w:firstLine="480" w:firstLineChars="200"/>
        <w:jc w:val="both"/>
        <w:rPr>
          <w:rFonts w:cs="Times New Roman"/>
          <w:lang w:eastAsia="zh-CN"/>
        </w:rPr>
      </w:pPr>
      <w:r>
        <w:rPr>
          <w:rFonts w:cs="Times New Roman"/>
          <w:lang w:eastAsia="zh-CN"/>
        </w:rPr>
        <w:t>本节主要针对第二阶段面板回归模型开展诊断分析，以检验基准设定的合理性和估计结果的可靠性。由表8可知，样本量为240，覆盖30个省级地区和8个年份。模型的 R</w:t>
      </w:r>
      <w:r>
        <w:rPr>
          <w:rFonts w:cs="Times New Roman"/>
          <w:vertAlign w:val="superscript"/>
          <w:lang w:eastAsia="zh-CN"/>
        </w:rPr>
        <w:t>2</w:t>
      </w:r>
      <w:r>
        <w:rPr>
          <w:rFonts w:cs="Times New Roman"/>
          <w:lang w:eastAsia="zh-CN"/>
        </w:rPr>
        <w:t xml:space="preserve"> 为0.2647，表明在控制省份固定效应和年份固定效应后，核心解释变量及控制变量仍能够解释约26.47%的省域碳排放效率变动。与此同时，F统计量和稳健F统计量对应的检验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0A3BB4A">
      <w:pPr>
        <w:pStyle w:val="15"/>
        <w:rPr>
          <w:lang w:eastAsia="zh-CN"/>
        </w:rPr>
      </w:pPr>
      <w:r>
        <w:rPr>
          <w:lang w:eastAsia="zh-CN"/>
        </w:rPr>
        <w:t xml:space="preserve">表 </w:t>
      </w:r>
      <w:r>
        <w:fldChar w:fldCharType="begin"/>
      </w:r>
      <w:r>
        <w:rPr>
          <w:lang w:eastAsia="zh-CN"/>
        </w:rPr>
        <w:instrText xml:space="preserve"> SEQ 表 \* ARABIC </w:instrText>
      </w:r>
      <w:r>
        <w:fldChar w:fldCharType="separate"/>
      </w:r>
      <w:r>
        <w:rPr>
          <w:lang w:eastAsia="zh-CN"/>
        </w:rPr>
        <w:t>8</w:t>
      </w:r>
      <w:r>
        <w:fldChar w:fldCharType="end"/>
      </w:r>
      <w:bookmarkStart w:id="62" w:name="_Toc5007"/>
      <w:r>
        <w:rPr>
          <w:rFonts w:hint="eastAsia"/>
          <w:lang w:eastAsia="zh-CN"/>
        </w:rPr>
        <w:t xml:space="preserve"> </w:t>
      </w:r>
      <w:r>
        <w:rPr>
          <w:lang w:eastAsia="zh-CN"/>
        </w:rPr>
        <w:t>基准面板回归模型拟合统计量与诊断摘要</w:t>
      </w:r>
      <w:bookmarkEnd w:id="62"/>
    </w:p>
    <w:tbl>
      <w:tblPr>
        <w:tblStyle w:val="41"/>
        <w:tblW w:w="8833"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32"/>
        <w:gridCol w:w="2205"/>
        <w:gridCol w:w="2232"/>
        <w:gridCol w:w="2164"/>
      </w:tblGrid>
      <w:tr w14:paraId="46085F4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2232" w:type="dxa"/>
            <w:tcBorders>
              <w:top w:val="single" w:color="000000" w:sz="12" w:space="0"/>
              <w:bottom w:val="single" w:color="000000" w:sz="4" w:space="0"/>
              <w:tl2br w:val="nil"/>
            </w:tcBorders>
            <w:shd w:val="clear" w:color="auto" w:fill="FFFFFF"/>
          </w:tcPr>
          <w:p w14:paraId="1454D7B5">
            <w:pPr>
              <w:spacing w:after="0" w:line="240" w:lineRule="auto"/>
              <w:jc w:val="center"/>
              <w:rPr>
                <w:rFonts w:cs="Times New Roman"/>
                <w:color w:val="000000"/>
                <w:szCs w:val="24"/>
              </w:rPr>
            </w:pPr>
            <w:r>
              <w:rPr>
                <w:rFonts w:cs="Times New Roman"/>
                <w:color w:val="000000"/>
                <w:szCs w:val="24"/>
              </w:rPr>
              <w:t>指标</w:t>
            </w:r>
          </w:p>
        </w:tc>
        <w:tc>
          <w:tcPr>
            <w:tcW w:w="2205" w:type="dxa"/>
            <w:tcBorders>
              <w:top w:val="single" w:color="000000" w:sz="12" w:space="0"/>
              <w:bottom w:val="single" w:color="000000" w:sz="4" w:space="0"/>
            </w:tcBorders>
            <w:shd w:val="clear" w:color="auto" w:fill="FFFFFF"/>
          </w:tcPr>
          <w:p w14:paraId="15E3FBB8">
            <w:pPr>
              <w:spacing w:after="0" w:line="240" w:lineRule="auto"/>
              <w:jc w:val="center"/>
              <w:rPr>
                <w:rFonts w:cs="Times New Roman"/>
                <w:color w:val="000000"/>
                <w:szCs w:val="24"/>
              </w:rPr>
            </w:pPr>
            <w:r>
              <w:rPr>
                <w:rFonts w:cs="Times New Roman"/>
                <w:color w:val="000000"/>
                <w:szCs w:val="24"/>
              </w:rPr>
              <w:t>值</w:t>
            </w:r>
          </w:p>
        </w:tc>
        <w:tc>
          <w:tcPr>
            <w:tcW w:w="2232" w:type="dxa"/>
            <w:tcBorders>
              <w:top w:val="single" w:color="000000" w:sz="12" w:space="0"/>
              <w:bottom w:val="single" w:color="000000" w:sz="4" w:space="0"/>
            </w:tcBorders>
            <w:shd w:val="clear" w:color="auto" w:fill="FFFFFF"/>
          </w:tcPr>
          <w:p w14:paraId="663C87D3">
            <w:pPr>
              <w:spacing w:after="0" w:line="240" w:lineRule="auto"/>
              <w:jc w:val="center"/>
              <w:rPr>
                <w:rFonts w:cs="Times New Roman"/>
                <w:color w:val="000000"/>
                <w:szCs w:val="24"/>
              </w:rPr>
            </w:pPr>
            <w:r>
              <w:rPr>
                <w:rFonts w:cs="Times New Roman"/>
                <w:color w:val="000000"/>
                <w:szCs w:val="24"/>
              </w:rPr>
              <w:t>指标</w:t>
            </w:r>
          </w:p>
        </w:tc>
        <w:tc>
          <w:tcPr>
            <w:tcW w:w="2164" w:type="dxa"/>
            <w:tcBorders>
              <w:top w:val="single" w:color="000000" w:sz="12" w:space="0"/>
              <w:bottom w:val="single" w:color="000000" w:sz="4" w:space="0"/>
            </w:tcBorders>
            <w:shd w:val="clear" w:color="auto" w:fill="FFFFFF"/>
          </w:tcPr>
          <w:p w14:paraId="3B339C85">
            <w:pPr>
              <w:spacing w:after="0" w:line="240" w:lineRule="auto"/>
              <w:jc w:val="center"/>
              <w:rPr>
                <w:rFonts w:cs="Times New Roman"/>
                <w:color w:val="000000"/>
                <w:szCs w:val="24"/>
              </w:rPr>
            </w:pPr>
            <w:r>
              <w:rPr>
                <w:rFonts w:cs="Times New Roman"/>
                <w:color w:val="000000"/>
                <w:szCs w:val="24"/>
              </w:rPr>
              <w:t>值</w:t>
            </w:r>
          </w:p>
        </w:tc>
      </w:tr>
      <w:tr w14:paraId="1C39F32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2232" w:type="dxa"/>
            <w:tcBorders>
              <w:top w:val="single" w:color="000000" w:sz="4" w:space="0"/>
              <w:bottom w:val="nil"/>
            </w:tcBorders>
            <w:shd w:val="clear" w:color="auto" w:fill="FFFFFF"/>
          </w:tcPr>
          <w:p w14:paraId="4A3AF849">
            <w:pPr>
              <w:spacing w:after="0" w:line="240" w:lineRule="auto"/>
              <w:jc w:val="center"/>
              <w:rPr>
                <w:rFonts w:cs="Times New Roman"/>
                <w:color w:val="000000"/>
                <w:szCs w:val="24"/>
              </w:rPr>
            </w:pPr>
            <w:r>
              <w:rPr>
                <w:rFonts w:cs="Times New Roman"/>
                <w:color w:val="000000"/>
                <w:szCs w:val="24"/>
              </w:rPr>
              <w:t>样本量（N）</w:t>
            </w:r>
          </w:p>
        </w:tc>
        <w:tc>
          <w:tcPr>
            <w:tcW w:w="2205" w:type="dxa"/>
            <w:tcBorders>
              <w:top w:val="single" w:color="000000" w:sz="4" w:space="0"/>
              <w:bottom w:val="nil"/>
            </w:tcBorders>
            <w:shd w:val="clear" w:color="auto" w:fill="FFFFFF"/>
          </w:tcPr>
          <w:p w14:paraId="5353E0C9">
            <w:pPr>
              <w:spacing w:after="0" w:line="240" w:lineRule="auto"/>
              <w:jc w:val="center"/>
              <w:rPr>
                <w:rFonts w:cs="Times New Roman"/>
                <w:color w:val="000000"/>
                <w:szCs w:val="24"/>
              </w:rPr>
            </w:pPr>
            <w:r>
              <w:rPr>
                <w:rFonts w:cs="Times New Roman"/>
                <w:color w:val="000000"/>
                <w:szCs w:val="24"/>
              </w:rPr>
              <w:t>240</w:t>
            </w:r>
          </w:p>
        </w:tc>
        <w:tc>
          <w:tcPr>
            <w:tcW w:w="2232" w:type="dxa"/>
            <w:tcBorders>
              <w:top w:val="single" w:color="000000" w:sz="4" w:space="0"/>
              <w:bottom w:val="nil"/>
            </w:tcBorders>
            <w:shd w:val="clear" w:color="auto" w:fill="FFFFFF"/>
          </w:tcPr>
          <w:p w14:paraId="53E357CF">
            <w:pPr>
              <w:spacing w:after="0" w:line="240" w:lineRule="auto"/>
              <w:jc w:val="center"/>
              <w:rPr>
                <w:rFonts w:cs="Times New Roman"/>
                <w:color w:val="000000"/>
                <w:szCs w:val="24"/>
              </w:rPr>
            </w:pPr>
            <w:r>
              <w:rPr>
                <w:rFonts w:cs="Times New Roman"/>
                <w:color w:val="000000"/>
                <w:szCs w:val="24"/>
              </w:rPr>
              <w:t>省份数量</w:t>
            </w:r>
          </w:p>
        </w:tc>
        <w:tc>
          <w:tcPr>
            <w:tcW w:w="2164" w:type="dxa"/>
            <w:tcBorders>
              <w:top w:val="single" w:color="000000" w:sz="4" w:space="0"/>
              <w:bottom w:val="nil"/>
            </w:tcBorders>
            <w:shd w:val="clear" w:color="auto" w:fill="FFFFFF"/>
          </w:tcPr>
          <w:p w14:paraId="53AC8367">
            <w:pPr>
              <w:spacing w:after="0" w:line="240" w:lineRule="auto"/>
              <w:jc w:val="center"/>
              <w:rPr>
                <w:rFonts w:cs="Times New Roman"/>
                <w:color w:val="000000"/>
                <w:szCs w:val="24"/>
              </w:rPr>
            </w:pPr>
            <w:r>
              <w:rPr>
                <w:rFonts w:cs="Times New Roman"/>
                <w:color w:val="000000"/>
                <w:szCs w:val="24"/>
              </w:rPr>
              <w:t>30</w:t>
            </w:r>
          </w:p>
        </w:tc>
      </w:tr>
      <w:tr w14:paraId="616D50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2232" w:type="dxa"/>
            <w:tcBorders>
              <w:top w:val="nil"/>
              <w:bottom w:val="nil"/>
            </w:tcBorders>
            <w:shd w:val="clear" w:color="auto" w:fill="FFFFFF"/>
          </w:tcPr>
          <w:p w14:paraId="7631750E">
            <w:pPr>
              <w:spacing w:after="0" w:line="240" w:lineRule="auto"/>
              <w:jc w:val="center"/>
              <w:rPr>
                <w:rFonts w:cs="Times New Roman"/>
                <w:color w:val="000000"/>
                <w:szCs w:val="24"/>
              </w:rPr>
            </w:pPr>
            <w:r>
              <w:rPr>
                <w:rFonts w:cs="Times New Roman"/>
                <w:color w:val="000000"/>
                <w:szCs w:val="24"/>
              </w:rPr>
              <w:t>年份数量</w:t>
            </w:r>
          </w:p>
        </w:tc>
        <w:tc>
          <w:tcPr>
            <w:tcW w:w="2205" w:type="dxa"/>
            <w:tcBorders>
              <w:top w:val="nil"/>
              <w:bottom w:val="nil"/>
            </w:tcBorders>
            <w:shd w:val="clear" w:color="auto" w:fill="FFFFFF"/>
          </w:tcPr>
          <w:p w14:paraId="62649724">
            <w:pPr>
              <w:spacing w:after="0" w:line="240" w:lineRule="auto"/>
              <w:jc w:val="center"/>
              <w:rPr>
                <w:rFonts w:cs="Times New Roman"/>
                <w:color w:val="000000"/>
                <w:szCs w:val="24"/>
              </w:rPr>
            </w:pPr>
            <w:r>
              <w:rPr>
                <w:rFonts w:cs="Times New Roman"/>
                <w:color w:val="000000"/>
                <w:szCs w:val="24"/>
              </w:rPr>
              <w:t>8</w:t>
            </w:r>
          </w:p>
        </w:tc>
        <w:tc>
          <w:tcPr>
            <w:tcW w:w="2232" w:type="dxa"/>
            <w:tcBorders>
              <w:top w:val="nil"/>
              <w:bottom w:val="nil"/>
            </w:tcBorders>
            <w:shd w:val="clear" w:color="auto" w:fill="FFFFFF"/>
          </w:tcPr>
          <w:p w14:paraId="48072010">
            <w:pPr>
              <w:spacing w:after="0" w:line="240" w:lineRule="auto"/>
              <w:jc w:val="center"/>
              <w:rPr>
                <w:rFonts w:cs="Times New Roman"/>
                <w:color w:val="000000"/>
                <w:szCs w:val="24"/>
              </w:rPr>
            </w:pPr>
            <w:r>
              <w:rPr>
                <w:rFonts w:cs="Times New Roman"/>
                <w:color w:val="000000"/>
                <w:szCs w:val="24"/>
              </w:rPr>
              <w:t>R²</w:t>
            </w:r>
          </w:p>
        </w:tc>
        <w:tc>
          <w:tcPr>
            <w:tcW w:w="2164" w:type="dxa"/>
            <w:tcBorders>
              <w:top w:val="nil"/>
              <w:bottom w:val="nil"/>
            </w:tcBorders>
            <w:shd w:val="clear" w:color="auto" w:fill="FFFFFF"/>
          </w:tcPr>
          <w:p w14:paraId="5465D370">
            <w:pPr>
              <w:spacing w:after="0" w:line="240" w:lineRule="auto"/>
              <w:jc w:val="center"/>
              <w:rPr>
                <w:rFonts w:cs="Times New Roman"/>
                <w:color w:val="000000"/>
                <w:szCs w:val="24"/>
              </w:rPr>
            </w:pPr>
            <w:r>
              <w:rPr>
                <w:rFonts w:cs="Times New Roman"/>
                <w:color w:val="000000"/>
                <w:szCs w:val="24"/>
              </w:rPr>
              <w:t>0.2647</w:t>
            </w:r>
          </w:p>
        </w:tc>
      </w:tr>
      <w:tr w14:paraId="170A36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2232" w:type="dxa"/>
            <w:tcBorders>
              <w:top w:val="nil"/>
              <w:bottom w:val="nil"/>
            </w:tcBorders>
            <w:shd w:val="clear" w:color="auto" w:fill="FFFFFF"/>
          </w:tcPr>
          <w:p w14:paraId="39B305D1">
            <w:pPr>
              <w:spacing w:after="0" w:line="240" w:lineRule="auto"/>
              <w:jc w:val="center"/>
              <w:rPr>
                <w:rFonts w:cs="Times New Roman"/>
                <w:color w:val="000000"/>
                <w:szCs w:val="24"/>
              </w:rPr>
            </w:pPr>
            <w:r>
              <w:rPr>
                <w:rFonts w:cs="Times New Roman"/>
                <w:color w:val="000000"/>
                <w:szCs w:val="24"/>
              </w:rPr>
              <w:t>F统计量</w:t>
            </w:r>
          </w:p>
        </w:tc>
        <w:tc>
          <w:tcPr>
            <w:tcW w:w="2205" w:type="dxa"/>
            <w:tcBorders>
              <w:top w:val="nil"/>
              <w:bottom w:val="nil"/>
            </w:tcBorders>
            <w:shd w:val="clear" w:color="auto" w:fill="FFFFFF"/>
          </w:tcPr>
          <w:p w14:paraId="23F300D0">
            <w:pPr>
              <w:spacing w:after="0" w:line="240" w:lineRule="auto"/>
              <w:jc w:val="center"/>
              <w:rPr>
                <w:rFonts w:cs="Times New Roman"/>
                <w:color w:val="000000"/>
                <w:szCs w:val="24"/>
              </w:rPr>
            </w:pPr>
            <w:r>
              <w:rPr>
                <w:rFonts w:cs="Times New Roman"/>
                <w:color w:val="000000"/>
                <w:szCs w:val="24"/>
              </w:rPr>
              <w:t>11.8219</w:t>
            </w:r>
          </w:p>
        </w:tc>
        <w:tc>
          <w:tcPr>
            <w:tcW w:w="2232" w:type="dxa"/>
            <w:tcBorders>
              <w:top w:val="nil"/>
              <w:bottom w:val="nil"/>
            </w:tcBorders>
            <w:shd w:val="clear" w:color="auto" w:fill="FFFFFF"/>
          </w:tcPr>
          <w:p w14:paraId="3C72F5E4">
            <w:pPr>
              <w:spacing w:after="0" w:line="240" w:lineRule="auto"/>
              <w:jc w:val="center"/>
              <w:rPr>
                <w:rFonts w:cs="Times New Roman"/>
                <w:color w:val="000000"/>
                <w:szCs w:val="24"/>
              </w:rPr>
            </w:pPr>
            <w:r>
              <w:rPr>
                <w:rFonts w:cs="Times New Roman"/>
                <w:color w:val="000000"/>
                <w:szCs w:val="24"/>
              </w:rPr>
              <w:t>F检验p值</w:t>
            </w:r>
          </w:p>
        </w:tc>
        <w:tc>
          <w:tcPr>
            <w:tcW w:w="2164" w:type="dxa"/>
            <w:tcBorders>
              <w:top w:val="nil"/>
              <w:bottom w:val="nil"/>
            </w:tcBorders>
            <w:shd w:val="clear" w:color="auto" w:fill="FFFFFF"/>
          </w:tcPr>
          <w:p w14:paraId="21500CDD">
            <w:pPr>
              <w:spacing w:after="0" w:line="240" w:lineRule="auto"/>
              <w:jc w:val="center"/>
              <w:rPr>
                <w:rFonts w:cs="Times New Roman"/>
                <w:color w:val="000000"/>
                <w:szCs w:val="24"/>
              </w:rPr>
            </w:pPr>
            <w:r>
              <w:rPr>
                <w:rFonts w:cs="Times New Roman"/>
                <w:color w:val="000000"/>
                <w:szCs w:val="24"/>
              </w:rPr>
              <w:t>&lt;0.001</w:t>
            </w:r>
          </w:p>
        </w:tc>
      </w:tr>
      <w:tr w14:paraId="4EE074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2232" w:type="dxa"/>
            <w:tcBorders>
              <w:top w:val="nil"/>
              <w:bottom w:val="nil"/>
            </w:tcBorders>
            <w:shd w:val="clear" w:color="auto" w:fill="FFFFFF"/>
          </w:tcPr>
          <w:p w14:paraId="7DD4F4A3">
            <w:pPr>
              <w:spacing w:after="0" w:line="240" w:lineRule="auto"/>
              <w:jc w:val="center"/>
              <w:rPr>
                <w:rFonts w:cs="Times New Roman"/>
                <w:color w:val="000000"/>
                <w:szCs w:val="24"/>
              </w:rPr>
            </w:pPr>
            <w:r>
              <w:rPr>
                <w:rFonts w:cs="Times New Roman"/>
                <w:color w:val="000000"/>
                <w:szCs w:val="24"/>
              </w:rPr>
              <w:t>稳健F统计量</w:t>
            </w:r>
          </w:p>
        </w:tc>
        <w:tc>
          <w:tcPr>
            <w:tcW w:w="2205" w:type="dxa"/>
            <w:tcBorders>
              <w:top w:val="nil"/>
              <w:bottom w:val="nil"/>
            </w:tcBorders>
            <w:shd w:val="clear" w:color="auto" w:fill="FFFFFF"/>
          </w:tcPr>
          <w:p w14:paraId="6DBA0367">
            <w:pPr>
              <w:spacing w:after="0" w:line="240" w:lineRule="auto"/>
              <w:jc w:val="center"/>
              <w:rPr>
                <w:rFonts w:cs="Times New Roman"/>
                <w:color w:val="000000"/>
                <w:szCs w:val="24"/>
              </w:rPr>
            </w:pPr>
            <w:r>
              <w:rPr>
                <w:rFonts w:cs="Times New Roman"/>
                <w:color w:val="000000"/>
                <w:szCs w:val="24"/>
              </w:rPr>
              <w:t>339.9053</w:t>
            </w:r>
          </w:p>
        </w:tc>
        <w:tc>
          <w:tcPr>
            <w:tcW w:w="2232" w:type="dxa"/>
            <w:tcBorders>
              <w:top w:val="nil"/>
              <w:bottom w:val="nil"/>
            </w:tcBorders>
            <w:shd w:val="clear" w:color="auto" w:fill="FFFFFF"/>
          </w:tcPr>
          <w:p w14:paraId="14217FBB">
            <w:pPr>
              <w:spacing w:after="0" w:line="240" w:lineRule="auto"/>
              <w:jc w:val="center"/>
              <w:rPr>
                <w:rFonts w:cs="Times New Roman"/>
                <w:color w:val="000000"/>
                <w:szCs w:val="24"/>
              </w:rPr>
            </w:pPr>
            <w:r>
              <w:rPr>
                <w:rFonts w:cs="Times New Roman"/>
                <w:color w:val="000000"/>
                <w:szCs w:val="24"/>
              </w:rPr>
              <w:t>稳健F检验p值</w:t>
            </w:r>
          </w:p>
        </w:tc>
        <w:tc>
          <w:tcPr>
            <w:tcW w:w="2164" w:type="dxa"/>
            <w:tcBorders>
              <w:top w:val="nil"/>
              <w:bottom w:val="nil"/>
            </w:tcBorders>
            <w:shd w:val="clear" w:color="auto" w:fill="FFFFFF"/>
          </w:tcPr>
          <w:p w14:paraId="642DDF68">
            <w:pPr>
              <w:spacing w:after="0" w:line="240" w:lineRule="auto"/>
              <w:jc w:val="center"/>
              <w:rPr>
                <w:rFonts w:cs="Times New Roman"/>
                <w:color w:val="000000"/>
                <w:szCs w:val="24"/>
              </w:rPr>
            </w:pPr>
            <w:r>
              <w:rPr>
                <w:rFonts w:cs="Times New Roman"/>
                <w:color w:val="000000"/>
                <w:szCs w:val="24"/>
              </w:rPr>
              <w:t>&lt;0.001</w:t>
            </w:r>
          </w:p>
        </w:tc>
      </w:tr>
      <w:tr w14:paraId="212DE4A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09" w:hRule="atLeast"/>
          <w:jc w:val="center"/>
        </w:trPr>
        <w:tc>
          <w:tcPr>
            <w:tcW w:w="2232" w:type="dxa"/>
            <w:tcBorders>
              <w:top w:val="nil"/>
              <w:bottom w:val="nil"/>
            </w:tcBorders>
            <w:shd w:val="clear" w:color="auto" w:fill="FFFFFF"/>
          </w:tcPr>
          <w:p w14:paraId="13E7ABF2">
            <w:pPr>
              <w:spacing w:after="0" w:line="240" w:lineRule="auto"/>
              <w:jc w:val="center"/>
              <w:rPr>
                <w:rFonts w:cs="Times New Roman"/>
                <w:color w:val="000000"/>
                <w:szCs w:val="24"/>
              </w:rPr>
            </w:pPr>
            <w:r>
              <w:rPr>
                <w:rFonts w:cs="Times New Roman"/>
                <w:color w:val="000000"/>
                <w:szCs w:val="24"/>
              </w:rPr>
              <w:t>Poolability F统计量</w:t>
            </w:r>
          </w:p>
        </w:tc>
        <w:tc>
          <w:tcPr>
            <w:tcW w:w="2205" w:type="dxa"/>
            <w:tcBorders>
              <w:top w:val="nil"/>
              <w:bottom w:val="nil"/>
            </w:tcBorders>
            <w:shd w:val="clear" w:color="auto" w:fill="FFFFFF"/>
          </w:tcPr>
          <w:p w14:paraId="39BC19C3">
            <w:pPr>
              <w:spacing w:after="0" w:line="240" w:lineRule="auto"/>
              <w:jc w:val="center"/>
              <w:rPr>
                <w:rFonts w:cs="Times New Roman"/>
                <w:color w:val="000000"/>
                <w:szCs w:val="24"/>
              </w:rPr>
            </w:pPr>
            <w:r>
              <w:rPr>
                <w:rFonts w:cs="Times New Roman"/>
                <w:color w:val="000000"/>
                <w:szCs w:val="24"/>
              </w:rPr>
              <w:t>60.6509</w:t>
            </w:r>
          </w:p>
        </w:tc>
        <w:tc>
          <w:tcPr>
            <w:tcW w:w="2232" w:type="dxa"/>
            <w:tcBorders>
              <w:top w:val="nil"/>
              <w:bottom w:val="nil"/>
            </w:tcBorders>
            <w:shd w:val="clear" w:color="auto" w:fill="FFFFFF"/>
          </w:tcPr>
          <w:p w14:paraId="0035262F">
            <w:pPr>
              <w:spacing w:after="0" w:line="240" w:lineRule="auto"/>
              <w:jc w:val="center"/>
              <w:rPr>
                <w:rFonts w:cs="Times New Roman"/>
                <w:color w:val="000000"/>
                <w:szCs w:val="24"/>
              </w:rPr>
            </w:pPr>
            <w:r>
              <w:rPr>
                <w:rFonts w:cs="Times New Roman"/>
                <w:color w:val="000000"/>
                <w:szCs w:val="24"/>
              </w:rPr>
              <w:t>Poolability检验p值</w:t>
            </w:r>
          </w:p>
        </w:tc>
        <w:tc>
          <w:tcPr>
            <w:tcW w:w="2164" w:type="dxa"/>
            <w:tcBorders>
              <w:top w:val="nil"/>
              <w:bottom w:val="nil"/>
            </w:tcBorders>
            <w:shd w:val="clear" w:color="auto" w:fill="FFFFFF"/>
          </w:tcPr>
          <w:p w14:paraId="12069279">
            <w:pPr>
              <w:spacing w:after="0" w:line="240" w:lineRule="auto"/>
              <w:jc w:val="center"/>
              <w:rPr>
                <w:rFonts w:cs="Times New Roman"/>
                <w:color w:val="000000"/>
                <w:szCs w:val="24"/>
              </w:rPr>
            </w:pPr>
            <w:r>
              <w:rPr>
                <w:rFonts w:cs="Times New Roman"/>
                <w:color w:val="000000"/>
                <w:szCs w:val="24"/>
              </w:rPr>
              <w:t>&lt;0.001</w:t>
            </w:r>
          </w:p>
        </w:tc>
      </w:tr>
      <w:tr w14:paraId="751E034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1" w:hRule="atLeast"/>
          <w:jc w:val="center"/>
        </w:trPr>
        <w:tc>
          <w:tcPr>
            <w:tcW w:w="2232" w:type="dxa"/>
            <w:tcBorders>
              <w:top w:val="nil"/>
              <w:bottom w:val="single" w:color="000000" w:sz="12" w:space="0"/>
            </w:tcBorders>
            <w:shd w:val="clear" w:color="auto" w:fill="FFFFFF"/>
          </w:tcPr>
          <w:p w14:paraId="78AABC4F">
            <w:pPr>
              <w:spacing w:after="0" w:line="240" w:lineRule="auto"/>
              <w:jc w:val="center"/>
              <w:rPr>
                <w:rFonts w:cs="Times New Roman"/>
                <w:color w:val="000000"/>
                <w:szCs w:val="24"/>
              </w:rPr>
            </w:pPr>
            <w:r>
              <w:rPr>
                <w:rFonts w:cs="Times New Roman"/>
                <w:color w:val="000000"/>
                <w:szCs w:val="24"/>
              </w:rPr>
              <w:t>协方差估计方法</w:t>
            </w:r>
          </w:p>
        </w:tc>
        <w:tc>
          <w:tcPr>
            <w:tcW w:w="2205" w:type="dxa"/>
            <w:tcBorders>
              <w:top w:val="nil"/>
              <w:bottom w:val="single" w:color="000000" w:sz="12" w:space="0"/>
            </w:tcBorders>
            <w:shd w:val="clear" w:color="auto" w:fill="FFFFFF"/>
          </w:tcPr>
          <w:p w14:paraId="49071198">
            <w:pPr>
              <w:spacing w:after="0" w:line="240" w:lineRule="auto"/>
              <w:jc w:val="center"/>
              <w:rPr>
                <w:rFonts w:cs="Times New Roman"/>
                <w:color w:val="000000"/>
                <w:szCs w:val="24"/>
              </w:rPr>
            </w:pPr>
            <w:r>
              <w:rPr>
                <w:rFonts w:cs="Times New Roman"/>
                <w:color w:val="000000"/>
                <w:szCs w:val="24"/>
              </w:rPr>
              <w:t>Driscoll-Kraay</w:t>
            </w:r>
          </w:p>
        </w:tc>
        <w:tc>
          <w:tcPr>
            <w:tcW w:w="2232" w:type="dxa"/>
            <w:tcBorders>
              <w:top w:val="nil"/>
              <w:bottom w:val="single" w:color="000000" w:sz="12" w:space="0"/>
            </w:tcBorders>
            <w:shd w:val="clear" w:color="auto" w:fill="FFFFFF"/>
          </w:tcPr>
          <w:p w14:paraId="2F3AC777">
            <w:pPr>
              <w:spacing w:after="0" w:line="240" w:lineRule="auto"/>
              <w:jc w:val="center"/>
              <w:rPr>
                <w:rFonts w:cs="Times New Roman"/>
                <w:color w:val="000000"/>
                <w:szCs w:val="24"/>
              </w:rPr>
            </w:pPr>
            <w:r>
              <w:rPr>
                <w:rFonts w:cs="Times New Roman"/>
                <w:color w:val="000000"/>
                <w:szCs w:val="24"/>
              </w:rPr>
              <w:t>参数个数</w:t>
            </w:r>
          </w:p>
        </w:tc>
        <w:tc>
          <w:tcPr>
            <w:tcW w:w="2164" w:type="dxa"/>
            <w:tcBorders>
              <w:top w:val="nil"/>
              <w:bottom w:val="single" w:color="000000" w:sz="12" w:space="0"/>
            </w:tcBorders>
            <w:shd w:val="clear" w:color="auto" w:fill="FFFFFF"/>
          </w:tcPr>
          <w:p w14:paraId="7D02F280">
            <w:pPr>
              <w:spacing w:after="0" w:line="240" w:lineRule="auto"/>
              <w:jc w:val="center"/>
              <w:rPr>
                <w:rFonts w:cs="Times New Roman"/>
                <w:color w:val="000000"/>
                <w:szCs w:val="24"/>
              </w:rPr>
            </w:pPr>
            <w:r>
              <w:rPr>
                <w:rFonts w:cs="Times New Roman"/>
                <w:color w:val="000000"/>
                <w:szCs w:val="24"/>
              </w:rPr>
              <w:t>6</w:t>
            </w:r>
          </w:p>
        </w:tc>
      </w:tr>
    </w:tbl>
    <w:p w14:paraId="1B706821">
      <w:pPr>
        <w:jc w:val="center"/>
        <w:rPr>
          <w:lang w:eastAsia="zh-CN"/>
        </w:rPr>
      </w:pPr>
      <w:r>
        <w:rPr>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cstate="hqprint"/>
                    <a:srcRect/>
                    <a:stretch>
                      <a:fillRect/>
                    </a:stretch>
                  </pic:blipFill>
                  <pic:spPr>
                    <a:xfrm>
                      <a:off x="0" y="0"/>
                      <a:ext cx="5779135" cy="2789555"/>
                    </a:xfrm>
                    <a:prstGeom prst="rect">
                      <a:avLst/>
                    </a:prstGeom>
                  </pic:spPr>
                </pic:pic>
              </a:graphicData>
            </a:graphic>
          </wp:inline>
        </w:drawing>
      </w:r>
    </w:p>
    <w:p w14:paraId="4257696B">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21</w:t>
      </w:r>
      <w:r>
        <w:fldChar w:fldCharType="end"/>
      </w:r>
      <w:bookmarkStart w:id="63" w:name="_Toc19481"/>
      <w:r>
        <w:rPr>
          <w:rFonts w:hint="eastAsia"/>
          <w:lang w:eastAsia="zh-CN"/>
        </w:rPr>
        <w:t xml:space="preserve"> 基准模型拟合与残差诊断图</w:t>
      </w:r>
      <w:bookmarkEnd w:id="63"/>
    </w:p>
    <w:p w14:paraId="2E7406E3">
      <w:pPr>
        <w:ind w:firstLine="480" w:firstLineChars="200"/>
        <w:jc w:val="both"/>
        <w:rPr>
          <w:lang w:eastAsia="zh-CN"/>
        </w:rPr>
      </w:pPr>
      <w:r>
        <w:rPr>
          <w:rStyle w:val="144"/>
          <w:rFonts w:hint="eastAsia"/>
          <w:sz w:val="24"/>
          <w:szCs w:val="22"/>
          <w:lang w:eastAsia="zh-CN"/>
        </w:rPr>
        <w:t>图2</w:t>
      </w:r>
      <w:r>
        <w:rPr>
          <w:rStyle w:val="144"/>
          <w:sz w:val="24"/>
          <w:szCs w:val="22"/>
          <w:lang w:eastAsia="zh-CN"/>
        </w:rPr>
        <w:t>3</w:t>
      </w:r>
      <w:r>
        <w:rPr>
          <w:rStyle w:val="144"/>
          <w:rFonts w:hint="eastAsia"/>
          <w:sz w:val="24"/>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图中样本点整体贴近参考线，仅在尾部存在一定偏离。这表明基准模型的残差特征总体稳定，图形诊断结果与表8中的统计结果基本一致。</w:t>
      </w:r>
    </w:p>
    <w:p w14:paraId="34390436">
      <w:pPr>
        <w:pStyle w:val="4"/>
        <w:jc w:val="both"/>
        <w:rPr>
          <w:rFonts w:ascii="楷体" w:hAnsi="楷体"/>
          <w:color w:val="auto"/>
          <w:lang w:eastAsia="zh-CN"/>
        </w:rPr>
      </w:pPr>
      <w:bookmarkStart w:id="64" w:name="_Toc14908"/>
      <w:r>
        <w:rPr>
          <w:rFonts w:ascii="楷体" w:hAnsi="楷体"/>
          <w:color w:val="auto"/>
          <w:lang w:eastAsia="zh-CN"/>
        </w:rPr>
        <w:t>（二）</w:t>
      </w:r>
      <w:r>
        <w:rPr>
          <w:rFonts w:hint="eastAsia" w:ascii="楷体" w:hAnsi="楷体"/>
          <w:color w:val="auto"/>
          <w:lang w:eastAsia="zh-CN"/>
        </w:rPr>
        <w:t>稳健性检验</w:t>
      </w:r>
      <w:bookmarkEnd w:id="64"/>
    </w:p>
    <w:p w14:paraId="0A636BFB">
      <w:pPr>
        <w:jc w:val="center"/>
        <w:rPr>
          <w:lang w:eastAsia="zh-CN"/>
        </w:rPr>
      </w:pPr>
      <w:r>
        <w:rPr>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cstate="hqprint"/>
                    <a:stretch>
                      <a:fillRect/>
                    </a:stretch>
                  </pic:blipFill>
                  <pic:spPr>
                    <a:xfrm>
                      <a:off x="0" y="0"/>
                      <a:ext cx="5482590" cy="3080385"/>
                    </a:xfrm>
                    <a:prstGeom prst="rect">
                      <a:avLst/>
                    </a:prstGeom>
                  </pic:spPr>
                </pic:pic>
              </a:graphicData>
            </a:graphic>
          </wp:inline>
        </w:drawing>
      </w:r>
    </w:p>
    <w:p w14:paraId="23321FED">
      <w:pPr>
        <w:pStyle w:val="15"/>
        <w:rPr>
          <w:lang w:eastAsia="zh-CN"/>
        </w:rPr>
      </w:pPr>
      <w:r>
        <w:rPr>
          <w:lang w:eastAsia="zh-CN"/>
        </w:rPr>
        <w:t xml:space="preserve">图 </w:t>
      </w:r>
      <w:r>
        <w:fldChar w:fldCharType="begin"/>
      </w:r>
      <w:r>
        <w:rPr>
          <w:lang w:eastAsia="zh-CN"/>
        </w:rPr>
        <w:instrText xml:space="preserve"> SEQ 图 \* ARABIC </w:instrText>
      </w:r>
      <w:r>
        <w:fldChar w:fldCharType="separate"/>
      </w:r>
      <w:r>
        <w:rPr>
          <w:lang w:eastAsia="zh-CN"/>
        </w:rPr>
        <w:t>22</w:t>
      </w:r>
      <w:r>
        <w:fldChar w:fldCharType="end"/>
      </w:r>
      <w:bookmarkStart w:id="65" w:name="_Toc30798"/>
      <w:r>
        <w:rPr>
          <w:rFonts w:hint="eastAsia"/>
          <w:lang w:eastAsia="zh-CN"/>
        </w:rPr>
        <w:t xml:space="preserve"> 稳健性检验核心系数森林图</w:t>
      </w:r>
      <w:bookmarkEnd w:id="65"/>
    </w:p>
    <w:p w14:paraId="54FF9339">
      <w:pPr>
        <w:ind w:firstLine="480" w:firstLineChars="200"/>
        <w:jc w:val="both"/>
        <w:rPr>
          <w:lang w:eastAsia="zh-CN"/>
        </w:rPr>
      </w:pPr>
      <w:r>
        <w:rPr>
          <w:rFonts w:hint="eastAsia"/>
          <w:lang w:eastAsia="zh-CN"/>
        </w:rPr>
        <w:t>图2</w:t>
      </w:r>
      <w:r>
        <w:rPr>
          <w:lang w:eastAsia="zh-CN"/>
        </w:rPr>
        <w:t>4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w:t>
      </w:r>
    </w:p>
    <w:p w14:paraId="6BBFE086">
      <w:pPr>
        <w:pStyle w:val="4"/>
        <w:jc w:val="both"/>
        <w:rPr>
          <w:rFonts w:ascii="楷体" w:hAnsi="楷体"/>
          <w:color w:val="auto"/>
          <w:lang w:eastAsia="zh-CN"/>
        </w:rPr>
      </w:pPr>
      <w:bookmarkStart w:id="66" w:name="_Toc30172"/>
      <w:r>
        <w:rPr>
          <w:rFonts w:ascii="楷体" w:hAnsi="楷体"/>
          <w:color w:val="auto"/>
          <w:lang w:eastAsia="zh-CN"/>
        </w:rPr>
        <w:t>（三）区域异质性的补充说明</w:t>
      </w:r>
      <w:bookmarkEnd w:id="66"/>
    </w:p>
    <w:p w14:paraId="3B156752">
      <w:pPr>
        <w:spacing w:after="0" w:line="480" w:lineRule="exact"/>
        <w:ind w:firstLine="480" w:firstLineChars="200"/>
        <w:jc w:val="both"/>
        <w:rPr>
          <w:rFonts w:ascii="宋体" w:hAnsi="宋体"/>
          <w:lang w:eastAsia="zh-CN"/>
        </w:rPr>
      </w:pPr>
      <w:r>
        <w:rPr>
          <w:rFonts w:ascii="宋体" w:hAnsi="宋体"/>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F298B55">
      <w:pPr>
        <w:pStyle w:val="3"/>
        <w:jc w:val="both"/>
        <w:rPr>
          <w:color w:val="auto"/>
          <w:szCs w:val="30"/>
          <w:lang w:eastAsia="zh-CN"/>
        </w:rPr>
      </w:pPr>
      <w:bookmarkStart w:id="67" w:name="_Toc29333"/>
      <w:r>
        <w:rPr>
          <w:color w:val="auto"/>
          <w:szCs w:val="30"/>
          <w:lang w:eastAsia="zh-CN"/>
        </w:rPr>
        <w:t>九、研究结论与政策建议</w:t>
      </w:r>
      <w:bookmarkEnd w:id="67"/>
    </w:p>
    <w:p w14:paraId="37D30DDA">
      <w:pPr>
        <w:pStyle w:val="4"/>
        <w:jc w:val="both"/>
        <w:rPr>
          <w:rFonts w:ascii="楷体" w:hAnsi="楷体"/>
          <w:color w:val="auto"/>
          <w:lang w:eastAsia="zh-CN"/>
        </w:rPr>
      </w:pPr>
      <w:bookmarkStart w:id="68" w:name="_Toc3210"/>
      <w:r>
        <w:rPr>
          <w:rFonts w:ascii="楷体" w:hAnsi="楷体"/>
          <w:color w:val="auto"/>
          <w:lang w:eastAsia="zh-CN"/>
        </w:rPr>
        <w:t>（一）研究结论</w:t>
      </w:r>
      <w:bookmarkEnd w:id="68"/>
    </w:p>
    <w:p w14:paraId="021AF919">
      <w:pPr>
        <w:spacing w:after="120" w:afterLines="50" w:line="480" w:lineRule="exact"/>
        <w:ind w:firstLine="480" w:firstLineChars="200"/>
        <w:jc w:val="both"/>
        <w:rPr>
          <w:rFonts w:cs="Times New Roman"/>
          <w:lang w:eastAsia="zh-CN"/>
        </w:rPr>
      </w:pPr>
      <w:r>
        <w:rPr>
          <w:rFonts w:cs="Times New Roman"/>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省域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省域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夜间灯光强度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bookmarkStart w:id="69" w:name="_Toc29053"/>
    </w:p>
    <w:p w14:paraId="36C73318">
      <w:pPr>
        <w:pStyle w:val="4"/>
        <w:bidi w:val="0"/>
        <w:rPr>
          <w:lang w:eastAsia="zh-CN"/>
        </w:rPr>
      </w:pPr>
      <w:r>
        <w:rPr>
          <w:lang w:eastAsia="zh-CN"/>
        </w:rPr>
        <w:t>（二）政策</w:t>
      </w:r>
      <w:bookmarkStart w:id="84" w:name="_GoBack"/>
      <w:bookmarkEnd w:id="84"/>
      <w:r>
        <w:rPr>
          <w:lang w:eastAsia="zh-CN"/>
        </w:rPr>
        <w:t>建议</w:t>
      </w:r>
      <w:bookmarkEnd w:id="69"/>
    </w:p>
    <w:p w14:paraId="130003D3">
      <w:pPr>
        <w:spacing w:after="0" w:line="480" w:lineRule="exact"/>
        <w:ind w:firstLine="480" w:firstLineChars="200"/>
        <w:jc w:val="both"/>
        <w:rPr>
          <w:rFonts w:ascii="宋体" w:hAnsi="宋体"/>
          <w:lang w:eastAsia="zh-CN"/>
        </w:rPr>
      </w:pPr>
      <w:r>
        <w:rPr>
          <w:rFonts w:ascii="宋体" w:hAnsi="宋体"/>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029F82E8">
      <w:pPr>
        <w:spacing w:after="0" w:line="480" w:lineRule="exact"/>
        <w:ind w:firstLine="480" w:firstLineChars="200"/>
        <w:jc w:val="both"/>
        <w:rPr>
          <w:rFonts w:ascii="宋体" w:hAnsi="宋体"/>
          <w:lang w:eastAsia="zh-CN"/>
        </w:rPr>
      </w:pPr>
      <w:r>
        <w:rPr>
          <w:rFonts w:ascii="宋体" w:hAnsi="宋体"/>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3C6DBC2C">
      <w:pPr>
        <w:spacing w:after="0" w:line="480" w:lineRule="exact"/>
        <w:ind w:firstLine="480" w:firstLineChars="200"/>
        <w:jc w:val="both"/>
        <w:rPr>
          <w:rFonts w:ascii="宋体" w:hAnsi="宋体"/>
          <w:lang w:eastAsia="zh-CN"/>
        </w:rPr>
      </w:pPr>
      <w:r>
        <w:rPr>
          <w:rFonts w:ascii="宋体" w:hAnsi="宋体"/>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58D8BF2C">
      <w:pPr>
        <w:spacing w:after="0" w:line="480" w:lineRule="exact"/>
        <w:ind w:firstLine="480" w:firstLineChars="200"/>
        <w:jc w:val="both"/>
        <w:rPr>
          <w:rFonts w:ascii="宋体" w:hAnsi="宋体"/>
          <w:lang w:eastAsia="zh-CN"/>
        </w:rPr>
      </w:pPr>
      <w:r>
        <w:rPr>
          <w:rFonts w:ascii="宋体" w:hAnsi="宋体"/>
          <w:lang w:eastAsia="zh-CN"/>
        </w:rPr>
        <w:t>第四，加强</w:t>
      </w:r>
      <w:r>
        <w:rPr>
          <w:rFonts w:hint="eastAsia" w:ascii="宋体" w:hAnsi="宋体"/>
          <w:lang w:eastAsia="zh-CN"/>
        </w:rPr>
        <w:t>省域</w:t>
      </w:r>
      <w:r>
        <w:rPr>
          <w:rFonts w:ascii="宋体" w:hAnsi="宋体"/>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0E2AEE01">
      <w:pPr>
        <w:pStyle w:val="3"/>
        <w:pageBreakBefore/>
        <w:spacing w:before="0" w:after="120" w:afterLines="50" w:line="480" w:lineRule="exact"/>
        <w:jc w:val="both"/>
        <w:rPr>
          <w:sz w:val="28"/>
        </w:rPr>
      </w:pPr>
      <w:bookmarkStart w:id="70" w:name="_Toc16541"/>
      <w:r>
        <w:rPr>
          <w:color w:val="auto"/>
          <w:sz w:val="28"/>
        </w:rPr>
        <w:t>参考文献</w:t>
      </w:r>
      <w:bookmarkEnd w:id="70"/>
    </w:p>
    <w:p w14:paraId="1FF948DF">
      <w:pPr>
        <w:pStyle w:val="153"/>
        <w:numPr>
          <w:ilvl w:val="0"/>
          <w:numId w:val="8"/>
        </w:numPr>
        <w:autoSpaceDE w:val="0"/>
        <w:jc w:val="both"/>
      </w:pPr>
      <w:r>
        <w:t>Charnes A, Cooper W W, Rhodes E. Measuring the efficiency of decision making units[J]. European Journal of Operational Research, 1978, 2(6): 429-444.</w:t>
      </w:r>
    </w:p>
    <w:p w14:paraId="396D68CE">
      <w:pPr>
        <w:pStyle w:val="153"/>
        <w:numPr>
          <w:ilvl w:val="0"/>
          <w:numId w:val="8"/>
        </w:numPr>
        <w:autoSpaceDE w:val="0"/>
        <w:jc w:val="both"/>
      </w:pPr>
      <w:r>
        <w:t>Banker R D, Charnes A, Cooper W W. Some models for estimating technical and scale inefficiencies in data envelopment analysis[J]. Management Science, 1984, 30(9): 1078-1092.</w:t>
      </w:r>
    </w:p>
    <w:p w14:paraId="355A7FDA">
      <w:pPr>
        <w:pStyle w:val="153"/>
        <w:numPr>
          <w:ilvl w:val="0"/>
          <w:numId w:val="8"/>
        </w:numPr>
        <w:autoSpaceDE w:val="0"/>
        <w:jc w:val="both"/>
      </w:pPr>
      <w:r>
        <w:t>Tone K. A slacks-based measure of efficiency in data envelopment analysis[J]. European Journal of Operational Research, 2001, 130(3): 498-509.</w:t>
      </w:r>
    </w:p>
    <w:p w14:paraId="6BE79FF1">
      <w:pPr>
        <w:pStyle w:val="153"/>
        <w:numPr>
          <w:ilvl w:val="0"/>
          <w:numId w:val="8"/>
        </w:numPr>
        <w:autoSpaceDE w:val="0"/>
        <w:jc w:val="both"/>
      </w:pPr>
      <w:r>
        <w:t>Tone K. A slacks-based measure of super-efficiency in data envelopment analysis[J]. European Journal of Operational Research, 2002, 143(1): 32-41.</w:t>
      </w:r>
    </w:p>
    <w:p w14:paraId="2FEFC0E9">
      <w:pPr>
        <w:pStyle w:val="153"/>
        <w:numPr>
          <w:ilvl w:val="0"/>
          <w:numId w:val="8"/>
        </w:numPr>
        <w:autoSpaceDE w:val="0"/>
        <w:jc w:val="both"/>
      </w:pPr>
      <w:r>
        <w:t>Chung Y H, Färe R, Grosskopf S. Productivity and undesirable outputs: a directional distance function approach[J]. Journal of Environmental Management, 1997, 51(3): 229-240.</w:t>
      </w:r>
    </w:p>
    <w:p w14:paraId="1BC874E7">
      <w:pPr>
        <w:pStyle w:val="153"/>
        <w:numPr>
          <w:ilvl w:val="0"/>
          <w:numId w:val="8"/>
        </w:numPr>
        <w:autoSpaceDE w:val="0"/>
        <w:jc w:val="both"/>
      </w:pPr>
      <w:r>
        <w:t>Henderson J V, Storeygard A, Weil D N. Measuring economic growth from outer space[J]. American Economic Review, 2012, 102(2): 994-1028.</w:t>
      </w:r>
    </w:p>
    <w:p w14:paraId="7439759E">
      <w:pPr>
        <w:pStyle w:val="153"/>
        <w:numPr>
          <w:ilvl w:val="0"/>
          <w:numId w:val="8"/>
        </w:numPr>
        <w:autoSpaceDE w:val="0"/>
        <w:jc w:val="both"/>
      </w:pPr>
      <w:r>
        <w:t>Román M O, Wang Z, Sun Q, et al. NASA's Black Marble nighttime lights product suite[J]. Remote Sensing of Environment, 2018, 210: 113-143.</w:t>
      </w:r>
    </w:p>
    <w:p w14:paraId="5B6214F9">
      <w:pPr>
        <w:pStyle w:val="153"/>
        <w:numPr>
          <w:ilvl w:val="0"/>
          <w:numId w:val="8"/>
        </w:numPr>
        <w:autoSpaceDE w:val="0"/>
        <w:jc w:val="both"/>
        <w:rPr>
          <w:lang w:eastAsia="zh-CN"/>
        </w:rPr>
      </w:pPr>
      <w:r>
        <w:t xml:space="preserve">Elvidge C D, Zhizhin M, Ghosh T, et al. Annual time series of global VIIRS nighttime lights derived from monthly averages: 2012 to 2019[J]. </w:t>
      </w:r>
      <w:r>
        <w:rPr>
          <w:lang w:eastAsia="zh-CN"/>
        </w:rPr>
        <w:t>Remote Sensing, 2021, 13(5): 922.</w:t>
      </w:r>
    </w:p>
    <w:p w14:paraId="5CCB87EC">
      <w:pPr>
        <w:pStyle w:val="153"/>
        <w:numPr>
          <w:ilvl w:val="0"/>
          <w:numId w:val="8"/>
        </w:numPr>
        <w:autoSpaceDE w:val="0"/>
        <w:jc w:val="both"/>
        <w:rPr>
          <w:lang w:eastAsia="zh-CN"/>
        </w:rPr>
      </w:pPr>
      <w:r>
        <w:rPr>
          <w:lang w:eastAsia="zh-CN"/>
        </w:rPr>
        <w:t>国家统计局. 中国统计年鉴[M]. 北京: 中国统计出版社, 各年版.</w:t>
      </w:r>
    </w:p>
    <w:p w14:paraId="072A3F0E">
      <w:pPr>
        <w:pStyle w:val="153"/>
        <w:numPr>
          <w:ilvl w:val="0"/>
          <w:numId w:val="8"/>
        </w:numPr>
        <w:autoSpaceDE w:val="0"/>
        <w:jc w:val="both"/>
        <w:rPr>
          <w:lang w:eastAsia="zh-CN"/>
        </w:rPr>
      </w:pPr>
      <w:r>
        <w:rPr>
          <w:lang w:eastAsia="zh-CN"/>
        </w:rPr>
        <w:t>国家统计局能源统计司. 中国能源统计年鉴[M]. 北京: 中国统计出版社, 各年版.</w:t>
      </w:r>
    </w:p>
    <w:p w14:paraId="7AC1B926">
      <w:pPr>
        <w:pStyle w:val="153"/>
        <w:numPr>
          <w:ilvl w:val="0"/>
          <w:numId w:val="8"/>
        </w:numPr>
        <w:autoSpaceDE w:val="0"/>
        <w:jc w:val="both"/>
      </w:pPr>
      <w:r>
        <w:t>IPCC. 2006 IPCC Guidelines for National Greenhouse Gas Inventories[M]. Hayama: Institute for Global Environmental Strategies, 2006.</w:t>
      </w:r>
    </w:p>
    <w:p w14:paraId="74E8E86E">
      <w:pPr>
        <w:pStyle w:val="153"/>
        <w:numPr>
          <w:ilvl w:val="0"/>
          <w:numId w:val="8"/>
        </w:numPr>
        <w:autoSpaceDE w:val="0"/>
        <w:jc w:val="both"/>
      </w:pPr>
      <w:r>
        <w:t>Färe R, Grosskopf S, Norris M, Zhang Z. Productivity growth, technical progress, and efficiency change in industrialized countries[J]. American Economic Review, 1994, 84(1): 66-83.</w:t>
      </w:r>
    </w:p>
    <w:p w14:paraId="2629A718">
      <w:pPr>
        <w:pStyle w:val="153"/>
        <w:numPr>
          <w:ilvl w:val="0"/>
          <w:numId w:val="8"/>
        </w:numPr>
        <w:autoSpaceDE w:val="0"/>
        <w:jc w:val="both"/>
      </w:pPr>
      <w:r>
        <w:t>Zhou P, Ang B W, Poh K L. A survey of data envelopment analysis in energy and environmental studies[J]. European Journal of Operational Research, 2008, 189(1): 1-18.</w:t>
      </w:r>
    </w:p>
    <w:p w14:paraId="26FC032F">
      <w:pPr>
        <w:pStyle w:val="153"/>
        <w:numPr>
          <w:ilvl w:val="0"/>
          <w:numId w:val="8"/>
        </w:numPr>
        <w:autoSpaceDE w:val="0"/>
        <w:jc w:val="both"/>
      </w:pPr>
      <w:r>
        <w:t>Li H, Fang K, Yang W, Wang D, Hong X. Regional environmental efficiency evaluation in China: Analysis based on the Super-SBM model with undesirable outputs[J]. Mathematical and Computer Modelling, 2013, 58(5-6): 1018-1031.</w:t>
      </w:r>
    </w:p>
    <w:p w14:paraId="2D12F625">
      <w:pPr>
        <w:pStyle w:val="153"/>
        <w:numPr>
          <w:ilvl w:val="0"/>
          <w:numId w:val="8"/>
        </w:numPr>
        <w:autoSpaceDE w:val="0"/>
        <w:jc w:val="both"/>
      </w:pPr>
      <w:r>
        <w:t>Zhou Y, Xing X, Fang K, Liang D, Xu C. Environmental efficiency analysis of power industry in China based on an entropy SBM model[J]. Energy Policy, 2013, 57: 68-75.</w:t>
      </w:r>
    </w:p>
    <w:p w14:paraId="4B79BBA3">
      <w:pPr>
        <w:pStyle w:val="153"/>
        <w:numPr>
          <w:ilvl w:val="0"/>
          <w:numId w:val="8"/>
        </w:numPr>
        <w:autoSpaceDE w:val="0"/>
        <w:jc w:val="both"/>
      </w:pPr>
      <w:r>
        <w:t>Zhang J, Zeng W, Wang J, Yang F, Jiang H. Regional low-carbon economy efficiency in China: analysis based on the Super-SBM model with CO2 emissions[J]. Journal of Cleaner Production, 2017, 163: 202-211.</w:t>
      </w:r>
    </w:p>
    <w:p w14:paraId="18204006">
      <w:pPr>
        <w:pStyle w:val="153"/>
        <w:numPr>
          <w:ilvl w:val="0"/>
          <w:numId w:val="8"/>
        </w:numPr>
        <w:autoSpaceDE w:val="0"/>
        <w:jc w:val="both"/>
      </w:pPr>
      <w:r>
        <w:t>Yan D, Lei Y, Li L, Song W. Carbon emission efficiency and spatial clustering analyses in China’s thermal power industry: Evidence from the provincial level[J]. Journal of Cleaner Production, 2017, 156: 518-527.</w:t>
      </w:r>
    </w:p>
    <w:p w14:paraId="2844D78F">
      <w:pPr>
        <w:pStyle w:val="153"/>
        <w:numPr>
          <w:ilvl w:val="0"/>
          <w:numId w:val="8"/>
        </w:numPr>
        <w:autoSpaceDE w:val="0"/>
        <w:jc w:val="both"/>
      </w:pPr>
      <w:r>
        <w:t>Yang T, Liu J, Mi H, Cao Z, Wang Y, Han H, Luan J, Wang Z. An estimating method for carbon emissions of China based on nighttime lights remote sensing satellite images[J]. Sustainability, 2022, 14(4): 2269.</w:t>
      </w:r>
    </w:p>
    <w:p w14:paraId="740E5752">
      <w:pPr>
        <w:pStyle w:val="153"/>
        <w:numPr>
          <w:ilvl w:val="0"/>
          <w:numId w:val="8"/>
        </w:numPr>
        <w:autoSpaceDE w:val="0"/>
        <w:jc w:val="both"/>
        <w:rPr>
          <w:lang w:eastAsia="zh-CN"/>
        </w:rPr>
      </w:pPr>
      <w:r>
        <w:rPr>
          <w:lang w:eastAsia="zh-CN"/>
        </w:rPr>
        <w:t>张军, 吴桂英, 张吉鹏. 中国</w:t>
      </w:r>
      <w:r>
        <w:rPr>
          <w:rFonts w:hint="eastAsia"/>
          <w:lang w:eastAsia="zh-CN"/>
        </w:rPr>
        <w:t>省域</w:t>
      </w:r>
      <w:r>
        <w:rPr>
          <w:lang w:eastAsia="zh-CN"/>
        </w:rPr>
        <w:t>物质资本存量估算: 1952—2000[J]. 经济研究, 2004(10): 35-44.</w:t>
      </w:r>
    </w:p>
    <w:p w14:paraId="6538E4D7">
      <w:pPr>
        <w:pStyle w:val="153"/>
        <w:numPr>
          <w:ilvl w:val="0"/>
          <w:numId w:val="8"/>
        </w:numPr>
        <w:autoSpaceDE w:val="0"/>
      </w:pPr>
      <w:r>
        <w:t>Xing P, Wang Y, Ye T, Sun Y, Li Q, Li X, Li M, Chen W. Carbon emission efficiency of 284 cities in China based on machine learning approach: Driving factors and regional heterogeneity[J]. Energy Economics, 2024, 129: 107222.</w:t>
      </w:r>
    </w:p>
    <w:p w14:paraId="52AFF647">
      <w:pPr>
        <w:pStyle w:val="153"/>
        <w:numPr>
          <w:ilvl w:val="0"/>
          <w:numId w:val="8"/>
        </w:numPr>
        <w:autoSpaceDE w:val="0"/>
      </w:pPr>
      <w:r>
        <w:t>Wei W, Du H, Ma L, Liu C, Zhou J. Spatiotemporal dynamics of CO2 emissions using nighttime light data: a comparative analysis between the Yellow and Yangtze River Basins in China[J]. Environment, Development and Sustainability, 2024, 26(1): 1081-1102.</w:t>
      </w:r>
    </w:p>
    <w:p w14:paraId="4387EA65">
      <w:pPr>
        <w:pStyle w:val="153"/>
        <w:numPr>
          <w:ilvl w:val="0"/>
          <w:numId w:val="8"/>
        </w:numPr>
        <w:autoSpaceDE w:val="0"/>
      </w:pPr>
      <w:r>
        <w:t>Jiang J. Spatiotemporal evolution and analysis of influencing factors of low-carbon economy in China's Yangtze River Delta based on nighttime light remote sensing data[J]. Carbon Balance and Management, 2025, 20(1).</w:t>
      </w:r>
    </w:p>
    <w:p w14:paraId="5037EE0C">
      <w:pPr>
        <w:pStyle w:val="153"/>
        <w:numPr>
          <w:ilvl w:val="0"/>
          <w:numId w:val="8"/>
        </w:numPr>
        <w:autoSpaceDE w:val="0"/>
      </w:pPr>
      <w:r>
        <w:t>Shen Y, Li H. Carbon Emission Efficiency in China (2010-2025): Dual-Scale Analysis, Drivers, and Forecasts Across the Eight Comprehensive Economic Zones[J]. Sustainability, 2025, 17(22): 10007.</w:t>
      </w:r>
    </w:p>
    <w:p w14:paraId="0CB41589">
      <w:pPr>
        <w:pStyle w:val="153"/>
        <w:numPr>
          <w:ilvl w:val="0"/>
          <w:numId w:val="8"/>
        </w:numPr>
        <w:autoSpaceDE w:val="0"/>
        <w:jc w:val="both"/>
        <w:rPr>
          <w:lang w:eastAsia="zh-CN"/>
        </w:rPr>
      </w:pPr>
      <w:r>
        <w:t xml:space="preserve">Choi Y, Zhang N, Zhou P. Efficiency and abatement costs of energy-related CO2 emissions in China: a slacks-based efficiency measure[J]. </w:t>
      </w:r>
      <w:r>
        <w:rPr>
          <w:lang w:eastAsia="zh-CN"/>
        </w:rPr>
        <w:t>Applied Energy, 2012, 98: 198-208.</w:t>
      </w:r>
    </w:p>
    <w:p w14:paraId="73AACDB5">
      <w:r>
        <w:br w:type="page"/>
      </w:r>
    </w:p>
    <w:p w14:paraId="7AA287A5">
      <w:pPr>
        <w:pStyle w:val="3"/>
        <w:rPr>
          <w:lang w:eastAsia="zh-CN"/>
        </w:rPr>
      </w:pPr>
      <w:bookmarkStart w:id="71" w:name="_Toc22022"/>
      <w:r>
        <w:rPr>
          <w:lang w:eastAsia="zh-CN"/>
        </w:rPr>
        <w:t>附录</w:t>
      </w:r>
      <w:bookmarkEnd w:id="71"/>
    </w:p>
    <w:p w14:paraId="483ABE8D">
      <w:pPr>
        <w:pStyle w:val="4"/>
        <w:rPr>
          <w:lang w:eastAsia="zh-CN"/>
        </w:rPr>
      </w:pPr>
      <w:bookmarkStart w:id="72" w:name="_Toc22366"/>
      <w:r>
        <w:rPr>
          <w:lang w:eastAsia="zh-CN"/>
        </w:rPr>
        <w:t>附录</w:t>
      </w:r>
      <w:r>
        <w:rPr>
          <w:rFonts w:hint="eastAsia"/>
          <w:lang w:eastAsia="zh-CN"/>
        </w:rPr>
        <w:t>A</w:t>
      </w:r>
      <w:r>
        <w:rPr>
          <w:lang w:eastAsia="zh-CN"/>
        </w:rPr>
        <w:t xml:space="preserve"> 核心模型公式</w:t>
      </w:r>
      <w:bookmarkEnd w:id="72"/>
    </w:p>
    <w:p w14:paraId="10ACF992">
      <w:pPr>
        <w:rPr>
          <w:lang w:eastAsia="zh-CN"/>
        </w:rPr>
      </w:pPr>
      <w:r>
        <w:rPr>
          <w:rFonts w:hint="eastAsia"/>
          <w:lang w:eastAsia="zh-CN"/>
        </w:rPr>
        <w:t>附录</w:t>
      </w:r>
      <w:r>
        <w:rPr>
          <w:lang w:eastAsia="zh-CN"/>
        </w:rPr>
        <w:t>表</w:t>
      </w:r>
      <w:r>
        <w:rPr>
          <w:rFonts w:hint="eastAsia"/>
          <w:lang w:eastAsia="zh-CN"/>
        </w:rPr>
        <w:t>A</w:t>
      </w:r>
      <w:r>
        <w:rPr>
          <w:lang w:eastAsia="zh-CN"/>
        </w:rPr>
        <w:t>1 主要模型与用途对照表</w:t>
      </w:r>
    </w:p>
    <w:tbl>
      <w:tblPr>
        <w:tblStyle w:val="4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5B3B8E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56EF216A">
            <w:pPr>
              <w:rPr>
                <w:color w:val="000000"/>
              </w:rPr>
            </w:pPr>
            <w:r>
              <w:rPr>
                <w:color w:val="000000"/>
                <w:sz w:val="21"/>
              </w:rPr>
              <w:t>模型名称</w:t>
            </w:r>
          </w:p>
        </w:tc>
        <w:tc>
          <w:tcPr>
            <w:tcW w:w="2161" w:type="dxa"/>
            <w:tcBorders>
              <w:top w:val="single" w:color="000000" w:sz="12" w:space="0"/>
              <w:bottom w:val="single" w:color="000000" w:sz="4" w:space="0"/>
            </w:tcBorders>
            <w:shd w:val="clear" w:color="auto" w:fill="FFFFFF"/>
          </w:tcPr>
          <w:p w14:paraId="2EE1D55F">
            <w:pPr>
              <w:rPr>
                <w:color w:val="000000"/>
              </w:rPr>
            </w:pPr>
            <w:r>
              <w:rPr>
                <w:color w:val="000000"/>
                <w:sz w:val="21"/>
              </w:rPr>
              <w:t>核心表达</w:t>
            </w:r>
          </w:p>
        </w:tc>
        <w:tc>
          <w:tcPr>
            <w:tcW w:w="2161" w:type="dxa"/>
            <w:tcBorders>
              <w:top w:val="single" w:color="000000" w:sz="12" w:space="0"/>
              <w:bottom w:val="single" w:color="000000" w:sz="4" w:space="0"/>
            </w:tcBorders>
            <w:shd w:val="clear" w:color="auto" w:fill="FFFFFF"/>
          </w:tcPr>
          <w:p w14:paraId="28C36CA3">
            <w:pPr>
              <w:rPr>
                <w:color w:val="000000"/>
              </w:rPr>
            </w:pPr>
            <w:r>
              <w:rPr>
                <w:color w:val="000000"/>
                <w:sz w:val="21"/>
              </w:rPr>
              <w:t>主要用途</w:t>
            </w:r>
          </w:p>
        </w:tc>
        <w:tc>
          <w:tcPr>
            <w:tcW w:w="2161" w:type="dxa"/>
            <w:tcBorders>
              <w:top w:val="single" w:color="000000" w:sz="12" w:space="0"/>
              <w:bottom w:val="single" w:color="000000" w:sz="4" w:space="0"/>
            </w:tcBorders>
            <w:shd w:val="clear" w:color="auto" w:fill="FFFFFF"/>
          </w:tcPr>
          <w:p w14:paraId="6C2B7BDC">
            <w:pPr>
              <w:rPr>
                <w:color w:val="000000"/>
              </w:rPr>
            </w:pPr>
            <w:r>
              <w:rPr>
                <w:color w:val="000000"/>
                <w:sz w:val="21"/>
              </w:rPr>
              <w:t>正文对应部分</w:t>
            </w:r>
          </w:p>
        </w:tc>
      </w:tr>
      <w:tr w14:paraId="3A4DD4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16CA1384">
            <w:pPr>
              <w:rPr>
                <w:color w:val="000000"/>
              </w:rPr>
            </w:pPr>
            <w:r>
              <w:rPr>
                <w:color w:val="000000"/>
                <w:sz w:val="21"/>
              </w:rPr>
              <w:t>超效率SBM模型</w:t>
            </w:r>
          </w:p>
        </w:tc>
        <w:tc>
          <w:tcPr>
            <w:tcW w:w="2161" w:type="dxa"/>
            <w:tcBorders>
              <w:top w:val="single" w:color="000000" w:sz="4" w:space="0"/>
            </w:tcBorders>
            <w:shd w:val="clear" w:color="auto" w:fill="FFFFFF"/>
          </w:tcPr>
          <w:p w14:paraId="615B6726">
            <w:pPr>
              <w:rPr>
                <w:color w:val="000000"/>
                <w:lang w:eastAsia="zh-CN"/>
              </w:rPr>
            </w:pPr>
            <w:r>
              <w:rPr>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0A90FF7D">
            <w:pPr>
              <w:rPr>
                <w:color w:val="000000"/>
                <w:lang w:eastAsia="zh-CN"/>
              </w:rPr>
            </w:pPr>
            <w:r>
              <w:rPr>
                <w:color w:val="000000"/>
                <w:sz w:val="21"/>
                <w:lang w:eastAsia="zh-CN"/>
              </w:rPr>
              <w:t>识别各省年度静态效率水平并进行排序</w:t>
            </w:r>
          </w:p>
        </w:tc>
        <w:tc>
          <w:tcPr>
            <w:tcW w:w="2161" w:type="dxa"/>
            <w:tcBorders>
              <w:top w:val="single" w:color="000000" w:sz="4" w:space="0"/>
            </w:tcBorders>
            <w:shd w:val="clear" w:color="auto" w:fill="FFFFFF"/>
          </w:tcPr>
          <w:p w14:paraId="77A61A5A">
            <w:pPr>
              <w:rPr>
                <w:color w:val="000000"/>
              </w:rPr>
            </w:pPr>
            <w:r>
              <w:rPr>
                <w:color w:val="000000"/>
                <w:sz w:val="21"/>
              </w:rPr>
              <w:t>第五章（一）</w:t>
            </w:r>
          </w:p>
        </w:tc>
      </w:tr>
      <w:tr w14:paraId="534BE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6DEECD3">
            <w:pPr>
              <w:rPr>
                <w:color w:val="000000"/>
              </w:rPr>
            </w:pPr>
            <w:r>
              <w:rPr>
                <w:color w:val="000000"/>
                <w:sz w:val="21"/>
              </w:rPr>
              <w:t>Malmquist指数</w:t>
            </w:r>
          </w:p>
        </w:tc>
        <w:tc>
          <w:tcPr>
            <w:tcW w:w="2161" w:type="dxa"/>
            <w:shd w:val="clear" w:color="auto" w:fill="FFFFFF"/>
          </w:tcPr>
          <w:p w14:paraId="413033D1">
            <w:pPr>
              <w:rPr>
                <w:color w:val="000000"/>
              </w:rPr>
            </w:pPr>
            <w:r>
              <w:rPr>
                <w:color w:val="000000"/>
                <w:sz w:val="21"/>
              </w:rPr>
              <w:t>tfpch = effch × techch</w:t>
            </w:r>
          </w:p>
        </w:tc>
        <w:tc>
          <w:tcPr>
            <w:tcW w:w="2161" w:type="dxa"/>
            <w:shd w:val="clear" w:color="auto" w:fill="FFFFFF"/>
          </w:tcPr>
          <w:p w14:paraId="7140B89B">
            <w:pPr>
              <w:rPr>
                <w:color w:val="000000"/>
                <w:lang w:eastAsia="zh-CN"/>
              </w:rPr>
            </w:pPr>
            <w:r>
              <w:rPr>
                <w:color w:val="000000"/>
                <w:sz w:val="21"/>
                <w:lang w:eastAsia="zh-CN"/>
              </w:rPr>
              <w:t>刻画跨期全要素生产率变化及其来源分解</w:t>
            </w:r>
          </w:p>
        </w:tc>
        <w:tc>
          <w:tcPr>
            <w:tcW w:w="2161" w:type="dxa"/>
            <w:shd w:val="clear" w:color="auto" w:fill="FFFFFF"/>
          </w:tcPr>
          <w:p w14:paraId="5AF710C9">
            <w:pPr>
              <w:rPr>
                <w:color w:val="000000"/>
              </w:rPr>
            </w:pPr>
            <w:r>
              <w:rPr>
                <w:color w:val="000000"/>
                <w:sz w:val="21"/>
              </w:rPr>
              <w:t>第五章（三）</w:t>
            </w:r>
          </w:p>
        </w:tc>
      </w:tr>
      <w:tr w14:paraId="403003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20E6493F">
            <w:pPr>
              <w:rPr>
                <w:color w:val="000000"/>
              </w:rPr>
            </w:pPr>
            <w:r>
              <w:rPr>
                <w:color w:val="000000"/>
                <w:sz w:val="21"/>
              </w:rPr>
              <w:t>双向固定效应模型</w:t>
            </w:r>
          </w:p>
        </w:tc>
        <w:tc>
          <w:tcPr>
            <w:tcW w:w="2161" w:type="dxa"/>
            <w:shd w:val="clear" w:color="auto" w:fill="FFFFFF"/>
          </w:tcPr>
          <w:p w14:paraId="3D94BB7F">
            <w:pPr>
              <w:rPr>
                <w:color w:val="000000"/>
              </w:rPr>
            </w:pPr>
            <m:oMathPara>
              <m:oMath>
                <m:r>
                  <m:rPr/>
                  <w:rPr>
                    <w:rFonts w:ascii="Cambria Math" w:hAnsi="Cambria Math"/>
                    <w:color w:val="000000"/>
                    <w:sz w:val="21"/>
                  </w:rPr>
                  <m:t>CE</m:t>
                </m:r>
                <m:sSub>
                  <m:sSubPr>
                    <m:ctrlPr>
                      <w:rPr>
                        <w:rFonts w:ascii="Cambria Math" w:hAnsi="Cambria Math"/>
                        <w:i/>
                        <w:color w:val="000000"/>
                        <w:sz w:val="21"/>
                      </w:rPr>
                    </m:ctrlPr>
                  </m:sSubPr>
                  <m:e>
                    <m:r>
                      <m:rPr/>
                      <w:rPr>
                        <w:rFonts w:ascii="Cambria Math" w:hAnsi="Cambria Math"/>
                        <w:color w:val="000000"/>
                        <w:sz w:val="21"/>
                      </w:rPr>
                      <m:t>E</m:t>
                    </m:r>
                    <m:ctrlPr>
                      <w:rPr>
                        <w:rFonts w:ascii="Cambria Math" w:hAnsi="Cambria Math"/>
                        <w:i/>
                        <w:color w:val="000000"/>
                        <w:sz w:val="21"/>
                      </w:rPr>
                    </m:ctrlPr>
                  </m:e>
                  <m:sub>
                    <m:r>
                      <m:rPr/>
                      <w:rPr>
                        <w:rFonts w:ascii="Cambria Math" w:hAnsi="Cambria Math"/>
                        <w:color w:val="000000"/>
                        <w:sz w:val="21"/>
                      </w:rPr>
                      <m:t>it</m:t>
                    </m:r>
                    <m:ctrlPr>
                      <w:rPr>
                        <w:rFonts w:ascii="Cambria Math" w:hAnsi="Cambria Math"/>
                        <w:i/>
                        <w:color w:val="000000"/>
                        <w:sz w:val="21"/>
                      </w:rPr>
                    </m:ctrlPr>
                  </m:sub>
                </m:sSub>
                <m:r>
                  <m:rPr/>
                  <w:rPr>
                    <w:rFonts w:ascii="Cambria Math" w:hAnsi="Cambria Math"/>
                    <w:color w:val="000000"/>
                    <w:sz w:val="21"/>
                  </w:rPr>
                  <m:t>= β0 + β1LNT</m:t>
                </m:r>
                <m:sSub>
                  <m:sSubPr>
                    <m:ctrlPr>
                      <w:rPr>
                        <w:rFonts w:ascii="Cambria Math" w:hAnsi="Cambria Math"/>
                        <w:i/>
                        <w:color w:val="000000"/>
                        <w:sz w:val="21"/>
                      </w:rPr>
                    </m:ctrlPr>
                  </m:sSubPr>
                  <m:e>
                    <m:r>
                      <m:rPr/>
                      <w:rPr>
                        <w:rFonts w:ascii="Cambria Math" w:hAnsi="Cambria Math"/>
                        <w:color w:val="000000"/>
                        <w:sz w:val="21"/>
                      </w:rPr>
                      <m:t>L</m:t>
                    </m:r>
                    <m:ctrlPr>
                      <w:rPr>
                        <w:rFonts w:ascii="Cambria Math" w:hAnsi="Cambria Math"/>
                        <w:i/>
                        <w:color w:val="000000"/>
                        <w:sz w:val="21"/>
                      </w:rPr>
                    </m:ctrlPr>
                  </m:e>
                  <m:sub>
                    <m:r>
                      <m:rPr/>
                      <w:rPr>
                        <w:rFonts w:ascii="Cambria Math" w:hAnsi="Cambria Math"/>
                        <w:color w:val="000000"/>
                        <w:sz w:val="21"/>
                      </w:rPr>
                      <m:t>it</m:t>
                    </m:r>
                    <m:ctrlPr>
                      <w:rPr>
                        <w:rFonts w:ascii="Cambria Math" w:hAnsi="Cambria Math"/>
                        <w:i/>
                        <w:color w:val="000000"/>
                        <w:sz w:val="21"/>
                      </w:rPr>
                    </m:ctrlPr>
                  </m:sub>
                </m:sSub>
                <m:r>
                  <m:rPr/>
                  <w:rPr>
                    <w:rFonts w:ascii="Cambria Math" w:hAnsi="Cambria Math"/>
                    <w:color w:val="000000"/>
                    <w:sz w:val="21"/>
                  </w:rPr>
                  <m:t>+ β2</m:t>
                </m:r>
                <m:sSub>
                  <m:sSubPr>
                    <m:ctrlPr>
                      <w:rPr>
                        <w:rFonts w:ascii="Cambria Math" w:hAnsi="Cambria Math"/>
                        <w:i/>
                        <w:color w:val="000000"/>
                        <w:sz w:val="21"/>
                      </w:rPr>
                    </m:ctrlPr>
                  </m:sSubPr>
                  <m:e>
                    <m:r>
                      <m:rPr/>
                      <w:rPr>
                        <w:rFonts w:ascii="Cambria Math" w:hAnsi="Cambria Math"/>
                        <w:color w:val="000000"/>
                        <w:sz w:val="21"/>
                      </w:rPr>
                      <m:t>X</m:t>
                    </m:r>
                    <m:ctrlPr>
                      <w:rPr>
                        <w:rFonts w:ascii="Cambria Math" w:hAnsi="Cambria Math"/>
                        <w:i/>
                        <w:color w:val="000000"/>
                        <w:sz w:val="21"/>
                      </w:rPr>
                    </m:ctrlPr>
                  </m:e>
                  <m:sub>
                    <m:r>
                      <m:rPr/>
                      <w:rPr>
                        <w:rFonts w:ascii="Cambria Math" w:hAnsi="Cambria Math"/>
                        <w:color w:val="000000"/>
                        <w:sz w:val="21"/>
                      </w:rPr>
                      <m:t>it</m:t>
                    </m:r>
                    <m:ctrlPr>
                      <w:rPr>
                        <w:rFonts w:ascii="Cambria Math" w:hAnsi="Cambria Math"/>
                        <w:i/>
                        <w:color w:val="000000"/>
                        <w:sz w:val="21"/>
                      </w:rPr>
                    </m:ctrlPr>
                  </m:sub>
                </m:sSub>
                <m:r>
                  <m:rPr/>
                  <w:rPr>
                    <w:rFonts w:ascii="Cambria Math" w:hAnsi="Cambria Math"/>
                    <w:color w:val="000000"/>
                    <w:sz w:val="21"/>
                  </w:rPr>
                  <m:t xml:space="preserve">+ </m:t>
                </m:r>
                <m:sSub>
                  <m:sSubPr>
                    <m:ctrlPr>
                      <w:rPr>
                        <w:rFonts w:ascii="Cambria Math" w:hAnsi="Cambria Math"/>
                        <w:i/>
                        <w:color w:val="000000"/>
                        <w:sz w:val="21"/>
                      </w:rPr>
                    </m:ctrlPr>
                  </m:sSubPr>
                  <m:e>
                    <m:r>
                      <m:rPr/>
                      <w:rPr>
                        <w:rFonts w:ascii="Cambria Math" w:hAnsi="Cambria Math"/>
                        <w:color w:val="000000"/>
                        <w:sz w:val="21"/>
                      </w:rPr>
                      <m:t>μ</m:t>
                    </m:r>
                    <m:ctrlPr>
                      <w:rPr>
                        <w:rFonts w:ascii="Cambria Math" w:hAnsi="Cambria Math"/>
                        <w:i/>
                        <w:color w:val="000000"/>
                        <w:sz w:val="21"/>
                      </w:rPr>
                    </m:ctrlPr>
                  </m:e>
                  <m:sub>
                    <m:r>
                      <m:rPr/>
                      <w:rPr>
                        <w:rFonts w:ascii="Cambria Math" w:hAnsi="Cambria Math"/>
                        <w:color w:val="000000"/>
                        <w:sz w:val="21"/>
                      </w:rPr>
                      <m:t>i</m:t>
                    </m:r>
                    <m:ctrlPr>
                      <w:rPr>
                        <w:rFonts w:ascii="Cambria Math" w:hAnsi="Cambria Math"/>
                        <w:i/>
                        <w:color w:val="000000"/>
                        <w:sz w:val="21"/>
                      </w:rPr>
                    </m:ctrlPr>
                  </m:sub>
                </m:sSub>
                <m:r>
                  <m:rPr/>
                  <w:rPr>
                    <w:rFonts w:ascii="Cambria Math" w:hAnsi="Cambria Math"/>
                    <w:color w:val="000000"/>
                    <w:sz w:val="21"/>
                  </w:rPr>
                  <m:t xml:space="preserve">+ </m:t>
                </m:r>
                <m:sSub>
                  <m:sSubPr>
                    <m:ctrlPr>
                      <w:rPr>
                        <w:rFonts w:ascii="Cambria Math" w:hAnsi="Cambria Math"/>
                        <w:i/>
                        <w:color w:val="000000"/>
                        <w:sz w:val="21"/>
                      </w:rPr>
                    </m:ctrlPr>
                  </m:sSubPr>
                  <m:e>
                    <m:r>
                      <m:rPr/>
                      <w:rPr>
                        <w:rFonts w:ascii="Cambria Math" w:hAnsi="Cambria Math"/>
                        <w:color w:val="000000"/>
                        <w:sz w:val="21"/>
                      </w:rPr>
                      <m:t>λ</m:t>
                    </m:r>
                    <m:ctrlPr>
                      <w:rPr>
                        <w:rFonts w:ascii="Cambria Math" w:hAnsi="Cambria Math"/>
                        <w:i/>
                        <w:color w:val="000000"/>
                        <w:sz w:val="21"/>
                      </w:rPr>
                    </m:ctrlPr>
                  </m:e>
                  <m:sub>
                    <m:r>
                      <m:rPr/>
                      <w:rPr>
                        <w:rFonts w:ascii="Cambria Math" w:hAnsi="Cambria Math"/>
                        <w:color w:val="000000"/>
                        <w:sz w:val="21"/>
                      </w:rPr>
                      <m:t>t</m:t>
                    </m:r>
                    <m:ctrlPr>
                      <w:rPr>
                        <w:rFonts w:ascii="Cambria Math" w:hAnsi="Cambria Math"/>
                        <w:i/>
                        <w:color w:val="000000"/>
                        <w:sz w:val="21"/>
                      </w:rPr>
                    </m:ctrlPr>
                  </m:sub>
                </m:sSub>
                <m:r>
                  <m:rPr/>
                  <w:rPr>
                    <w:rFonts w:ascii="Cambria Math" w:hAnsi="Cambria Math"/>
                    <w:color w:val="000000"/>
                    <w:sz w:val="21"/>
                  </w:rPr>
                  <m:t xml:space="preserve">+ </m:t>
                </m:r>
                <m:sSub>
                  <m:sSubPr>
                    <m:ctrlPr>
                      <w:rPr>
                        <w:rFonts w:ascii="Cambria Math" w:hAnsi="Cambria Math"/>
                        <w:i/>
                        <w:color w:val="000000"/>
                        <w:sz w:val="21"/>
                      </w:rPr>
                    </m:ctrlPr>
                  </m:sSubPr>
                  <m:e>
                    <m:r>
                      <m:rPr/>
                      <w:rPr>
                        <w:rFonts w:ascii="Cambria Math" w:hAnsi="Cambria Math"/>
                        <w:color w:val="000000"/>
                        <w:sz w:val="21"/>
                      </w:rPr>
                      <m:t>ε</m:t>
                    </m:r>
                    <m:ctrlPr>
                      <w:rPr>
                        <w:rFonts w:ascii="Cambria Math" w:hAnsi="Cambria Math"/>
                        <w:i/>
                        <w:color w:val="000000"/>
                        <w:sz w:val="21"/>
                      </w:rPr>
                    </m:ctrlPr>
                  </m:e>
                  <m:sub>
                    <m:r>
                      <m:rPr/>
                      <w:rPr>
                        <w:rFonts w:ascii="Cambria Math" w:hAnsi="Cambria Math"/>
                        <w:color w:val="000000"/>
                        <w:sz w:val="21"/>
                      </w:rPr>
                      <m:t>it</m:t>
                    </m:r>
                    <m:ctrlPr>
                      <w:rPr>
                        <w:rFonts w:ascii="Cambria Math" w:hAnsi="Cambria Math"/>
                        <w:i/>
                        <w:color w:val="000000"/>
                        <w:sz w:val="21"/>
                      </w:rPr>
                    </m:ctrlPr>
                  </m:sub>
                </m:sSub>
              </m:oMath>
            </m:oMathPara>
          </w:p>
        </w:tc>
        <w:tc>
          <w:tcPr>
            <w:tcW w:w="2161" w:type="dxa"/>
            <w:shd w:val="clear" w:color="auto" w:fill="FFFFFF"/>
          </w:tcPr>
          <w:p w14:paraId="0DE9C72A">
            <w:pPr>
              <w:rPr>
                <w:color w:val="000000"/>
                <w:lang w:eastAsia="zh-CN"/>
              </w:rPr>
            </w:pPr>
            <w:r>
              <w:rPr>
                <w:color w:val="000000"/>
                <w:sz w:val="21"/>
                <w:lang w:eastAsia="zh-CN"/>
              </w:rPr>
              <w:t>识别</w:t>
            </w:r>
            <w:r>
              <w:rPr>
                <w:rFonts w:hint="eastAsia"/>
                <w:color w:val="000000"/>
                <w:sz w:val="21"/>
                <w:lang w:eastAsia="zh-CN"/>
              </w:rPr>
              <w:t>夜间灯光强度</w:t>
            </w:r>
            <w:r>
              <w:rPr>
                <w:color w:val="000000"/>
                <w:sz w:val="21"/>
                <w:lang w:eastAsia="zh-CN"/>
              </w:rPr>
              <w:t>及控制变量对碳排放效</w:t>
            </w:r>
            <w:r>
              <w:rPr>
                <w:rFonts w:hint="eastAsia"/>
                <w:color w:val="000000"/>
                <w:sz w:val="21"/>
                <w:lang w:eastAsia="zh-CN"/>
              </w:rPr>
              <w:t xml:space="preserve">  </w:t>
            </w:r>
            <w:r>
              <w:rPr>
                <w:color w:val="000000"/>
                <w:sz w:val="21"/>
                <w:lang w:eastAsia="zh-CN"/>
              </w:rPr>
              <w:t>率的影响</w:t>
            </w:r>
          </w:p>
        </w:tc>
        <w:tc>
          <w:tcPr>
            <w:tcW w:w="2161" w:type="dxa"/>
            <w:shd w:val="clear" w:color="auto" w:fill="FFFFFF"/>
          </w:tcPr>
          <w:p w14:paraId="5C8A496F">
            <w:pPr>
              <w:rPr>
                <w:color w:val="000000"/>
              </w:rPr>
            </w:pPr>
            <w:r>
              <w:rPr>
                <w:color w:val="000000"/>
                <w:sz w:val="21"/>
              </w:rPr>
              <w:t>第六章</w:t>
            </w:r>
          </w:p>
        </w:tc>
      </w:tr>
      <w:tr w14:paraId="4395FB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D0295ED">
            <w:pPr>
              <w:rPr>
                <w:color w:val="000000"/>
              </w:rPr>
            </w:pPr>
            <w:r>
              <w:rPr>
                <w:color w:val="000000"/>
                <w:sz w:val="21"/>
              </w:rPr>
              <w:t>Global Moran’s I</w:t>
            </w:r>
          </w:p>
        </w:tc>
        <w:tc>
          <w:tcPr>
            <w:tcW w:w="2161" w:type="dxa"/>
            <w:shd w:val="clear" w:color="auto" w:fill="FFFFFF"/>
          </w:tcPr>
          <w:p w14:paraId="373E4B76">
            <w:pPr>
              <w:rPr>
                <w:color w:val="000000"/>
                <w:lang w:eastAsia="zh-CN"/>
              </w:rPr>
            </w:pPr>
            <w:r>
              <w:rPr>
                <w:color w:val="000000"/>
                <w:sz w:val="21"/>
                <w:lang w:eastAsia="zh-CN"/>
              </w:rPr>
              <w:t>基于空间权重矩阵衡量整体空间自相关</w:t>
            </w:r>
          </w:p>
        </w:tc>
        <w:tc>
          <w:tcPr>
            <w:tcW w:w="2161" w:type="dxa"/>
            <w:shd w:val="clear" w:color="auto" w:fill="FFFFFF"/>
          </w:tcPr>
          <w:p w14:paraId="6BE1C7B4">
            <w:pPr>
              <w:rPr>
                <w:color w:val="000000"/>
                <w:lang w:eastAsia="zh-CN"/>
              </w:rPr>
            </w:pPr>
            <w:r>
              <w:rPr>
                <w:color w:val="000000"/>
                <w:sz w:val="21"/>
                <w:lang w:eastAsia="zh-CN"/>
              </w:rPr>
              <w:t>检验省域碳排放效率是否存在空间集聚</w:t>
            </w:r>
          </w:p>
        </w:tc>
        <w:tc>
          <w:tcPr>
            <w:tcW w:w="2161" w:type="dxa"/>
            <w:shd w:val="clear" w:color="auto" w:fill="FFFFFF"/>
          </w:tcPr>
          <w:p w14:paraId="4FB73C6D">
            <w:pPr>
              <w:rPr>
                <w:color w:val="000000"/>
              </w:rPr>
            </w:pPr>
            <w:r>
              <w:rPr>
                <w:color w:val="000000"/>
                <w:sz w:val="21"/>
              </w:rPr>
              <w:t>第七章（一）</w:t>
            </w:r>
          </w:p>
        </w:tc>
      </w:tr>
      <w:tr w14:paraId="36A959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6BD049E0">
            <w:pPr>
              <w:rPr>
                <w:color w:val="000000"/>
              </w:rPr>
            </w:pPr>
            <w:r>
              <w:rPr>
                <w:color w:val="000000"/>
                <w:sz w:val="21"/>
              </w:rPr>
              <w:t>VIF检验</w:t>
            </w:r>
          </w:p>
        </w:tc>
        <w:tc>
          <w:tcPr>
            <w:tcW w:w="2161" w:type="dxa"/>
            <w:tcBorders>
              <w:bottom w:val="single" w:color="000000" w:sz="12" w:space="0"/>
            </w:tcBorders>
            <w:shd w:val="clear" w:color="auto" w:fill="FFFFFF"/>
          </w:tcPr>
          <w:p w14:paraId="30AF0040">
            <w:pPr>
              <w:rPr>
                <w:color w:val="000000"/>
              </w:rPr>
            </w:pPr>
            <m:oMathPara>
              <m:oMath>
                <m:r>
                  <m:rPr/>
                  <w:rPr>
                    <w:rFonts w:ascii="Cambria Math" w:hAnsi="Cambria Math"/>
                    <w:color w:val="000000"/>
                    <w:sz w:val="21"/>
                  </w:rPr>
                  <m:t>VI</m:t>
                </m:r>
                <m:sSub>
                  <m:sSubPr>
                    <m:ctrlPr>
                      <w:rPr>
                        <w:rFonts w:ascii="Cambria Math" w:hAnsi="Cambria Math"/>
                        <w:i/>
                        <w:color w:val="000000"/>
                        <w:sz w:val="21"/>
                      </w:rPr>
                    </m:ctrlPr>
                  </m:sSubPr>
                  <m:e>
                    <m:r>
                      <m:rPr/>
                      <w:rPr>
                        <w:rFonts w:ascii="Cambria Math" w:hAnsi="Cambria Math"/>
                        <w:color w:val="000000"/>
                        <w:sz w:val="21"/>
                      </w:rPr>
                      <m:t>F</m:t>
                    </m:r>
                    <m:ctrlPr>
                      <w:rPr>
                        <w:rFonts w:ascii="Cambria Math" w:hAnsi="Cambria Math"/>
                        <w:i/>
                        <w:color w:val="000000"/>
                        <w:sz w:val="21"/>
                      </w:rPr>
                    </m:ctrlPr>
                  </m:e>
                  <m:sub>
                    <m:r>
                      <m:rPr/>
                      <w:rPr>
                        <w:rFonts w:ascii="Cambria Math" w:hAnsi="Cambria Math"/>
                        <w:color w:val="000000"/>
                        <w:sz w:val="21"/>
                      </w:rPr>
                      <m:t>j</m:t>
                    </m:r>
                    <m:ctrlPr>
                      <w:rPr>
                        <w:rFonts w:ascii="Cambria Math" w:hAnsi="Cambria Math"/>
                        <w:i/>
                        <w:color w:val="000000"/>
                        <w:sz w:val="21"/>
                      </w:rPr>
                    </m:ctrlPr>
                  </m:sub>
                </m:sSub>
                <m:r>
                  <m:rPr/>
                  <w:rPr>
                    <w:rFonts w:ascii="Cambria Math" w:hAnsi="Cambria Math"/>
                    <w:color w:val="000000"/>
                    <w:sz w:val="21"/>
                  </w:rPr>
                  <m:t>=</m:t>
                </m:r>
                <m:f>
                  <m:fPr>
                    <m:ctrlPr>
                      <w:rPr>
                        <w:rFonts w:ascii="Cambria Math" w:hAnsi="Cambria Math"/>
                        <w:i/>
                        <w:color w:val="000000"/>
                        <w:sz w:val="21"/>
                      </w:rPr>
                    </m:ctrlPr>
                  </m:fPr>
                  <m:num>
                    <m:r>
                      <m:rPr/>
                      <w:rPr>
                        <w:rFonts w:ascii="Cambria Math" w:hAnsi="Cambria Math"/>
                        <w:color w:val="000000"/>
                        <w:sz w:val="21"/>
                      </w:rPr>
                      <m:t>1</m:t>
                    </m:r>
                    <m:ctrlPr>
                      <w:rPr>
                        <w:rFonts w:ascii="Cambria Math" w:hAnsi="Cambria Math"/>
                        <w:i/>
                        <w:color w:val="000000"/>
                        <w:sz w:val="21"/>
                      </w:rPr>
                    </m:ctrlPr>
                  </m:num>
                  <m:den>
                    <m:r>
                      <m:rPr/>
                      <w:rPr>
                        <w:rFonts w:ascii="Cambria Math" w:hAnsi="Cambria Math"/>
                        <w:color w:val="000000"/>
                        <w:sz w:val="21"/>
                      </w:rPr>
                      <m:t>1−</m:t>
                    </m:r>
                    <m:sSubSup>
                      <m:sSubSupPr>
                        <m:ctrlPr>
                          <w:rPr>
                            <w:rFonts w:ascii="Cambria Math" w:hAnsi="Cambria Math"/>
                            <w:i/>
                            <w:color w:val="000000"/>
                            <w:sz w:val="21"/>
                          </w:rPr>
                        </m:ctrlPr>
                      </m:sSubSupPr>
                      <m:e>
                        <m:r>
                          <m:rPr/>
                          <w:rPr>
                            <w:rFonts w:ascii="Cambria Math" w:hAnsi="Cambria Math"/>
                            <w:color w:val="000000"/>
                            <w:sz w:val="21"/>
                          </w:rPr>
                          <m:t>R</m:t>
                        </m:r>
                        <m:ctrlPr>
                          <w:rPr>
                            <w:rFonts w:ascii="Cambria Math" w:hAnsi="Cambria Math"/>
                            <w:i/>
                            <w:color w:val="000000"/>
                            <w:sz w:val="21"/>
                          </w:rPr>
                        </m:ctrlPr>
                      </m:e>
                      <m:sub>
                        <m:r>
                          <m:rPr/>
                          <w:rPr>
                            <w:rFonts w:ascii="Cambria Math" w:hAnsi="Cambria Math"/>
                            <w:color w:val="000000"/>
                            <w:sz w:val="21"/>
                          </w:rPr>
                          <m:t>j</m:t>
                        </m:r>
                        <m:ctrlPr>
                          <w:rPr>
                            <w:rFonts w:ascii="Cambria Math" w:hAnsi="Cambria Math"/>
                            <w:i/>
                            <w:color w:val="000000"/>
                            <w:sz w:val="21"/>
                          </w:rPr>
                        </m:ctrlPr>
                      </m:sub>
                      <m:sup>
                        <m:r>
                          <m:rPr/>
                          <w:rPr>
                            <w:rFonts w:ascii="Cambria Math" w:hAnsi="Cambria Math"/>
                            <w:color w:val="000000"/>
                            <w:sz w:val="21"/>
                          </w:rPr>
                          <m:t>2</m:t>
                        </m:r>
                        <m:ctrlPr>
                          <w:rPr>
                            <w:rFonts w:ascii="Cambria Math" w:hAnsi="Cambria Math"/>
                            <w:i/>
                            <w:color w:val="000000"/>
                            <w:sz w:val="21"/>
                          </w:rPr>
                        </m:ctrlPr>
                      </m:sup>
                    </m:sSubSup>
                    <m:ctrlPr>
                      <w:rPr>
                        <w:rFonts w:ascii="Cambria Math" w:hAnsi="Cambria Math"/>
                        <w:i/>
                        <w:color w:val="000000"/>
                        <w:sz w:val="21"/>
                      </w:rPr>
                    </m:ctrlPr>
                  </m:den>
                </m:f>
              </m:oMath>
            </m:oMathPara>
          </w:p>
        </w:tc>
        <w:tc>
          <w:tcPr>
            <w:tcW w:w="2161" w:type="dxa"/>
            <w:tcBorders>
              <w:bottom w:val="single" w:color="000000" w:sz="12" w:space="0"/>
            </w:tcBorders>
            <w:shd w:val="clear" w:color="auto" w:fill="FFFFFF"/>
          </w:tcPr>
          <w:p w14:paraId="44A9640D">
            <w:pPr>
              <w:rPr>
                <w:color w:val="000000"/>
                <w:lang w:eastAsia="zh-CN"/>
              </w:rPr>
            </w:pPr>
            <w:r>
              <w:rPr>
                <w:color w:val="000000"/>
                <w:sz w:val="21"/>
                <w:lang w:eastAsia="zh-CN"/>
              </w:rPr>
              <w:t>诊断解释变量之间的多重共线性风险</w:t>
            </w:r>
          </w:p>
        </w:tc>
        <w:tc>
          <w:tcPr>
            <w:tcW w:w="2161" w:type="dxa"/>
            <w:tcBorders>
              <w:bottom w:val="single" w:color="000000" w:sz="12" w:space="0"/>
            </w:tcBorders>
            <w:shd w:val="clear" w:color="auto" w:fill="FFFFFF"/>
          </w:tcPr>
          <w:p w14:paraId="31702788">
            <w:pPr>
              <w:rPr>
                <w:color w:val="000000"/>
              </w:rPr>
            </w:pPr>
            <w:r>
              <w:rPr>
                <w:color w:val="000000"/>
                <w:sz w:val="21"/>
              </w:rPr>
              <w:t>第四章（五）</w:t>
            </w:r>
          </w:p>
        </w:tc>
      </w:tr>
    </w:tbl>
    <w:p w14:paraId="19ECE5C5">
      <w:pPr>
        <w:pStyle w:val="5"/>
        <w:rPr>
          <w:lang w:eastAsia="zh-CN"/>
        </w:rPr>
      </w:pPr>
      <w:bookmarkStart w:id="73" w:name="_Toc28877"/>
      <w:r>
        <w:rPr>
          <w:rFonts w:hint="eastAsia"/>
          <w:lang w:eastAsia="zh-CN"/>
        </w:rPr>
        <w:t>A1 夜间灯光强度</w:t>
      </w:r>
      <w:r>
        <w:rPr>
          <w:lang w:eastAsia="zh-CN"/>
        </w:rPr>
        <w:t>指标构造</w:t>
      </w:r>
      <w:bookmarkEnd w:id="73"/>
    </w:p>
    <w:p w14:paraId="30378145">
      <w:pPr>
        <w:rPr>
          <w:lang w:eastAsia="zh-CN"/>
        </w:rPr>
      </w:pPr>
      <w:r>
        <w:rPr>
          <w:lang w:eastAsia="zh-CN"/>
        </w:rPr>
        <w:t xml:space="preserve">设省域内部共有 </w:t>
      </w:r>
      <m:oMath>
        <m:r>
          <m:rPr/>
          <w:rPr>
            <w:rFonts w:ascii="Cambria Math" w:hAnsi="Cambria Math"/>
            <w:lang w:eastAsia="zh-CN"/>
          </w:rPr>
          <m:t xml:space="preserve">n </m:t>
        </m:r>
      </m:oMath>
      <w:r>
        <w:rPr>
          <w:lang w:eastAsia="zh-CN"/>
        </w:rPr>
        <w:t xml:space="preserve">个灯光栅格，第 </w:t>
      </w:r>
      <m:oMath>
        <m:r>
          <m:rPr/>
          <w:rPr>
            <w:rFonts w:ascii="Cambria Math" w:hAnsi="Cambria Math"/>
            <w:lang w:eastAsia="zh-CN"/>
          </w:rPr>
          <m:t>i</m:t>
        </m:r>
      </m:oMath>
      <w:r>
        <w:rPr>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，则其亮度份额可表示为：</w:t>
      </w:r>
    </w:p>
    <w:p w14:paraId="5C671193">
      <w:pPr>
        <w:pStyle w:val="178"/>
      </w:pPr>
      <w: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791A289D">
      <w:pPr>
        <w:rPr>
          <w:lang w:eastAsia="zh-CN"/>
        </w:rPr>
      </w:pPr>
      <w:r>
        <w:rPr>
          <w:lang w:eastAsia="zh-CN"/>
        </w:rPr>
        <w:t>据此构造</w:t>
      </w:r>
      <w:r>
        <w:rPr>
          <w:rFonts w:hint="eastAsia"/>
          <w:lang w:eastAsia="zh-CN"/>
        </w:rPr>
        <w:t>夜间灯光强度</w:t>
      </w:r>
      <w:r>
        <w:rPr>
          <w:lang w:eastAsia="zh-CN"/>
        </w:rPr>
        <w:t>指标：</w:t>
      </w:r>
    </w:p>
    <w:p w14:paraId="7B9504AB">
      <w:pPr>
        <w:pStyle w:val="178"/>
        <w:rPr>
          <w:lang w:eastAsia="zh-CN"/>
        </w:rPr>
      </w:pPr>
      <w:r>
        <w:rPr>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1EE11B38">
      <w:pPr>
        <w:rPr>
          <w:lang w:eastAsia="zh-CN"/>
        </w:rPr>
      </w:pPr>
      <w:r>
        <w:rPr>
          <w:lang w:eastAsia="zh-CN"/>
        </w:rPr>
        <w:t>为缓解右偏分布并增强可比性，本文进一步取对数形式进入第二阶段回归模型：</w:t>
      </w:r>
    </w:p>
    <w:p w14:paraId="3CDDFA00">
      <w:pPr>
        <w:pStyle w:val="178"/>
      </w:pPr>
      <w: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2ACCB6DB">
      <w:pPr>
        <w:pStyle w:val="5"/>
        <w:rPr>
          <w:lang w:eastAsia="zh-CN"/>
        </w:rPr>
      </w:pPr>
      <w:bookmarkStart w:id="74" w:name="_Toc25994"/>
      <w:r>
        <w:rPr>
          <w:rFonts w:hint="eastAsia"/>
          <w:lang w:eastAsia="zh-CN"/>
        </w:rPr>
        <w:t xml:space="preserve">A2 </w:t>
      </w:r>
      <w:r>
        <w:rPr>
          <w:lang w:eastAsia="zh-CN"/>
        </w:rPr>
        <w:t>超效率SBM模型</w:t>
      </w:r>
      <w:bookmarkEnd w:id="74"/>
    </w:p>
    <w:p w14:paraId="0A8FB5C5">
      <w:pPr>
        <w:rPr>
          <w:lang w:eastAsia="zh-CN"/>
        </w:rPr>
      </w:pPr>
      <w:r>
        <w:rPr>
          <w:lang w:eastAsia="zh-CN"/>
        </w:rPr>
        <w:t>在规模报酬可变（VRS）假设下，考虑非期望产出的超效率SBM模型可表示为：</w:t>
      </w:r>
    </w:p>
    <w:p w14:paraId="463D019C">
      <w:pPr>
        <w:pStyle w:val="178"/>
      </w:pPr>
      <w: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2D739C9C">
      <w:pPr>
        <w:rPr>
          <w:lang w:eastAsia="zh-CN"/>
        </w:rPr>
      </w:pPr>
      <w:r>
        <w:rPr>
          <w:lang w:eastAsia="zh-CN"/>
        </w:rPr>
        <w:t>其约束条件为：</w:t>
      </w:r>
    </w:p>
    <w:p w14:paraId="474BC578">
      <w:pPr>
        <w:pStyle w:val="178"/>
        <w:rPr>
          <w:lang w:eastAsia="zh-CN"/>
        </w:rPr>
      </w:pPr>
      <w:r>
        <w:rPr>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40E35A4B">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lang w:eastAsia="zh-CN"/>
        </w:rPr>
        <w:t xml:space="preserve"> 分别表示投入冗余、期望产出不足和非期望产出冗余。</w:t>
      </w:r>
    </w:p>
    <w:p w14:paraId="6D0BD6F2">
      <w:pPr>
        <w:pStyle w:val="5"/>
        <w:rPr>
          <w:lang w:eastAsia="zh-CN"/>
        </w:rPr>
      </w:pPr>
      <w:bookmarkStart w:id="75" w:name="_Toc14310"/>
      <w:r>
        <w:rPr>
          <w:rFonts w:hint="eastAsia"/>
          <w:lang w:eastAsia="zh-CN"/>
        </w:rPr>
        <w:t xml:space="preserve">A3 </w:t>
      </w:r>
      <w:r>
        <w:rPr>
          <w:lang w:eastAsia="zh-CN"/>
        </w:rPr>
        <w:t>Malmquist指数分解</w:t>
      </w:r>
      <w:bookmarkEnd w:id="75"/>
    </w:p>
    <w:p w14:paraId="7A41EABC">
      <w:pPr>
        <w:rPr>
          <w:lang w:eastAsia="zh-CN"/>
        </w:rPr>
      </w:pPr>
      <w:r>
        <w:rPr>
          <w:lang w:eastAsia="zh-CN"/>
        </w:rPr>
        <w:t>本文采用全局参比Malmquist指数考察碳排放效率的动态演进，其基本形式为：</w:t>
      </w:r>
    </w:p>
    <w:p w14:paraId="4DD732FF">
      <w:pPr>
        <w:pStyle w:val="178"/>
      </w:pPr>
      <w: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53CC2E7D">
      <w:pPr>
        <w:rPr>
          <w:lang w:eastAsia="zh-CN"/>
        </w:rPr>
      </w:pPr>
      <w:r>
        <w:rPr>
          <w:lang w:eastAsia="zh-CN"/>
        </w:rPr>
        <w:t>进一步地，全要素生产率变化指数可分解为技术效率变化和技术进步两部分：</w:t>
      </w:r>
    </w:p>
    <w:p w14:paraId="5B2040AF">
      <w:pPr>
        <w:pStyle w:val="178"/>
      </w:pPr>
      <w:r>
        <w:t xml:space="preserve">公式（A7）  </w:t>
      </w:r>
      <m:oMath>
        <m:r>
          <m:rPr/>
          <w:rPr>
            <w:rFonts w:ascii="Cambria Math" w:hAnsi="Cambria Math"/>
          </w:rPr>
          <m:t>tfpch = effch × techch</m:t>
        </m:r>
      </m:oMath>
    </w:p>
    <w:p w14:paraId="7F5E5A27">
      <w:pPr>
        <w:pStyle w:val="5"/>
        <w:rPr>
          <w:lang w:eastAsia="zh-CN"/>
        </w:rPr>
      </w:pPr>
      <w:bookmarkStart w:id="76" w:name="_Toc5127"/>
      <w:r>
        <w:rPr>
          <w:rFonts w:hint="eastAsia"/>
          <w:lang w:eastAsia="zh-CN"/>
        </w:rPr>
        <w:t xml:space="preserve">A4 </w:t>
      </w:r>
      <w:r>
        <w:rPr>
          <w:lang w:eastAsia="zh-CN"/>
        </w:rPr>
        <w:t>双向固定效应模型</w:t>
      </w:r>
      <w:bookmarkEnd w:id="76"/>
    </w:p>
    <w:p w14:paraId="61B58F8A">
      <w:pPr>
        <w:rPr>
          <w:lang w:eastAsia="zh-CN"/>
        </w:rPr>
      </w:pPr>
      <w:r>
        <w:rPr>
          <w:lang w:eastAsia="zh-CN"/>
        </w:rPr>
        <w:t>第二阶段回归模型设定如下：</w:t>
      </w:r>
    </w:p>
    <w:p w14:paraId="0D508743">
      <w:pPr>
        <w:pStyle w:val="178"/>
      </w:pPr>
      <w: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6561DEEB">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lang w:eastAsia="zh-CN"/>
        </w:rPr>
        <w:t xml:space="preserve"> 为随机扰动项。</w:t>
      </w:r>
    </w:p>
    <w:p w14:paraId="76B1C572">
      <w:pPr>
        <w:pStyle w:val="5"/>
      </w:pPr>
      <w:bookmarkStart w:id="77" w:name="_Toc5948"/>
      <w:r>
        <w:rPr>
          <w:rFonts w:hint="eastAsia"/>
          <w:lang w:eastAsia="zh-CN"/>
        </w:rPr>
        <w:t xml:space="preserve">A5 </w:t>
      </w:r>
      <w:r>
        <w:t>全局Moran’s I</w:t>
      </w:r>
      <w:bookmarkEnd w:id="77"/>
    </w:p>
    <w:p w14:paraId="1CF08BB8">
      <w:pPr>
        <w:rPr>
          <w:lang w:eastAsia="zh-CN"/>
        </w:rPr>
      </w:pPr>
      <w:r>
        <w:rPr>
          <w:lang w:eastAsia="zh-CN"/>
        </w:rPr>
        <w:t>为检验省域碳排放效率的空间相关性，本文采用全局Moran’s I统计量：</w:t>
      </w:r>
    </w:p>
    <w:p w14:paraId="532CDB7F">
      <w:pPr>
        <w:pStyle w:val="178"/>
      </w:pPr>
      <w: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7AED862D">
      <w:pPr>
        <w:rPr>
          <w:lang w:eastAsia="zh-CN"/>
        </w:rPr>
      </w:pPr>
      <w:r>
        <w:rPr>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lang w:eastAsia="zh-CN"/>
        </w:rPr>
        <w:t>。I 值大于 0 表示正向空间相关，小于 0 表示负向空间相关。</w:t>
      </w:r>
    </w:p>
    <w:p w14:paraId="054173E6">
      <w:pPr>
        <w:pStyle w:val="5"/>
        <w:rPr>
          <w:lang w:eastAsia="zh-CN"/>
        </w:rPr>
      </w:pPr>
      <w:bookmarkStart w:id="78" w:name="_Toc21315"/>
      <w:r>
        <w:rPr>
          <w:rFonts w:hint="eastAsia"/>
          <w:lang w:eastAsia="zh-CN"/>
        </w:rPr>
        <w:t xml:space="preserve">A6 </w:t>
      </w:r>
      <w:r>
        <w:rPr>
          <w:lang w:eastAsia="zh-CN"/>
        </w:rPr>
        <w:t>多重共线性检验</w:t>
      </w:r>
      <w:bookmarkEnd w:id="78"/>
    </w:p>
    <w:p w14:paraId="3B07E24C">
      <w:pPr>
        <w:rPr>
          <w:lang w:eastAsia="zh-CN"/>
        </w:rPr>
      </w:pPr>
      <w:r>
        <w:rPr>
          <w:lang w:eastAsia="zh-CN"/>
        </w:rPr>
        <w:t>为诊断解释变量间的多重共线性，本文计算方差膨胀因子（VIF）：</w:t>
      </w:r>
    </w:p>
    <w:p w14:paraId="388149BD">
      <w:pPr>
        <w:pStyle w:val="178"/>
      </w:pPr>
      <w: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52F6A01D">
      <w:pPr>
        <w:pStyle w:val="4"/>
        <w:rPr>
          <w:lang w:eastAsia="zh-CN"/>
        </w:rPr>
      </w:pPr>
      <w:bookmarkStart w:id="79" w:name="_Toc26859"/>
      <w:r>
        <w:rPr>
          <w:lang w:eastAsia="zh-CN"/>
        </w:rPr>
        <w:t>附录</w:t>
      </w:r>
      <w:r>
        <w:rPr>
          <w:rFonts w:hint="eastAsia"/>
          <w:lang w:eastAsia="zh-CN"/>
        </w:rPr>
        <w:t>B</w:t>
      </w:r>
      <w:r>
        <w:rPr>
          <w:lang w:eastAsia="zh-CN"/>
        </w:rPr>
        <w:t xml:space="preserve"> 核心代码</w:t>
      </w:r>
      <w:bookmarkEnd w:id="79"/>
    </w:p>
    <w:p w14:paraId="5A696B2D">
      <w:pPr>
        <w:pStyle w:val="5"/>
        <w:rPr>
          <w:lang w:eastAsia="zh-CN"/>
        </w:rPr>
      </w:pPr>
      <w:r>
        <w:rPr>
          <w:rFonts w:hint="eastAsia"/>
          <w:lang w:eastAsia="zh-CN"/>
        </w:rPr>
        <w:t>B1</w:t>
      </w:r>
      <w:r>
        <w:rPr>
          <w:lang w:eastAsia="zh-CN"/>
        </w:rPr>
        <w:t>代码运行环境与依赖库表</w:t>
      </w:r>
    </w:p>
    <w:tbl>
      <w:tblPr>
        <w:tblStyle w:val="40"/>
        <w:tblW w:w="5000" w:type="pct"/>
        <w:tblInd w:w="0" w:type="dxa"/>
        <w:tblLayout w:type="autofit"/>
        <w:tblCellMar>
          <w:top w:w="17" w:type="dxa"/>
          <w:left w:w="17" w:type="dxa"/>
          <w:bottom w:w="17" w:type="dxa"/>
          <w:right w:w="17" w:type="dxa"/>
        </w:tblCellMar>
      </w:tblPr>
      <w:tblGrid>
        <w:gridCol w:w="771"/>
        <w:gridCol w:w="7909"/>
      </w:tblGrid>
      <w:tr w14:paraId="0B628A98">
        <w:tblPrEx>
          <w:tblCellMar>
            <w:top w:w="17" w:type="dxa"/>
            <w:left w:w="17" w:type="dxa"/>
            <w:bottom w:w="17" w:type="dxa"/>
            <w:right w:w="17" w:type="dxa"/>
          </w:tblCellMar>
        </w:tblPrEx>
        <w:trPr>
          <w:tblHeader/>
        </w:trPr>
        <w:tc>
          <w:tcPr>
            <w:tcW w:w="444" w:type="pct"/>
            <w:tcBorders>
              <w:top w:val="single" w:color="000000" w:sz="12" w:space="0"/>
              <w:bottom w:val="single" w:color="000000" w:sz="4" w:space="0"/>
              <w:tl2br w:val="nil"/>
            </w:tcBorders>
            <w:shd w:val="clear" w:color="auto" w:fill="FFFFFF"/>
            <w:vAlign w:val="center"/>
          </w:tcPr>
          <w:p w14:paraId="194173BE">
            <w:pPr>
              <w:jc w:val="center"/>
              <w:rPr>
                <w:color w:val="000000"/>
                <w:lang w:eastAsia="zh-CN"/>
              </w:rPr>
            </w:pPr>
            <w:r>
              <w:rPr>
                <w:color w:val="000000"/>
                <w:lang w:eastAsia="zh-CN"/>
              </w:rPr>
              <w:t>项目</w:t>
            </w:r>
          </w:p>
        </w:tc>
        <w:tc>
          <w:tcPr>
            <w:tcW w:w="4555" w:type="pct"/>
            <w:tcBorders>
              <w:top w:val="single" w:color="000000" w:sz="12" w:space="0"/>
              <w:bottom w:val="single" w:color="000000" w:sz="4" w:space="0"/>
            </w:tcBorders>
            <w:shd w:val="clear" w:color="auto" w:fill="FFFFFF"/>
            <w:vAlign w:val="center"/>
          </w:tcPr>
          <w:p w14:paraId="7F02040E">
            <w:pPr>
              <w:jc w:val="center"/>
              <w:rPr>
                <w:color w:val="000000"/>
                <w:lang w:eastAsia="zh-CN"/>
              </w:rPr>
            </w:pPr>
            <w:r>
              <w:rPr>
                <w:color w:val="000000"/>
                <w:lang w:eastAsia="zh-CN"/>
              </w:rPr>
              <w:t>说明</w:t>
            </w:r>
          </w:p>
        </w:tc>
      </w:tr>
      <w:tr w14:paraId="7104F0A2">
        <w:tblPrEx>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E6BA649">
            <w:pPr>
              <w:rPr>
                <w:color w:val="000000"/>
                <w:lang w:eastAsia="zh-CN"/>
              </w:rPr>
            </w:pPr>
            <w:r>
              <w:rPr>
                <w:color w:val="000000"/>
                <w:lang w:eastAsia="zh-CN"/>
              </w:rPr>
              <w:t>操作系统</w:t>
            </w:r>
          </w:p>
        </w:tc>
        <w:tc>
          <w:tcPr>
            <w:tcW w:w="4555" w:type="pct"/>
            <w:tcBorders>
              <w:top w:val="single" w:color="000000" w:sz="4" w:space="0"/>
            </w:tcBorders>
            <w:shd w:val="clear" w:color="auto" w:fill="FFFFFF"/>
            <w:vAlign w:val="center"/>
          </w:tcPr>
          <w:p w14:paraId="62D719C8">
            <w:pPr>
              <w:rPr>
                <w:color w:val="000000"/>
                <w:lang w:eastAsia="zh-CN"/>
              </w:rPr>
            </w:pPr>
            <w:r>
              <w:rPr>
                <w:color w:val="000000"/>
                <w:lang w:eastAsia="zh-CN"/>
              </w:rPr>
              <w:t>Microsoft Windows（64位，示例：Windows 10/11）</w:t>
            </w:r>
          </w:p>
        </w:tc>
      </w:tr>
      <w:tr w14:paraId="342C31D2">
        <w:tblPrEx>
          <w:tblCellMar>
            <w:top w:w="17" w:type="dxa"/>
            <w:left w:w="17" w:type="dxa"/>
            <w:bottom w:w="17" w:type="dxa"/>
            <w:right w:w="17" w:type="dxa"/>
          </w:tblCellMar>
        </w:tblPrEx>
        <w:tc>
          <w:tcPr>
            <w:tcW w:w="444" w:type="pct"/>
            <w:shd w:val="clear" w:color="auto" w:fill="FFFFFF"/>
            <w:vAlign w:val="center"/>
          </w:tcPr>
          <w:p w14:paraId="65907507">
            <w:pPr>
              <w:rPr>
                <w:color w:val="000000"/>
                <w:lang w:eastAsia="zh-CN"/>
              </w:rPr>
            </w:pPr>
            <w:r>
              <w:rPr>
                <w:color w:val="000000"/>
                <w:lang w:eastAsia="zh-CN"/>
              </w:rPr>
              <w:t>处理器架构</w:t>
            </w:r>
          </w:p>
        </w:tc>
        <w:tc>
          <w:tcPr>
            <w:tcW w:w="4555" w:type="pct"/>
            <w:shd w:val="clear" w:color="auto" w:fill="FFFFFF"/>
            <w:vAlign w:val="center"/>
          </w:tcPr>
          <w:p w14:paraId="71E6893F">
            <w:pPr>
              <w:rPr>
                <w:color w:val="000000"/>
                <w:lang w:eastAsia="zh-CN"/>
              </w:rPr>
            </w:pPr>
            <w:r>
              <w:rPr>
                <w:color w:val="000000"/>
                <w:lang w:eastAsia="zh-CN"/>
              </w:rPr>
              <w:t>x86_64 / AMD64</w:t>
            </w:r>
          </w:p>
        </w:tc>
      </w:tr>
      <w:tr w14:paraId="2ED03A46">
        <w:tblPrEx>
          <w:tblCellMar>
            <w:top w:w="17" w:type="dxa"/>
            <w:left w:w="17" w:type="dxa"/>
            <w:bottom w:w="17" w:type="dxa"/>
            <w:right w:w="17" w:type="dxa"/>
          </w:tblCellMar>
        </w:tblPrEx>
        <w:tc>
          <w:tcPr>
            <w:tcW w:w="444" w:type="pct"/>
            <w:shd w:val="clear" w:color="auto" w:fill="FFFFFF"/>
            <w:vAlign w:val="center"/>
          </w:tcPr>
          <w:p w14:paraId="1E80098D">
            <w:pPr>
              <w:rPr>
                <w:color w:val="000000"/>
                <w:lang w:eastAsia="zh-CN"/>
              </w:rPr>
            </w:pPr>
            <w:r>
              <w:rPr>
                <w:color w:val="000000"/>
                <w:lang w:eastAsia="zh-CN"/>
              </w:rPr>
              <w:t>Python</w:t>
            </w:r>
          </w:p>
        </w:tc>
        <w:tc>
          <w:tcPr>
            <w:tcW w:w="4555" w:type="pct"/>
            <w:shd w:val="clear" w:color="auto" w:fill="FFFFFF"/>
            <w:vAlign w:val="center"/>
          </w:tcPr>
          <w:p w14:paraId="30FB2BE8">
            <w:pPr>
              <w:rPr>
                <w:color w:val="000000"/>
                <w:lang w:eastAsia="zh-CN"/>
              </w:rPr>
            </w:pPr>
            <w:r>
              <w:rPr>
                <w:color w:val="000000"/>
                <w:lang w:eastAsia="zh-CN"/>
              </w:rPr>
              <w:t>建议 3.9 及以上；脚本大量使用 pathlib、类型注解。全文跑通需安装第三方科学计算与计量库（见下一工作表）。</w:t>
            </w:r>
          </w:p>
        </w:tc>
      </w:tr>
      <w:tr w14:paraId="4737BD80">
        <w:tblPrEx>
          <w:tblCellMar>
            <w:top w:w="17" w:type="dxa"/>
            <w:left w:w="17" w:type="dxa"/>
            <w:bottom w:w="17" w:type="dxa"/>
            <w:right w:w="17" w:type="dxa"/>
          </w:tblCellMar>
        </w:tblPrEx>
        <w:tc>
          <w:tcPr>
            <w:tcW w:w="444" w:type="pct"/>
            <w:shd w:val="clear" w:color="auto" w:fill="FFFFFF"/>
            <w:vAlign w:val="center"/>
          </w:tcPr>
          <w:p w14:paraId="055864DA">
            <w:pPr>
              <w:rPr>
                <w:color w:val="000000"/>
                <w:lang w:eastAsia="zh-CN"/>
              </w:rPr>
            </w:pPr>
            <w:r>
              <w:rPr>
                <w:color w:val="000000"/>
                <w:lang w:eastAsia="zh-CN"/>
              </w:rPr>
              <w:t>数据与文件格式</w:t>
            </w:r>
          </w:p>
        </w:tc>
        <w:tc>
          <w:tcPr>
            <w:tcW w:w="4555" w:type="pct"/>
            <w:shd w:val="clear" w:color="auto" w:fill="FFFFFF"/>
            <w:vAlign w:val="center"/>
          </w:tcPr>
          <w:p w14:paraId="2B21B55F">
            <w:pPr>
              <w:rPr>
                <w:color w:val="000000"/>
                <w:lang w:eastAsia="zh-CN"/>
              </w:rPr>
            </w:pPr>
            <w:r>
              <w:rPr>
                <w:color w:val="000000"/>
                <w:lang w:eastAsia="zh-CN"/>
              </w:rPr>
              <w:t>CSV（UTF-8，常见带 BOM）、Excel（.xlsx，依赖 openpyxl）、GeoJSON（空间分析脚本）</w:t>
            </w:r>
          </w:p>
        </w:tc>
      </w:tr>
      <w:tr w14:paraId="1FD8AA68">
        <w:tblPrEx>
          <w:tblCellMar>
            <w:top w:w="17" w:type="dxa"/>
            <w:left w:w="17" w:type="dxa"/>
            <w:bottom w:w="17" w:type="dxa"/>
            <w:right w:w="17" w:type="dxa"/>
          </w:tblCellMar>
        </w:tblPrEx>
        <w:tc>
          <w:tcPr>
            <w:tcW w:w="444" w:type="pct"/>
            <w:shd w:val="clear" w:color="auto" w:fill="FFFFFF"/>
            <w:vAlign w:val="center"/>
          </w:tcPr>
          <w:p w14:paraId="406DB5FC">
            <w:pPr>
              <w:rPr>
                <w:color w:val="000000"/>
                <w:lang w:eastAsia="zh-CN"/>
              </w:rPr>
            </w:pPr>
            <w:r>
              <w:rPr>
                <w:color w:val="000000"/>
                <w:lang w:eastAsia="zh-CN"/>
              </w:rPr>
              <w:t>中文字体</w:t>
            </w:r>
          </w:p>
        </w:tc>
        <w:tc>
          <w:tcPr>
            <w:tcW w:w="4555" w:type="pct"/>
            <w:shd w:val="clear" w:color="auto" w:fill="FFFFFF"/>
            <w:vAlign w:val="center"/>
          </w:tcPr>
          <w:p w14:paraId="4BEB6042">
            <w:pPr>
              <w:rPr>
                <w:color w:val="000000"/>
                <w:lang w:eastAsia="zh-CN"/>
              </w:rPr>
            </w:pPr>
            <w:r>
              <w:rPr>
                <w:color w:val="000000"/>
                <w:lang w:eastAsia="zh-CN"/>
              </w:rPr>
              <w:t>绘图依赖系统已安装中文字体（如 Microsoft YaHei、SimHei、SimSun）；缺失时可能缺字或回退字体。</w:t>
            </w:r>
          </w:p>
        </w:tc>
      </w:tr>
      <w:tr w14:paraId="3A0B3ABF">
        <w:tblPrEx>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560E16DF">
            <w:pPr>
              <w:rPr>
                <w:color w:val="000000"/>
                <w:lang w:eastAsia="zh-CN"/>
              </w:rPr>
            </w:pPr>
            <w:r>
              <w:rPr>
                <w:color w:val="000000"/>
                <w:lang w:eastAsia="zh-CN"/>
              </w:rPr>
              <w:t>复现建议</w:t>
            </w:r>
          </w:p>
        </w:tc>
        <w:tc>
          <w:tcPr>
            <w:tcW w:w="4555" w:type="pct"/>
            <w:tcBorders>
              <w:bottom w:val="single" w:color="000000" w:sz="12" w:space="0"/>
            </w:tcBorders>
            <w:shd w:val="clear" w:color="auto" w:fill="FFFFFF"/>
            <w:vAlign w:val="center"/>
          </w:tcPr>
          <w:p w14:paraId="7590409A">
            <w:pPr>
              <w:rPr>
                <w:color w:val="000000"/>
                <w:lang w:eastAsia="zh-CN"/>
              </w:rPr>
            </w:pPr>
            <w:r>
              <w:rPr>
                <w:color w:val="000000"/>
                <w:lang w:eastAsia="zh-CN"/>
              </w:rPr>
              <w:t>在论文复现用虚拟环境中执行：pip install numpy pandas matplotlib seaborn scipy statsmodels linearmodels openpyxl arch panelbox，再执行 pip freeze 存档。</w:t>
            </w:r>
          </w:p>
        </w:tc>
      </w:tr>
    </w:tbl>
    <w:p w14:paraId="5BD99351">
      <w:pPr>
        <w:rPr>
          <w:lang w:eastAsia="zh-CN"/>
        </w:rPr>
      </w:pPr>
    </w:p>
    <w:p w14:paraId="44F573C6">
      <w:pPr>
        <w:pStyle w:val="5"/>
        <w:rPr>
          <w:lang w:eastAsia="zh-CN"/>
        </w:rPr>
      </w:pPr>
      <w:r>
        <w:rPr>
          <w:rFonts w:hint="eastAsia"/>
          <w:lang w:eastAsia="zh-CN"/>
        </w:rPr>
        <w:t xml:space="preserve">B2 </w:t>
      </w:r>
      <w:r>
        <w:rPr>
          <w:lang w:eastAsia="zh-CN"/>
        </w:rPr>
        <w:t>核心脚本功能说明表</w:t>
      </w:r>
    </w:p>
    <w:p w14:paraId="17675B9B">
      <w:pPr>
        <w:rPr>
          <w:lang w:eastAsia="zh-CN"/>
        </w:rPr>
      </w:pPr>
      <w:r>
        <w:rPr>
          <w:rFonts w:hint="eastAsia"/>
          <w:lang w:eastAsia="zh-CN"/>
        </w:rPr>
        <w:t>附录表B1 核心脚本功能说明表</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F16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733219A1">
            <w:pPr>
              <w:rPr>
                <w:color w:val="000000"/>
              </w:rPr>
            </w:pPr>
            <w:r>
              <w:rPr>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640E2AE6">
            <w:pPr>
              <w:rPr>
                <w:color w:val="000000"/>
              </w:rPr>
            </w:pPr>
            <w:r>
              <w:rPr>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E90ABAC">
            <w:pPr>
              <w:rPr>
                <w:color w:val="000000"/>
              </w:rPr>
            </w:pPr>
            <w:r>
              <w:rPr>
                <w:color w:val="000000"/>
                <w:sz w:val="21"/>
              </w:rPr>
              <w:t>主要输出</w:t>
            </w:r>
          </w:p>
        </w:tc>
      </w:tr>
      <w:tr w14:paraId="7A85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4A2DCC1">
            <w:pPr>
              <w:rPr>
                <w:color w:val="000000"/>
                <w:lang w:eastAsia="zh-CN"/>
              </w:rPr>
            </w:pPr>
            <w:r>
              <w:rPr>
                <w:rFonts w:hint="eastAsia"/>
                <w:color w:val="000000"/>
                <w:sz w:val="21"/>
                <w:lang w:eastAsia="zh-CN"/>
              </w:rPr>
              <w:t>夜间灯光强度</w:t>
            </w:r>
            <w:r>
              <w:rPr>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76FB8644">
            <w:pPr>
              <w:rPr>
                <w:color w:val="000000"/>
                <w:lang w:eastAsia="zh-CN"/>
              </w:rPr>
            </w:pPr>
            <w:r>
              <w:rPr>
                <w:color w:val="000000"/>
                <w:sz w:val="21"/>
                <w:lang w:eastAsia="zh-CN"/>
              </w:rPr>
              <w:t>根据栅格亮度份额计算</w:t>
            </w:r>
            <w:r>
              <w:rPr>
                <w:rFonts w:hint="eastAsia"/>
                <w:color w:val="000000"/>
                <w:sz w:val="21"/>
                <w:lang w:eastAsia="zh-CN"/>
              </w:rPr>
              <w:t>夜间灯光强度</w:t>
            </w:r>
            <w:r>
              <w:rPr>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2A5ADAB6">
            <w:pPr>
              <w:rPr>
                <w:color w:val="000000"/>
              </w:rPr>
            </w:pPr>
            <w:r>
              <w:rPr>
                <w:color w:val="000000"/>
                <w:sz w:val="21"/>
              </w:rPr>
              <w:t>省份—年份层面的 ntl 与 lntl</w:t>
            </w:r>
          </w:p>
        </w:tc>
      </w:tr>
      <w:tr w14:paraId="45AD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65728F06">
            <w:pPr>
              <w:rPr>
                <w:color w:val="000000"/>
                <w:lang w:eastAsia="zh-CN"/>
              </w:rPr>
            </w:pPr>
            <w:r>
              <w:rPr>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76E5B4D0">
            <w:pPr>
              <w:rPr>
                <w:color w:val="000000"/>
                <w:lang w:eastAsia="zh-CN"/>
              </w:rPr>
            </w:pPr>
            <w:r>
              <w:rPr>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5569562">
            <w:pPr>
              <w:rPr>
                <w:color w:val="000000"/>
                <w:lang w:eastAsia="zh-CN"/>
              </w:rPr>
            </w:pPr>
            <w:r>
              <w:rPr>
                <w:color w:val="000000"/>
                <w:sz w:val="21"/>
                <w:lang w:eastAsia="zh-CN"/>
              </w:rPr>
              <w:t>系数、标准误、t值、p值与拟合统计量</w:t>
            </w:r>
          </w:p>
        </w:tc>
      </w:tr>
      <w:tr w14:paraId="7E82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4D1E74E">
            <w:pPr>
              <w:rPr>
                <w:color w:val="000000"/>
              </w:rPr>
            </w:pPr>
            <w:r>
              <w:rPr>
                <w:color w:val="000000"/>
                <w:sz w:val="21"/>
              </w:rPr>
              <w:t>空间相关性检验模块</w:t>
            </w:r>
          </w:p>
        </w:tc>
        <w:tc>
          <w:tcPr>
            <w:tcW w:w="2882" w:type="dxa"/>
            <w:gridSpan w:val="2"/>
            <w:tcBorders>
              <w:top w:val="nil"/>
              <w:left w:val="nil"/>
              <w:bottom w:val="nil"/>
              <w:right w:val="nil"/>
            </w:tcBorders>
            <w:shd w:val="clear" w:color="auto" w:fill="FFFFFF"/>
          </w:tcPr>
          <w:p w14:paraId="73A37D6A">
            <w:pPr>
              <w:rPr>
                <w:color w:val="000000"/>
              </w:rPr>
            </w:pPr>
            <w:r>
              <w:rPr>
                <w:color w:val="000000"/>
                <w:sz w:val="21"/>
              </w:rPr>
              <w:t>基于Queen邻接权重矩阵计算Global Moran’s I</w:t>
            </w:r>
          </w:p>
        </w:tc>
        <w:tc>
          <w:tcPr>
            <w:tcW w:w="2882" w:type="dxa"/>
            <w:tcBorders>
              <w:top w:val="nil"/>
              <w:left w:val="nil"/>
              <w:bottom w:val="nil"/>
              <w:right w:val="nil"/>
            </w:tcBorders>
            <w:shd w:val="clear" w:color="auto" w:fill="FFFFFF"/>
          </w:tcPr>
          <w:p w14:paraId="620F42CB">
            <w:pPr>
              <w:rPr>
                <w:color w:val="000000"/>
                <w:lang w:eastAsia="zh-CN"/>
              </w:rPr>
            </w:pPr>
            <w:r>
              <w:rPr>
                <w:color w:val="000000"/>
                <w:sz w:val="21"/>
                <w:lang w:eastAsia="zh-CN"/>
              </w:rPr>
              <w:t>I值、Z值、P值及显著性判断</w:t>
            </w:r>
          </w:p>
        </w:tc>
      </w:tr>
      <w:tr w14:paraId="41D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66CB23C8">
            <w:pPr>
              <w:rPr>
                <w:color w:val="000000"/>
              </w:rPr>
            </w:pPr>
            <w:r>
              <w:rPr>
                <w:color w:val="000000"/>
                <w:sz w:val="21"/>
              </w:rPr>
              <w:t>可视化模块</w:t>
            </w:r>
          </w:p>
        </w:tc>
        <w:tc>
          <w:tcPr>
            <w:tcW w:w="2882" w:type="dxa"/>
            <w:gridSpan w:val="2"/>
            <w:tcBorders>
              <w:top w:val="nil"/>
              <w:left w:val="nil"/>
              <w:bottom w:val="nil"/>
              <w:right w:val="nil"/>
            </w:tcBorders>
            <w:shd w:val="clear" w:color="auto" w:fill="FFFFFF"/>
          </w:tcPr>
          <w:p w14:paraId="1A289E2E">
            <w:pPr>
              <w:rPr>
                <w:color w:val="000000"/>
                <w:lang w:eastAsia="zh-CN"/>
              </w:rPr>
            </w:pPr>
            <w:r>
              <w:rPr>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2348FB1E">
            <w:pPr>
              <w:rPr>
                <w:color w:val="000000"/>
                <w:lang w:eastAsia="zh-CN"/>
              </w:rPr>
            </w:pPr>
            <w:r>
              <w:rPr>
                <w:color w:val="000000"/>
                <w:sz w:val="21"/>
                <w:lang w:eastAsia="zh-CN"/>
              </w:rPr>
              <w:t>论文正文及附录中的图表文件</w:t>
            </w:r>
          </w:p>
        </w:tc>
      </w:tr>
      <w:tr w14:paraId="1B6E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A569B0B">
            <w:pPr>
              <w:rPr>
                <w:color w:val="000000"/>
              </w:rPr>
            </w:pPr>
            <w:r>
              <w:rPr>
                <w:color w:val="000000"/>
                <w:sz w:val="21"/>
              </w:rPr>
              <w:t>项目</w:t>
            </w:r>
          </w:p>
        </w:tc>
        <w:tc>
          <w:tcPr>
            <w:tcW w:w="4323" w:type="dxa"/>
            <w:gridSpan w:val="2"/>
            <w:tcBorders>
              <w:top w:val="nil"/>
              <w:left w:val="nil"/>
              <w:bottom w:val="nil"/>
              <w:right w:val="nil"/>
            </w:tcBorders>
            <w:shd w:val="clear" w:color="auto" w:fill="FFFFFF"/>
          </w:tcPr>
          <w:p w14:paraId="4786DA39">
            <w:pPr>
              <w:rPr>
                <w:color w:val="000000"/>
              </w:rPr>
            </w:pPr>
            <w:r>
              <w:rPr>
                <w:color w:val="000000"/>
                <w:sz w:val="21"/>
              </w:rPr>
              <w:t>说明</w:t>
            </w:r>
          </w:p>
        </w:tc>
      </w:tr>
      <w:tr w14:paraId="07DB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D9D046">
            <w:pPr>
              <w:rPr>
                <w:color w:val="000000"/>
              </w:rPr>
            </w:pPr>
            <w:r>
              <w:rPr>
                <w:color w:val="000000"/>
                <w:sz w:val="21"/>
              </w:rPr>
              <w:t>编程语言</w:t>
            </w:r>
          </w:p>
        </w:tc>
        <w:tc>
          <w:tcPr>
            <w:tcW w:w="4323" w:type="dxa"/>
            <w:gridSpan w:val="2"/>
            <w:tcBorders>
              <w:top w:val="nil"/>
              <w:left w:val="nil"/>
              <w:bottom w:val="nil"/>
              <w:right w:val="nil"/>
            </w:tcBorders>
            <w:shd w:val="clear" w:color="auto" w:fill="FFFFFF"/>
          </w:tcPr>
          <w:p w14:paraId="0518149B">
            <w:pPr>
              <w:rPr>
                <w:color w:val="000000"/>
              </w:rPr>
            </w:pPr>
            <w:r>
              <w:rPr>
                <w:color w:val="000000"/>
                <w:sz w:val="21"/>
              </w:rPr>
              <w:t>Python 3.10 及以上版本</w:t>
            </w:r>
          </w:p>
        </w:tc>
      </w:tr>
      <w:tr w14:paraId="1421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D3A52E6">
            <w:pPr>
              <w:rPr>
                <w:color w:val="000000"/>
              </w:rPr>
            </w:pPr>
            <w:r>
              <w:rPr>
                <w:color w:val="000000"/>
                <w:sz w:val="21"/>
              </w:rPr>
              <w:t>核心依赖库</w:t>
            </w:r>
          </w:p>
        </w:tc>
        <w:tc>
          <w:tcPr>
            <w:tcW w:w="4323" w:type="dxa"/>
            <w:gridSpan w:val="2"/>
            <w:tcBorders>
              <w:top w:val="nil"/>
              <w:left w:val="nil"/>
              <w:bottom w:val="nil"/>
              <w:right w:val="nil"/>
            </w:tcBorders>
            <w:shd w:val="clear" w:color="auto" w:fill="FFFFFF"/>
          </w:tcPr>
          <w:p w14:paraId="418B329F">
            <w:pPr>
              <w:rPr>
                <w:color w:val="000000"/>
              </w:rPr>
            </w:pPr>
            <w:r>
              <w:rPr>
                <w:color w:val="000000"/>
                <w:sz w:val="21"/>
              </w:rPr>
              <w:t>pandas、numpy、linearmodels、statsmodels、libpysal、esda、matplotlib</w:t>
            </w:r>
          </w:p>
        </w:tc>
      </w:tr>
      <w:tr w14:paraId="3C1C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1E8BA26">
            <w:pPr>
              <w:rPr>
                <w:color w:val="000000"/>
              </w:rPr>
            </w:pPr>
            <w:r>
              <w:rPr>
                <w:color w:val="000000"/>
                <w:sz w:val="21"/>
              </w:rPr>
              <w:t>数据结构</w:t>
            </w:r>
          </w:p>
        </w:tc>
        <w:tc>
          <w:tcPr>
            <w:tcW w:w="4323" w:type="dxa"/>
            <w:gridSpan w:val="2"/>
            <w:tcBorders>
              <w:top w:val="nil"/>
              <w:left w:val="nil"/>
              <w:bottom w:val="nil"/>
              <w:right w:val="nil"/>
            </w:tcBorders>
            <w:shd w:val="clear" w:color="auto" w:fill="FFFFFF"/>
          </w:tcPr>
          <w:p w14:paraId="083A3553">
            <w:pPr>
              <w:rPr>
                <w:color w:val="000000"/>
                <w:lang w:eastAsia="zh-CN"/>
              </w:rPr>
            </w:pPr>
            <w:r>
              <w:rPr>
                <w:color w:val="000000"/>
                <w:sz w:val="21"/>
                <w:lang w:eastAsia="zh-CN"/>
              </w:rPr>
              <w:t>以省份—年份为索引的平衡面板数据</w:t>
            </w:r>
          </w:p>
        </w:tc>
      </w:tr>
      <w:tr w14:paraId="6AAA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296139BF">
            <w:pPr>
              <w:rPr>
                <w:color w:val="000000"/>
              </w:rPr>
            </w:pPr>
            <w:r>
              <w:rPr>
                <w:color w:val="000000"/>
                <w:sz w:val="21"/>
              </w:rPr>
              <w:t>主要输入文件</w:t>
            </w:r>
          </w:p>
        </w:tc>
        <w:tc>
          <w:tcPr>
            <w:tcW w:w="4323" w:type="dxa"/>
            <w:gridSpan w:val="2"/>
            <w:tcBorders>
              <w:top w:val="nil"/>
              <w:left w:val="nil"/>
              <w:bottom w:val="nil"/>
              <w:right w:val="nil"/>
            </w:tcBorders>
            <w:shd w:val="clear" w:color="auto" w:fill="FFFFFF"/>
          </w:tcPr>
          <w:p w14:paraId="11F121CA">
            <w:pPr>
              <w:rPr>
                <w:color w:val="000000"/>
              </w:rPr>
            </w:pPr>
            <w:r>
              <w:rPr>
                <w:color w:val="000000"/>
                <w:sz w:val="21"/>
              </w:rPr>
              <w:t>ntl.csv、process2.csv、空间边界矢量文件</w:t>
            </w:r>
          </w:p>
        </w:tc>
      </w:tr>
      <w:tr w14:paraId="57C8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18F00091">
            <w:pPr>
              <w:rPr>
                <w:color w:val="000000"/>
              </w:rPr>
            </w:pPr>
            <w:r>
              <w:rPr>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4A527113">
            <w:pPr>
              <w:rPr>
                <w:color w:val="000000"/>
                <w:lang w:eastAsia="zh-CN"/>
              </w:rPr>
            </w:pPr>
            <w:r>
              <w:rPr>
                <w:color w:val="000000"/>
                <w:sz w:val="21"/>
                <w:lang w:eastAsia="zh-CN"/>
              </w:rPr>
              <w:t>回归结果表、Moran’s I 检验结果、趋势图与对比图</w:t>
            </w:r>
          </w:p>
        </w:tc>
      </w:tr>
    </w:tbl>
    <w:p w14:paraId="4AB2F63B">
      <w:pPr>
        <w:rPr>
          <w:lang w:eastAsia="zh-CN"/>
        </w:rPr>
      </w:pPr>
      <w:r>
        <w:rPr>
          <w:lang w:eastAsia="zh-CN"/>
        </w:rPr>
        <w:t>代码运行环境说明：</w:t>
      </w:r>
    </w:p>
    <w:p w14:paraId="4E9D1245">
      <w:pPr>
        <w:rPr>
          <w:lang w:eastAsia="zh-CN"/>
        </w:rPr>
      </w:pPr>
      <w:r>
        <w:rPr>
          <w:lang w:eastAsia="zh-CN"/>
        </w:rPr>
        <w:t>编程语言：Python 3.10 及以上版本</w:t>
      </w:r>
    </w:p>
    <w:p w14:paraId="7AD2BCED">
      <w:r>
        <w:t>核心依赖库及版本号：pandas==2.2.2，numpy==1.26.4，linearmodels==5.4，statsmodels==0.14.2，libpysal==4.10.0，esda==2.5.1，matplotlib==3.8.4</w:t>
      </w:r>
    </w:p>
    <w:p w14:paraId="01A6C477">
      <w:r>
        <w:t>数据说明：代码所用数据为 2015—2022 年中国 30 个省级地区平衡面板数据。</w:t>
      </w:r>
    </w:p>
    <w:p w14:paraId="75CBC026">
      <w:pPr>
        <w:rPr>
          <w:lang w:eastAsia="zh-CN"/>
        </w:rPr>
      </w:pPr>
      <w:r>
        <w:rPr>
          <w:lang w:eastAsia="zh-CN"/>
        </w:rPr>
        <w:t>部分代码如下：</w:t>
      </w:r>
    </w:p>
    <w:p w14:paraId="2497777B">
      <w:pPr>
        <w:rPr>
          <w:lang w:eastAsia="zh-CN"/>
        </w:rPr>
      </w:pPr>
      <w:r>
        <w:rPr>
          <w:rFonts w:ascii="Consolas" w:hAnsi="Consolas" w:eastAsia="Consolas"/>
          <w:sz w:val="19"/>
          <w:lang w:eastAsia="zh-CN"/>
        </w:rPr>
        <w:t xml:space="preserve"># 1. </w:t>
      </w:r>
      <w:r>
        <w:rPr>
          <w:rFonts w:hint="eastAsia" w:ascii="Consolas" w:hAnsi="Consolas" w:eastAsia="Consolas"/>
          <w:sz w:val="19"/>
          <w:lang w:eastAsia="zh-CN"/>
        </w:rPr>
        <w:t>夜间灯光强度</w:t>
      </w:r>
      <w:r>
        <w:rPr>
          <w:rFonts w:ascii="Consolas" w:hAnsi="Consolas" w:eastAsia="Consolas"/>
          <w:sz w:val="19"/>
          <w:lang w:eastAsia="zh-CN"/>
        </w:rPr>
        <w:t>构造</w:t>
      </w:r>
    </w:p>
    <w:p w14:paraId="61CF6A7F">
      <w:r>
        <w:rPr>
          <w:rFonts w:ascii="Consolas" w:hAnsi="Consolas" w:eastAsia="Consolas"/>
          <w:sz w:val="19"/>
        </w:rPr>
        <w:t>import numpy as np</w:t>
      </w:r>
    </w:p>
    <w:p w14:paraId="6D35688B">
      <w:r>
        <w:rPr>
          <w:rFonts w:ascii="Consolas" w:hAnsi="Consolas" w:eastAsia="Consolas"/>
          <w:sz w:val="19"/>
        </w:rPr>
        <w:t>import pandas as pd</w:t>
      </w:r>
    </w:p>
    <w:p w14:paraId="34F8979B"/>
    <w:p w14:paraId="3FDCD992">
      <w:r>
        <w:rPr>
          <w:rFonts w:ascii="Consolas" w:hAnsi="Consolas" w:eastAsia="Consolas"/>
          <w:sz w:val="19"/>
        </w:rPr>
        <w:t>df_ntl = pd.read_csv("ntl.csv")</w:t>
      </w:r>
    </w:p>
    <w:p w14:paraId="16937BBA">
      <w:r>
        <w:rPr>
          <w:rFonts w:ascii="Consolas" w:hAnsi="Consolas" w:eastAsia="Consolas"/>
          <w:sz w:val="19"/>
        </w:rPr>
        <w:t>df_ntl["share"] = df_ntl.groupby(["province", "year"])["pixel_value"].transform(lambda x: x / x.sum())</w:t>
      </w:r>
    </w:p>
    <w:p w14:paraId="32FE3F33">
      <w:r>
        <w:rPr>
          <w:rFonts w:ascii="Consolas" w:hAnsi="Consolas" w:eastAsia="Consolas"/>
          <w:sz w:val="19"/>
        </w:rPr>
        <w:t>ntl_agg = (df_ntl.groupby(["province", "year"])["share"]</w:t>
      </w:r>
    </w:p>
    <w:p w14:paraId="5ECB5CF2">
      <w:r>
        <w:rPr>
          <w:rFonts w:ascii="Consolas" w:hAnsi="Consolas" w:eastAsia="Consolas"/>
          <w:sz w:val="19"/>
        </w:rPr>
        <w:t xml:space="preserve">                 .apply(lambda x: np.sum(np.square(x)))</w:t>
      </w:r>
    </w:p>
    <w:p w14:paraId="3AB98C73">
      <w:r>
        <w:rPr>
          <w:rFonts w:ascii="Consolas" w:hAnsi="Consolas" w:eastAsia="Consolas"/>
          <w:sz w:val="19"/>
        </w:rPr>
        <w:t xml:space="preserve">                 .reset_index(name="ntl"))</w:t>
      </w:r>
    </w:p>
    <w:p w14:paraId="7B4DFE20">
      <w:r>
        <w:rPr>
          <w:rFonts w:ascii="Consolas" w:hAnsi="Consolas" w:eastAsia="Consolas"/>
          <w:sz w:val="19"/>
        </w:rPr>
        <w:t>ntl_agg["lntl"] = np.log(ntl_agg["ntl"] + 1)</w:t>
      </w:r>
    </w:p>
    <w:p w14:paraId="7A1B1678"/>
    <w:p w14:paraId="7C39FBBE">
      <w:r>
        <w:rPr>
          <w:rFonts w:ascii="Consolas" w:hAnsi="Consolas" w:eastAsia="Consolas"/>
          <w:sz w:val="19"/>
        </w:rPr>
        <w:t># 2. 双向固定效应模型</w:t>
      </w:r>
    </w:p>
    <w:p w14:paraId="577B957E">
      <w:r>
        <w:rPr>
          <w:rFonts w:ascii="Consolas" w:hAnsi="Consolas" w:eastAsia="Consolas"/>
          <w:sz w:val="19"/>
        </w:rPr>
        <w:t>from linearmodels.panel import PanelOLS</w:t>
      </w:r>
    </w:p>
    <w:p w14:paraId="3B22EB26">
      <w:r>
        <w:rPr>
          <w:rFonts w:ascii="Consolas" w:hAnsi="Consolas" w:eastAsia="Consolas"/>
          <w:sz w:val="19"/>
        </w:rPr>
        <w:t>import statsmodels.api as sm</w:t>
      </w:r>
    </w:p>
    <w:p w14:paraId="45A3EB9E"/>
    <w:p w14:paraId="3C92EBEF">
      <w:r>
        <w:rPr>
          <w:rFonts w:ascii="Consolas" w:hAnsi="Consolas" w:eastAsia="Consolas"/>
          <w:sz w:val="19"/>
        </w:rPr>
        <w:t>df = pd.read_csv("process2.csv").set_index(["province", "year"])</w:t>
      </w:r>
    </w:p>
    <w:p w14:paraId="6B71FA00">
      <w:r>
        <w:rPr>
          <w:rFonts w:ascii="Consolas" w:hAnsi="Consolas" w:eastAsia="Consolas"/>
          <w:sz w:val="19"/>
        </w:rPr>
        <w:t>y = df["eff"]</w:t>
      </w:r>
    </w:p>
    <w:p w14:paraId="0E90CB76">
      <w:r>
        <w:rPr>
          <w:rFonts w:ascii="Consolas" w:hAnsi="Consolas" w:eastAsia="Consolas"/>
          <w:sz w:val="19"/>
        </w:rPr>
        <w:t>X = sm.add_constant(df[["lntl", "ind", "urb", "rd", "open", "es"]])</w:t>
      </w:r>
    </w:p>
    <w:p w14:paraId="63DA3246">
      <w:r>
        <w:rPr>
          <w:rFonts w:ascii="Consolas" w:hAnsi="Consolas" w:eastAsia="Consolas"/>
          <w:sz w:val="19"/>
        </w:rPr>
        <w:t>model = PanelOLS(y, X, entity_effects=True, time_effects=True)</w:t>
      </w:r>
    </w:p>
    <w:p w14:paraId="44C7A16A">
      <w:r>
        <w:rPr>
          <w:rFonts w:ascii="Consolas" w:hAnsi="Consolas" w:eastAsia="Consolas"/>
          <w:sz w:val="19"/>
        </w:rPr>
        <w:t>res = model.fit(cov_type="clustered", cluster_entity=True)</w:t>
      </w:r>
    </w:p>
    <w:p w14:paraId="39882E42">
      <w:r>
        <w:rPr>
          <w:rFonts w:ascii="Consolas" w:hAnsi="Consolas" w:eastAsia="Consolas"/>
          <w:sz w:val="19"/>
        </w:rPr>
        <w:t>print(res.summary)</w:t>
      </w:r>
    </w:p>
    <w:p w14:paraId="38637025"/>
    <w:p w14:paraId="59D210EF">
      <w:r>
        <w:rPr>
          <w:rFonts w:ascii="Consolas" w:hAnsi="Consolas" w:eastAsia="Consolas"/>
          <w:sz w:val="19"/>
        </w:rPr>
        <w:t># 3. 全局 Moran's I 计算</w:t>
      </w:r>
    </w:p>
    <w:p w14:paraId="6AE08454">
      <w:r>
        <w:rPr>
          <w:rFonts w:ascii="Consolas" w:hAnsi="Consolas" w:eastAsia="Consolas"/>
          <w:sz w:val="19"/>
        </w:rPr>
        <w:t>import geopandas as gpd</w:t>
      </w:r>
    </w:p>
    <w:p w14:paraId="42416CBF">
      <w:r>
        <w:rPr>
          <w:rFonts w:ascii="Consolas" w:hAnsi="Consolas" w:eastAsia="Consolas"/>
          <w:sz w:val="19"/>
        </w:rPr>
        <w:t>from libpysal.weights import Queen</w:t>
      </w:r>
    </w:p>
    <w:p w14:paraId="62F5BA52">
      <w:r>
        <w:rPr>
          <w:rFonts w:ascii="Consolas" w:hAnsi="Consolas" w:eastAsia="Consolas"/>
          <w:sz w:val="19"/>
        </w:rPr>
        <w:t>from esda.moran import Moran</w:t>
      </w:r>
    </w:p>
    <w:p w14:paraId="07F9BAF4"/>
    <w:p w14:paraId="1285C9FB">
      <w:r>
        <w:rPr>
          <w:rFonts w:ascii="Consolas" w:hAnsi="Consolas" w:eastAsia="Consolas"/>
          <w:sz w:val="19"/>
        </w:rPr>
        <w:t>gdf = gpd.read_file("china_provinces.shp")</w:t>
      </w:r>
    </w:p>
    <w:p w14:paraId="31A26386">
      <w:r>
        <w:rPr>
          <w:rFonts w:ascii="Consolas" w:hAnsi="Consolas" w:eastAsia="Consolas"/>
          <w:sz w:val="19"/>
        </w:rPr>
        <w:t>gdf = gdf.merge(df.reset_index().query("year == 2022"), on="province", how="left")</w:t>
      </w:r>
    </w:p>
    <w:p w14:paraId="3DD0CE24">
      <w:r>
        <w:rPr>
          <w:rFonts w:ascii="Consolas" w:hAnsi="Consolas" w:eastAsia="Consolas"/>
          <w:sz w:val="19"/>
        </w:rPr>
        <w:t>w = Queen.from_dataframe(gdf)</w:t>
      </w:r>
    </w:p>
    <w:p w14:paraId="0E811957">
      <w:r>
        <w:rPr>
          <w:rFonts w:ascii="Consolas" w:hAnsi="Consolas" w:eastAsia="Consolas"/>
          <w:sz w:val="19"/>
        </w:rPr>
        <w:t>w.transform = "r"</w:t>
      </w:r>
    </w:p>
    <w:p w14:paraId="09B5E56B">
      <w:r>
        <w:rPr>
          <w:rFonts w:ascii="Consolas" w:hAnsi="Consolas" w:eastAsia="Consolas"/>
          <w:sz w:val="19"/>
        </w:rPr>
        <w:t>mi = Moran(gdf["eff"], w, permutations=999)</w:t>
      </w:r>
    </w:p>
    <w:p w14:paraId="222EDFF0">
      <w:r>
        <w:rPr>
          <w:rFonts w:ascii="Consolas" w:hAnsi="Consolas" w:eastAsia="Consolas"/>
          <w:sz w:val="19"/>
        </w:rPr>
        <w:t>print(mi.I, mi.z_norm, mi.p_norm)</w:t>
      </w:r>
    </w:p>
    <w:p w14:paraId="7B51B826"/>
    <w:p w14:paraId="09129254">
      <w:pPr>
        <w:pStyle w:val="4"/>
        <w:rPr>
          <w:lang w:eastAsia="zh-CN"/>
        </w:rPr>
      </w:pPr>
      <w:r>
        <w:rPr>
          <w:lang w:eastAsia="zh-CN"/>
        </w:rPr>
        <w:t>附录</w:t>
      </w:r>
      <w:r>
        <w:rPr>
          <w:rFonts w:hint="eastAsia"/>
          <w:lang w:eastAsia="zh-CN"/>
        </w:rPr>
        <w:t>C</w:t>
      </w:r>
      <w:r>
        <w:rPr>
          <w:lang w:eastAsia="zh-CN"/>
        </w:rPr>
        <w:t xml:space="preserve"> 数据字段与区域划分说明</w:t>
      </w:r>
    </w:p>
    <w:p w14:paraId="28845232">
      <w:pPr>
        <w:pStyle w:val="5"/>
        <w:rPr>
          <w:lang w:eastAsia="zh-CN"/>
        </w:rPr>
      </w:pPr>
      <w:bookmarkStart w:id="80" w:name="_Toc15025"/>
      <w:r>
        <w:rPr>
          <w:rFonts w:hint="eastAsia"/>
          <w:lang w:eastAsia="zh-CN"/>
        </w:rPr>
        <w:t xml:space="preserve">C1 </w:t>
      </w:r>
      <w:r>
        <w:rPr>
          <w:lang w:eastAsia="zh-CN"/>
        </w:rPr>
        <w:t>核心数据表说明</w:t>
      </w:r>
      <w:bookmarkEnd w:id="80"/>
    </w:p>
    <w:p w14:paraId="77520C0C">
      <w:pPr>
        <w:rPr>
          <w:lang w:eastAsia="zh-CN"/>
        </w:rPr>
      </w:pPr>
      <w:r>
        <w:rPr>
          <w:rFonts w:hint="eastAsia"/>
          <w:lang w:eastAsia="zh-CN"/>
        </w:rPr>
        <w:t>附录</w:t>
      </w:r>
      <w:r>
        <w:rPr>
          <w:lang w:eastAsia="zh-CN"/>
        </w:rPr>
        <w:t>表</w:t>
      </w:r>
      <w:r>
        <w:rPr>
          <w:rFonts w:hint="eastAsia"/>
          <w:lang w:eastAsia="zh-CN"/>
        </w:rPr>
        <w:t>C1</w:t>
      </w:r>
      <w:r>
        <w:rPr>
          <w:lang w:eastAsia="zh-CN"/>
        </w:rPr>
        <w:t xml:space="preserve"> 核心数据表说明</w:t>
      </w:r>
    </w:p>
    <w:tbl>
      <w:tblPr>
        <w:tblStyle w:val="4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46E063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21A517EE">
            <w:pPr>
              <w:rPr>
                <w:color w:val="000000"/>
              </w:rPr>
            </w:pPr>
            <w:r>
              <w:rPr>
                <w:color w:val="000000"/>
                <w:sz w:val="21"/>
              </w:rPr>
              <w:t>数据表</w:t>
            </w:r>
          </w:p>
        </w:tc>
        <w:tc>
          <w:tcPr>
            <w:tcW w:w="2882" w:type="dxa"/>
            <w:tcBorders>
              <w:top w:val="single" w:color="000000" w:sz="12" w:space="0"/>
              <w:bottom w:val="single" w:color="000000" w:sz="4" w:space="0"/>
            </w:tcBorders>
            <w:shd w:val="clear" w:color="auto" w:fill="FFFFFF"/>
          </w:tcPr>
          <w:p w14:paraId="5593CAC5">
            <w:pPr>
              <w:rPr>
                <w:color w:val="000000"/>
              </w:rPr>
            </w:pPr>
            <w:r>
              <w:rPr>
                <w:color w:val="000000"/>
                <w:sz w:val="21"/>
              </w:rPr>
              <w:t>主要字段</w:t>
            </w:r>
          </w:p>
        </w:tc>
        <w:tc>
          <w:tcPr>
            <w:tcW w:w="2882" w:type="dxa"/>
            <w:tcBorders>
              <w:top w:val="single" w:color="000000" w:sz="12" w:space="0"/>
              <w:bottom w:val="single" w:color="000000" w:sz="4" w:space="0"/>
            </w:tcBorders>
            <w:shd w:val="clear" w:color="auto" w:fill="FFFFFF"/>
          </w:tcPr>
          <w:p w14:paraId="21D6C215">
            <w:pPr>
              <w:rPr>
                <w:color w:val="000000"/>
              </w:rPr>
            </w:pPr>
            <w:r>
              <w:rPr>
                <w:color w:val="000000"/>
                <w:sz w:val="21"/>
              </w:rPr>
              <w:t>用途</w:t>
            </w:r>
          </w:p>
        </w:tc>
      </w:tr>
      <w:tr w14:paraId="4F7DBC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294DE88C">
            <w:pPr>
              <w:rPr>
                <w:color w:val="000000"/>
              </w:rPr>
            </w:pPr>
            <w:r>
              <w:rPr>
                <w:color w:val="000000"/>
                <w:sz w:val="21"/>
              </w:rPr>
              <w:t>ntl.csv</w:t>
            </w:r>
          </w:p>
        </w:tc>
        <w:tc>
          <w:tcPr>
            <w:tcW w:w="2882" w:type="dxa"/>
            <w:tcBorders>
              <w:top w:val="single" w:color="000000" w:sz="4" w:space="0"/>
            </w:tcBorders>
            <w:shd w:val="clear" w:color="auto" w:fill="FFFFFF"/>
          </w:tcPr>
          <w:p w14:paraId="2CDF1475">
            <w:pPr>
              <w:rPr>
                <w:color w:val="000000"/>
              </w:rPr>
            </w:pPr>
            <w:r>
              <w:rPr>
                <w:color w:val="000000"/>
                <w:sz w:val="21"/>
              </w:rPr>
              <w:t>province、year、pixel_value</w:t>
            </w:r>
          </w:p>
        </w:tc>
        <w:tc>
          <w:tcPr>
            <w:tcW w:w="2882" w:type="dxa"/>
            <w:tcBorders>
              <w:top w:val="single" w:color="000000" w:sz="4" w:space="0"/>
            </w:tcBorders>
            <w:shd w:val="clear" w:color="auto" w:fill="FFFFFF"/>
          </w:tcPr>
          <w:p w14:paraId="05209EEE">
            <w:pPr>
              <w:rPr>
                <w:color w:val="000000"/>
                <w:lang w:eastAsia="zh-CN"/>
              </w:rPr>
            </w:pPr>
            <w:r>
              <w:rPr>
                <w:color w:val="000000"/>
                <w:sz w:val="21"/>
                <w:lang w:eastAsia="zh-CN"/>
              </w:rPr>
              <w:t>计算</w:t>
            </w:r>
            <w:r>
              <w:rPr>
                <w:rFonts w:hint="eastAsia"/>
                <w:color w:val="000000"/>
                <w:sz w:val="21"/>
                <w:lang w:eastAsia="zh-CN"/>
              </w:rPr>
              <w:t>夜间灯光强度</w:t>
            </w:r>
            <w:r>
              <w:rPr>
                <w:color w:val="000000"/>
                <w:sz w:val="21"/>
                <w:lang w:eastAsia="zh-CN"/>
              </w:rPr>
              <w:t>及其对数化指标</w:t>
            </w:r>
          </w:p>
        </w:tc>
      </w:tr>
      <w:tr w14:paraId="7F02B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5B32CCB">
            <w:pPr>
              <w:rPr>
                <w:color w:val="000000"/>
              </w:rPr>
            </w:pPr>
            <w:r>
              <w:rPr>
                <w:color w:val="000000"/>
                <w:sz w:val="21"/>
              </w:rPr>
              <w:t>process2.csv</w:t>
            </w:r>
          </w:p>
        </w:tc>
        <w:tc>
          <w:tcPr>
            <w:tcW w:w="2882" w:type="dxa"/>
            <w:shd w:val="clear" w:color="auto" w:fill="FFFFFF"/>
          </w:tcPr>
          <w:p w14:paraId="65CA373E">
            <w:pPr>
              <w:rPr>
                <w:color w:val="000000"/>
              </w:rPr>
            </w:pPr>
            <w:r>
              <w:rPr>
                <w:color w:val="000000"/>
                <w:sz w:val="21"/>
              </w:rPr>
              <w:t>province、year、lntl、ind、urb、rd、open、es、eff</w:t>
            </w:r>
          </w:p>
        </w:tc>
        <w:tc>
          <w:tcPr>
            <w:tcW w:w="2882" w:type="dxa"/>
            <w:shd w:val="clear" w:color="auto" w:fill="FFFFFF"/>
          </w:tcPr>
          <w:p w14:paraId="19B63B03">
            <w:pPr>
              <w:rPr>
                <w:color w:val="000000"/>
                <w:lang w:eastAsia="zh-CN"/>
              </w:rPr>
            </w:pPr>
            <w:r>
              <w:rPr>
                <w:color w:val="000000"/>
                <w:sz w:val="21"/>
                <w:lang w:eastAsia="zh-CN"/>
              </w:rPr>
              <w:t>开展第二阶段双向固定效应回归与稳健性检验</w:t>
            </w:r>
          </w:p>
        </w:tc>
      </w:tr>
      <w:tr w14:paraId="10288E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5DC778D">
            <w:pPr>
              <w:rPr>
                <w:color w:val="000000"/>
              </w:rPr>
            </w:pPr>
            <w:r>
              <w:rPr>
                <w:color w:val="000000"/>
                <w:sz w:val="21"/>
              </w:rPr>
              <w:t>省级边界矢量文件</w:t>
            </w:r>
          </w:p>
        </w:tc>
        <w:tc>
          <w:tcPr>
            <w:tcW w:w="2882" w:type="dxa"/>
            <w:shd w:val="clear" w:color="auto" w:fill="FFFFFF"/>
          </w:tcPr>
          <w:p w14:paraId="15E31B64">
            <w:pPr>
              <w:rPr>
                <w:color w:val="000000"/>
              </w:rPr>
            </w:pPr>
            <w:r>
              <w:rPr>
                <w:color w:val="000000"/>
                <w:sz w:val="21"/>
              </w:rPr>
              <w:t>province、geometry</w:t>
            </w:r>
          </w:p>
        </w:tc>
        <w:tc>
          <w:tcPr>
            <w:tcW w:w="2882" w:type="dxa"/>
            <w:shd w:val="clear" w:color="auto" w:fill="FFFFFF"/>
          </w:tcPr>
          <w:p w14:paraId="449E8386">
            <w:pPr>
              <w:rPr>
                <w:color w:val="000000"/>
              </w:rPr>
            </w:pPr>
            <w:r>
              <w:rPr>
                <w:color w:val="000000"/>
                <w:sz w:val="21"/>
              </w:rPr>
              <w:t>构建空间权重矩阵并计算 Moran’s I</w:t>
            </w:r>
          </w:p>
        </w:tc>
      </w:tr>
      <w:tr w14:paraId="1867F8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7EEA41B9">
            <w:pPr>
              <w:rPr>
                <w:color w:val="000000"/>
              </w:rPr>
            </w:pPr>
            <w:r>
              <w:rPr>
                <w:rFonts w:ascii="宋体" w:hAnsi="宋体"/>
                <w:color w:val="000000"/>
                <w:sz w:val="21"/>
              </w:rPr>
              <w:t>数据表</w:t>
            </w:r>
          </w:p>
        </w:tc>
        <w:tc>
          <w:tcPr>
            <w:tcW w:w="2882" w:type="dxa"/>
            <w:shd w:val="clear" w:color="auto" w:fill="FFFFFF"/>
          </w:tcPr>
          <w:p w14:paraId="7BE86265">
            <w:pPr>
              <w:rPr>
                <w:color w:val="000000"/>
              </w:rPr>
            </w:pPr>
            <w:r>
              <w:rPr>
                <w:rFonts w:ascii="宋体" w:hAnsi="宋体"/>
                <w:color w:val="000000"/>
                <w:sz w:val="21"/>
              </w:rPr>
              <w:t>主要字段</w:t>
            </w:r>
          </w:p>
        </w:tc>
        <w:tc>
          <w:tcPr>
            <w:tcW w:w="2882" w:type="dxa"/>
            <w:shd w:val="clear" w:color="auto" w:fill="FFFFFF"/>
          </w:tcPr>
          <w:p w14:paraId="1D13B734">
            <w:pPr>
              <w:rPr>
                <w:color w:val="000000"/>
              </w:rPr>
            </w:pPr>
            <w:r>
              <w:rPr>
                <w:rFonts w:ascii="宋体" w:hAnsi="宋体"/>
                <w:color w:val="000000"/>
                <w:sz w:val="21"/>
              </w:rPr>
              <w:t>用途</w:t>
            </w:r>
          </w:p>
        </w:tc>
      </w:tr>
      <w:tr w14:paraId="5844FB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67BF5DDA">
            <w:pPr>
              <w:rPr>
                <w:color w:val="000000"/>
              </w:rPr>
            </w:pPr>
            <w:r>
              <w:rPr>
                <w:rFonts w:ascii="宋体" w:hAnsi="宋体"/>
                <w:color w:val="000000"/>
                <w:sz w:val="21"/>
              </w:rPr>
              <w:t>process1.csv</w:t>
            </w:r>
          </w:p>
        </w:tc>
        <w:tc>
          <w:tcPr>
            <w:tcW w:w="2882" w:type="dxa"/>
            <w:shd w:val="clear" w:color="auto" w:fill="FFFFFF"/>
          </w:tcPr>
          <w:p w14:paraId="33806E8E">
            <w:pPr>
              <w:rPr>
                <w:color w:val="000000"/>
              </w:rPr>
            </w:pPr>
            <w:r>
              <w:rPr>
                <w:rFonts w:ascii="宋体" w:hAnsi="宋体"/>
                <w:color w:val="000000"/>
                <w:sz w:val="21"/>
              </w:rPr>
              <w:t>year, province, Population, Capital, energy_total, GDP_constant, Carbon</w:t>
            </w:r>
          </w:p>
        </w:tc>
        <w:tc>
          <w:tcPr>
            <w:tcW w:w="2882" w:type="dxa"/>
            <w:shd w:val="clear" w:color="auto" w:fill="FFFFFF"/>
          </w:tcPr>
          <w:p w14:paraId="611E08D0">
            <w:pPr>
              <w:rPr>
                <w:color w:val="000000"/>
                <w:lang w:eastAsia="zh-CN"/>
              </w:rPr>
            </w:pPr>
            <w:r>
              <w:rPr>
                <w:rFonts w:ascii="宋体" w:hAnsi="宋体"/>
                <w:color w:val="000000"/>
                <w:sz w:val="21"/>
                <w:lang w:eastAsia="zh-CN"/>
              </w:rPr>
              <w:t>第一阶段超效率SBM测度</w:t>
            </w:r>
          </w:p>
        </w:tc>
      </w:tr>
      <w:tr w14:paraId="529CBA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6970C1C6">
            <w:pPr>
              <w:rPr>
                <w:color w:val="000000"/>
              </w:rPr>
            </w:pPr>
            <w:r>
              <w:rPr>
                <w:rFonts w:ascii="宋体" w:hAnsi="宋体"/>
                <w:color w:val="000000"/>
                <w:sz w:val="21"/>
              </w:rPr>
              <w:t>process2.csv</w:t>
            </w:r>
          </w:p>
        </w:tc>
        <w:tc>
          <w:tcPr>
            <w:tcW w:w="2882" w:type="dxa"/>
            <w:shd w:val="clear" w:color="auto" w:fill="FFFFFF"/>
          </w:tcPr>
          <w:p w14:paraId="25C6C131">
            <w:pPr>
              <w:rPr>
                <w:color w:val="000000"/>
              </w:rPr>
            </w:pPr>
            <w:r>
              <w:rPr>
                <w:rFonts w:ascii="宋体" w:hAnsi="宋体"/>
                <w:color w:val="000000"/>
                <w:sz w:val="21"/>
              </w:rPr>
              <w:t>province, year, lntl, ind, urb, rd, open, es, eff</w:t>
            </w:r>
          </w:p>
        </w:tc>
        <w:tc>
          <w:tcPr>
            <w:tcW w:w="2882" w:type="dxa"/>
            <w:shd w:val="clear" w:color="auto" w:fill="FFFFFF"/>
          </w:tcPr>
          <w:p w14:paraId="54EE3CBB">
            <w:pPr>
              <w:rPr>
                <w:color w:val="000000"/>
                <w:lang w:eastAsia="zh-CN"/>
              </w:rPr>
            </w:pPr>
            <w:r>
              <w:rPr>
                <w:rFonts w:ascii="宋体" w:hAnsi="宋体"/>
                <w:color w:val="000000"/>
                <w:sz w:val="21"/>
                <w:lang w:eastAsia="zh-CN"/>
              </w:rPr>
              <w:t>第二阶段双向固定效应回归与稳健性检验</w:t>
            </w:r>
          </w:p>
        </w:tc>
      </w:tr>
      <w:tr w14:paraId="7FBAB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619E83C5">
            <w:pPr>
              <w:rPr>
                <w:color w:val="000000"/>
              </w:rPr>
            </w:pPr>
            <w:r>
              <w:rPr>
                <w:rFonts w:ascii="宋体" w:hAnsi="宋体"/>
                <w:color w:val="000000"/>
                <w:sz w:val="21"/>
              </w:rPr>
              <w:t>空间权重与地图底图</w:t>
            </w:r>
          </w:p>
        </w:tc>
        <w:tc>
          <w:tcPr>
            <w:tcW w:w="2882" w:type="dxa"/>
            <w:tcBorders>
              <w:bottom w:val="single" w:color="000000" w:sz="12" w:space="0"/>
            </w:tcBorders>
            <w:shd w:val="clear" w:color="auto" w:fill="FFFFFF"/>
          </w:tcPr>
          <w:p w14:paraId="19320458">
            <w:pPr>
              <w:rPr>
                <w:color w:val="000000"/>
              </w:rPr>
            </w:pPr>
            <w:r>
              <w:rPr>
                <w:rFonts w:ascii="宋体" w:hAnsi="宋体"/>
                <w:color w:val="000000"/>
                <w:sz w:val="21"/>
              </w:rPr>
              <w:t>province, geometry</w:t>
            </w:r>
          </w:p>
        </w:tc>
        <w:tc>
          <w:tcPr>
            <w:tcW w:w="2882" w:type="dxa"/>
            <w:tcBorders>
              <w:bottom w:val="single" w:color="000000" w:sz="12" w:space="0"/>
            </w:tcBorders>
            <w:shd w:val="clear" w:color="auto" w:fill="FFFFFF"/>
          </w:tcPr>
          <w:p w14:paraId="2EDD6D66">
            <w:pPr>
              <w:rPr>
                <w:color w:val="000000"/>
              </w:rPr>
            </w:pPr>
            <w:r>
              <w:rPr>
                <w:rFonts w:ascii="宋体" w:hAnsi="宋体"/>
                <w:color w:val="000000"/>
                <w:sz w:val="21"/>
              </w:rPr>
              <w:t>Global Moran’s I、Moran散点图与LISA聚类分析</w:t>
            </w:r>
          </w:p>
        </w:tc>
      </w:tr>
    </w:tbl>
    <w:p w14:paraId="39D29159">
      <w:pPr>
        <w:pStyle w:val="5"/>
      </w:pPr>
      <w:bookmarkStart w:id="81" w:name="_Toc32084"/>
      <w:r>
        <w:rPr>
          <w:rFonts w:hint="eastAsia"/>
          <w:lang w:eastAsia="zh-CN"/>
        </w:rPr>
        <w:t xml:space="preserve">C2 </w:t>
      </w:r>
      <w:r>
        <w:t>四大区域划分</w:t>
      </w:r>
      <w:bookmarkEnd w:id="81"/>
    </w:p>
    <w:p w14:paraId="5E1ECC63">
      <w:pPr>
        <w:rPr>
          <w:lang w:eastAsia="zh-CN"/>
        </w:rPr>
      </w:pPr>
      <w:r>
        <w:rPr>
          <w:rFonts w:hint="eastAsia"/>
          <w:lang w:eastAsia="zh-CN"/>
        </w:rPr>
        <w:t>附录</w:t>
      </w:r>
      <w:r>
        <w:rPr>
          <w:lang w:eastAsia="zh-CN"/>
        </w:rPr>
        <w:t>表</w:t>
      </w:r>
      <w:r>
        <w:rPr>
          <w:rFonts w:hint="eastAsia"/>
          <w:lang w:eastAsia="zh-CN"/>
        </w:rPr>
        <w:t>C2</w:t>
      </w:r>
      <w:r>
        <w:rPr>
          <w:lang w:eastAsia="zh-CN"/>
        </w:rPr>
        <w:t xml:space="preserve"> 四大区域划分对应省级行政区</w:t>
      </w:r>
    </w:p>
    <w:tbl>
      <w:tblPr>
        <w:tblStyle w:val="4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420FC0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5E93CFA0">
            <w:pPr>
              <w:rPr>
                <w:color w:val="000000"/>
              </w:rPr>
            </w:pPr>
            <w:r>
              <w:rPr>
                <w:color w:val="000000"/>
                <w:sz w:val="21"/>
              </w:rPr>
              <w:t>区域划分</w:t>
            </w:r>
          </w:p>
        </w:tc>
        <w:tc>
          <w:tcPr>
            <w:tcW w:w="4323" w:type="dxa"/>
            <w:tcBorders>
              <w:top w:val="single" w:color="000000" w:sz="12" w:space="0"/>
              <w:bottom w:val="single" w:color="000000" w:sz="4" w:space="0"/>
            </w:tcBorders>
            <w:shd w:val="clear" w:color="auto" w:fill="FFFFFF"/>
          </w:tcPr>
          <w:p w14:paraId="679108E9">
            <w:pPr>
              <w:rPr>
                <w:color w:val="000000"/>
              </w:rPr>
            </w:pPr>
            <w:r>
              <w:rPr>
                <w:color w:val="000000"/>
                <w:sz w:val="21"/>
              </w:rPr>
              <w:t>对应省级行政区</w:t>
            </w:r>
          </w:p>
        </w:tc>
      </w:tr>
      <w:tr w14:paraId="363E3F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714720F6">
            <w:pPr>
              <w:rPr>
                <w:color w:val="000000"/>
              </w:rPr>
            </w:pPr>
            <w:r>
              <w:rPr>
                <w:color w:val="000000"/>
                <w:sz w:val="21"/>
              </w:rPr>
              <w:t>东部</w:t>
            </w:r>
          </w:p>
        </w:tc>
        <w:tc>
          <w:tcPr>
            <w:tcW w:w="4323" w:type="dxa"/>
            <w:tcBorders>
              <w:top w:val="single" w:color="000000" w:sz="4" w:space="0"/>
            </w:tcBorders>
            <w:shd w:val="clear" w:color="auto" w:fill="FFFFFF"/>
          </w:tcPr>
          <w:p w14:paraId="50C87BB2">
            <w:pPr>
              <w:rPr>
                <w:color w:val="000000"/>
                <w:lang w:eastAsia="zh-CN"/>
              </w:rPr>
            </w:pPr>
            <w:r>
              <w:rPr>
                <w:color w:val="000000"/>
                <w:sz w:val="21"/>
                <w:lang w:eastAsia="zh-CN"/>
              </w:rPr>
              <w:t>北京、天津、河北、上海、江苏、浙江、福建、山东、广东、海南</w:t>
            </w:r>
          </w:p>
        </w:tc>
      </w:tr>
      <w:tr w14:paraId="4AAC29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D0756FC">
            <w:pPr>
              <w:rPr>
                <w:color w:val="000000"/>
              </w:rPr>
            </w:pPr>
            <w:r>
              <w:rPr>
                <w:color w:val="000000"/>
                <w:sz w:val="21"/>
              </w:rPr>
              <w:t>中部</w:t>
            </w:r>
          </w:p>
        </w:tc>
        <w:tc>
          <w:tcPr>
            <w:tcW w:w="4323" w:type="dxa"/>
            <w:shd w:val="clear" w:color="auto" w:fill="FFFFFF"/>
          </w:tcPr>
          <w:p w14:paraId="6DA0BE29">
            <w:pPr>
              <w:rPr>
                <w:color w:val="000000"/>
              </w:rPr>
            </w:pPr>
            <w:r>
              <w:rPr>
                <w:color w:val="000000"/>
                <w:sz w:val="21"/>
              </w:rPr>
              <w:t>山西、安徽、江西、河南、湖北、湖南</w:t>
            </w:r>
          </w:p>
        </w:tc>
      </w:tr>
      <w:tr w14:paraId="25C425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49B0933F">
            <w:pPr>
              <w:rPr>
                <w:color w:val="000000"/>
              </w:rPr>
            </w:pPr>
            <w:r>
              <w:rPr>
                <w:color w:val="000000"/>
                <w:sz w:val="21"/>
              </w:rPr>
              <w:t>西部</w:t>
            </w:r>
          </w:p>
        </w:tc>
        <w:tc>
          <w:tcPr>
            <w:tcW w:w="4323" w:type="dxa"/>
            <w:shd w:val="clear" w:color="auto" w:fill="FFFFFF"/>
          </w:tcPr>
          <w:p w14:paraId="160DAD75">
            <w:pPr>
              <w:rPr>
                <w:color w:val="000000"/>
                <w:lang w:eastAsia="zh-CN"/>
              </w:rPr>
            </w:pPr>
            <w:r>
              <w:rPr>
                <w:color w:val="000000"/>
                <w:sz w:val="21"/>
                <w:lang w:eastAsia="zh-CN"/>
              </w:rPr>
              <w:t>内蒙古、广西、重庆、四川、贵州、云南、陕西、甘肃、青海、宁夏、新疆</w:t>
            </w:r>
          </w:p>
        </w:tc>
      </w:tr>
      <w:tr w14:paraId="2E744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70E3D624">
            <w:pPr>
              <w:rPr>
                <w:color w:val="000000"/>
              </w:rPr>
            </w:pPr>
            <w:r>
              <w:rPr>
                <w:color w:val="000000"/>
                <w:sz w:val="21"/>
              </w:rPr>
              <w:t>东北</w:t>
            </w:r>
          </w:p>
        </w:tc>
        <w:tc>
          <w:tcPr>
            <w:tcW w:w="4323" w:type="dxa"/>
            <w:shd w:val="clear" w:color="auto" w:fill="FFFFFF"/>
          </w:tcPr>
          <w:p w14:paraId="6F9B28AC">
            <w:pPr>
              <w:rPr>
                <w:color w:val="000000"/>
              </w:rPr>
            </w:pPr>
            <w:r>
              <w:rPr>
                <w:color w:val="000000"/>
                <w:sz w:val="21"/>
              </w:rPr>
              <w:t>辽宁、吉林、黑龙江</w:t>
            </w:r>
          </w:p>
        </w:tc>
      </w:tr>
      <w:tr w14:paraId="44FD61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E38107B">
            <w:pPr>
              <w:rPr>
                <w:color w:val="000000"/>
              </w:rPr>
            </w:pPr>
            <w:r>
              <w:rPr>
                <w:rFonts w:ascii="宋体" w:hAnsi="宋体"/>
                <w:color w:val="000000"/>
                <w:sz w:val="21"/>
              </w:rPr>
              <w:t>区域划分</w:t>
            </w:r>
          </w:p>
        </w:tc>
        <w:tc>
          <w:tcPr>
            <w:tcW w:w="4323" w:type="dxa"/>
            <w:shd w:val="clear" w:color="auto" w:fill="FFFFFF"/>
          </w:tcPr>
          <w:p w14:paraId="07DD045F">
            <w:pPr>
              <w:rPr>
                <w:color w:val="000000"/>
              </w:rPr>
            </w:pPr>
            <w:r>
              <w:rPr>
                <w:rFonts w:ascii="宋体" w:hAnsi="宋体"/>
                <w:color w:val="000000"/>
                <w:sz w:val="21"/>
              </w:rPr>
              <w:t>对应省级行政区</w:t>
            </w:r>
          </w:p>
        </w:tc>
      </w:tr>
      <w:tr w14:paraId="6D70E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4784777F">
            <w:pPr>
              <w:rPr>
                <w:color w:val="000000"/>
              </w:rPr>
            </w:pPr>
            <w:r>
              <w:rPr>
                <w:rFonts w:ascii="宋体" w:hAnsi="宋体"/>
                <w:color w:val="000000"/>
                <w:sz w:val="21"/>
              </w:rPr>
              <w:t>东部地区</w:t>
            </w:r>
          </w:p>
        </w:tc>
        <w:tc>
          <w:tcPr>
            <w:tcW w:w="4323" w:type="dxa"/>
            <w:shd w:val="clear" w:color="auto" w:fill="FFFFFF"/>
          </w:tcPr>
          <w:p w14:paraId="3FE91FAC">
            <w:pPr>
              <w:rPr>
                <w:color w:val="000000"/>
                <w:lang w:eastAsia="zh-CN"/>
              </w:rPr>
            </w:pPr>
            <w:r>
              <w:rPr>
                <w:rFonts w:ascii="宋体" w:hAnsi="宋体"/>
                <w:color w:val="000000"/>
                <w:sz w:val="21"/>
                <w:lang w:eastAsia="zh-CN"/>
              </w:rPr>
              <w:t>北京、天津、河北、上海、江苏、浙江、福建、山东、广东、海南</w:t>
            </w:r>
          </w:p>
        </w:tc>
      </w:tr>
      <w:tr w14:paraId="132EB5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20ADC33B">
            <w:pPr>
              <w:rPr>
                <w:color w:val="000000"/>
              </w:rPr>
            </w:pPr>
            <w:r>
              <w:rPr>
                <w:rFonts w:ascii="宋体" w:hAnsi="宋体"/>
                <w:color w:val="000000"/>
                <w:sz w:val="21"/>
              </w:rPr>
              <w:t>中部地区</w:t>
            </w:r>
          </w:p>
        </w:tc>
        <w:tc>
          <w:tcPr>
            <w:tcW w:w="4323" w:type="dxa"/>
            <w:shd w:val="clear" w:color="auto" w:fill="FFFFFF"/>
          </w:tcPr>
          <w:p w14:paraId="452763DC">
            <w:pPr>
              <w:rPr>
                <w:color w:val="000000"/>
              </w:rPr>
            </w:pPr>
            <w:r>
              <w:rPr>
                <w:rFonts w:ascii="宋体" w:hAnsi="宋体"/>
                <w:color w:val="000000"/>
                <w:sz w:val="21"/>
              </w:rPr>
              <w:t>山西、安徽、江西、河南、湖北、湖南</w:t>
            </w:r>
          </w:p>
        </w:tc>
      </w:tr>
      <w:tr w14:paraId="23D5DC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0732FA">
            <w:pPr>
              <w:rPr>
                <w:color w:val="000000"/>
              </w:rPr>
            </w:pPr>
            <w:r>
              <w:rPr>
                <w:rFonts w:ascii="宋体" w:hAnsi="宋体"/>
                <w:color w:val="000000"/>
                <w:sz w:val="21"/>
              </w:rPr>
              <w:t>西部地区</w:t>
            </w:r>
          </w:p>
        </w:tc>
        <w:tc>
          <w:tcPr>
            <w:tcW w:w="4323" w:type="dxa"/>
            <w:shd w:val="clear" w:color="auto" w:fill="FFFFFF"/>
          </w:tcPr>
          <w:p w14:paraId="693B526C">
            <w:pPr>
              <w:rPr>
                <w:color w:val="000000"/>
                <w:lang w:eastAsia="zh-CN"/>
              </w:rPr>
            </w:pPr>
            <w:r>
              <w:rPr>
                <w:rFonts w:ascii="宋体" w:hAnsi="宋体"/>
                <w:color w:val="000000"/>
                <w:sz w:val="21"/>
                <w:lang w:eastAsia="zh-CN"/>
              </w:rPr>
              <w:t>内蒙古、广西、重庆、四川、贵州、云南、陕西、甘肃、青海、宁夏、新疆</w:t>
            </w:r>
          </w:p>
        </w:tc>
      </w:tr>
      <w:tr w14:paraId="50EAA8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E799848">
            <w:pPr>
              <w:rPr>
                <w:color w:val="000000"/>
              </w:rPr>
            </w:pPr>
            <w:r>
              <w:rPr>
                <w:rFonts w:ascii="宋体" w:hAnsi="宋体"/>
                <w:color w:val="000000"/>
                <w:sz w:val="21"/>
              </w:rPr>
              <w:t>东北地区</w:t>
            </w:r>
          </w:p>
        </w:tc>
        <w:tc>
          <w:tcPr>
            <w:tcW w:w="4323" w:type="dxa"/>
            <w:tcBorders>
              <w:bottom w:val="single" w:color="000000" w:sz="12" w:space="0"/>
            </w:tcBorders>
            <w:shd w:val="clear" w:color="auto" w:fill="FFFFFF"/>
          </w:tcPr>
          <w:p w14:paraId="79D3E44F">
            <w:pPr>
              <w:rPr>
                <w:color w:val="000000"/>
              </w:rPr>
            </w:pPr>
            <w:r>
              <w:rPr>
                <w:rFonts w:ascii="宋体" w:hAnsi="宋体"/>
                <w:color w:val="000000"/>
                <w:sz w:val="21"/>
              </w:rPr>
              <w:t>辽宁、吉林、黑龙江</w:t>
            </w:r>
          </w:p>
        </w:tc>
      </w:tr>
    </w:tbl>
    <w:p w14:paraId="55607507">
      <w:pPr>
        <w:pStyle w:val="5"/>
      </w:pPr>
      <w:bookmarkStart w:id="82" w:name="_Toc31994"/>
      <w:r>
        <w:rPr>
          <w:rFonts w:hint="eastAsia"/>
          <w:lang w:eastAsia="zh-CN"/>
        </w:rPr>
        <w:t xml:space="preserve">C3 </w:t>
      </w:r>
      <w:r>
        <w:t>变量说明补充</w:t>
      </w:r>
      <w:bookmarkEnd w:id="82"/>
    </w:p>
    <w:p w14:paraId="707665F5">
      <w:pPr>
        <w:rPr>
          <w:lang w:eastAsia="zh-CN"/>
        </w:rPr>
      </w:pPr>
      <w:r>
        <w:rPr>
          <w:rFonts w:hint="eastAsia"/>
          <w:lang w:eastAsia="zh-CN"/>
        </w:rPr>
        <w:t>附录</w:t>
      </w:r>
      <w:r>
        <w:rPr>
          <w:lang w:eastAsia="zh-CN"/>
        </w:rPr>
        <w:t>表</w:t>
      </w:r>
      <w:r>
        <w:rPr>
          <w:rFonts w:hint="eastAsia"/>
          <w:lang w:eastAsia="zh-CN"/>
        </w:rPr>
        <w:t xml:space="preserve">C3 </w:t>
      </w:r>
      <w:r>
        <w:rPr>
          <w:lang w:eastAsia="zh-CN"/>
        </w:rPr>
        <w:t>变量符号、含义与单位说明表</w:t>
      </w:r>
    </w:p>
    <w:tbl>
      <w:tblPr>
        <w:tblStyle w:val="4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522D91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9324EBC">
            <w:pPr>
              <w:rPr>
                <w:color w:val="000000"/>
              </w:rPr>
            </w:pPr>
            <w:r>
              <w:rPr>
                <w:color w:val="000000"/>
                <w:sz w:val="21"/>
              </w:rPr>
              <w:t>变量名称</w:t>
            </w:r>
          </w:p>
        </w:tc>
        <w:tc>
          <w:tcPr>
            <w:tcW w:w="2882" w:type="dxa"/>
            <w:tcBorders>
              <w:top w:val="single" w:color="000000" w:sz="12" w:space="0"/>
              <w:bottom w:val="single" w:color="000000" w:sz="4" w:space="0"/>
            </w:tcBorders>
            <w:shd w:val="clear" w:color="auto" w:fill="FFFFFF"/>
          </w:tcPr>
          <w:p w14:paraId="6A0336F8">
            <w:pPr>
              <w:rPr>
                <w:color w:val="000000"/>
              </w:rPr>
            </w:pPr>
            <w:r>
              <w:rPr>
                <w:color w:val="000000"/>
                <w:sz w:val="21"/>
              </w:rPr>
              <w:t>指标含义</w:t>
            </w:r>
          </w:p>
        </w:tc>
        <w:tc>
          <w:tcPr>
            <w:tcW w:w="2882" w:type="dxa"/>
            <w:tcBorders>
              <w:top w:val="single" w:color="000000" w:sz="12" w:space="0"/>
              <w:bottom w:val="single" w:color="000000" w:sz="4" w:space="0"/>
            </w:tcBorders>
            <w:shd w:val="clear" w:color="auto" w:fill="FFFFFF"/>
          </w:tcPr>
          <w:p w14:paraId="1860BC89">
            <w:pPr>
              <w:rPr>
                <w:color w:val="000000"/>
              </w:rPr>
            </w:pPr>
            <w:r>
              <w:rPr>
                <w:color w:val="000000"/>
                <w:sz w:val="21"/>
              </w:rPr>
              <w:t>单位或口径</w:t>
            </w:r>
          </w:p>
        </w:tc>
      </w:tr>
      <w:tr w14:paraId="0AFE2B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3936FBB6">
            <w:pPr>
              <w:rPr>
                <w:color w:val="000000"/>
              </w:rPr>
            </w:pPr>
            <w:r>
              <w:rPr>
                <w:color w:val="000000"/>
                <w:sz w:val="21"/>
              </w:rPr>
              <w:t>eff</w:t>
            </w:r>
          </w:p>
        </w:tc>
        <w:tc>
          <w:tcPr>
            <w:tcW w:w="2882" w:type="dxa"/>
            <w:tcBorders>
              <w:top w:val="single" w:color="000000" w:sz="4" w:space="0"/>
            </w:tcBorders>
            <w:shd w:val="clear" w:color="auto" w:fill="FFFFFF"/>
          </w:tcPr>
          <w:p w14:paraId="0D635541">
            <w:pPr>
              <w:rPr>
                <w:color w:val="000000"/>
                <w:lang w:eastAsia="zh-CN"/>
              </w:rPr>
            </w:pPr>
            <w:r>
              <w:rPr>
                <w:color w:val="000000"/>
                <w:sz w:val="21"/>
                <w:lang w:eastAsia="zh-CN"/>
              </w:rPr>
              <w:t>第一阶段超效率SBM测得的碳排放效率值</w:t>
            </w:r>
          </w:p>
        </w:tc>
        <w:tc>
          <w:tcPr>
            <w:tcW w:w="2882" w:type="dxa"/>
            <w:tcBorders>
              <w:top w:val="single" w:color="000000" w:sz="4" w:space="0"/>
            </w:tcBorders>
            <w:shd w:val="clear" w:color="auto" w:fill="FFFFFF"/>
          </w:tcPr>
          <w:p w14:paraId="36CA53D0">
            <w:pPr>
              <w:rPr>
                <w:color w:val="000000"/>
              </w:rPr>
            </w:pPr>
            <w:r>
              <w:rPr>
                <w:color w:val="000000"/>
                <w:sz w:val="21"/>
              </w:rPr>
              <w:t>无量纲效率指数</w:t>
            </w:r>
          </w:p>
        </w:tc>
      </w:tr>
      <w:tr w14:paraId="4EC4DB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3C67F6B">
            <w:pPr>
              <w:rPr>
                <w:color w:val="000000"/>
              </w:rPr>
            </w:pPr>
            <w:r>
              <w:rPr>
                <w:color w:val="000000"/>
                <w:sz w:val="21"/>
              </w:rPr>
              <w:t>lntl</w:t>
            </w:r>
          </w:p>
        </w:tc>
        <w:tc>
          <w:tcPr>
            <w:tcW w:w="2882" w:type="dxa"/>
            <w:shd w:val="clear" w:color="auto" w:fill="FFFFFF"/>
          </w:tcPr>
          <w:p w14:paraId="011302B8">
            <w:pPr>
              <w:rPr>
                <w:color w:val="000000"/>
                <w:lang w:eastAsia="zh-CN"/>
              </w:rPr>
            </w:pPr>
            <w:r>
              <w:rPr>
                <w:rFonts w:hint="eastAsia"/>
                <w:color w:val="000000"/>
                <w:sz w:val="21"/>
                <w:lang w:eastAsia="zh-CN"/>
              </w:rPr>
              <w:t>夜间灯光强度</w:t>
            </w:r>
            <w:r>
              <w:rPr>
                <w:color w:val="000000"/>
                <w:sz w:val="21"/>
                <w:lang w:eastAsia="zh-CN"/>
              </w:rPr>
              <w:t>对数项</w:t>
            </w:r>
          </w:p>
        </w:tc>
        <w:tc>
          <w:tcPr>
            <w:tcW w:w="2882" w:type="dxa"/>
            <w:shd w:val="clear" w:color="auto" w:fill="FFFFFF"/>
          </w:tcPr>
          <w:p w14:paraId="515BEDF6">
            <w:pPr>
              <w:rPr>
                <w:color w:val="000000"/>
              </w:rPr>
            </w:pPr>
            <w:r>
              <w:rPr>
                <w:color w:val="000000"/>
                <w:sz w:val="21"/>
              </w:rPr>
              <w:t>ln(ntl+1)</w:t>
            </w:r>
          </w:p>
        </w:tc>
      </w:tr>
      <w:tr w14:paraId="783E5F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71180B81">
            <w:pPr>
              <w:rPr>
                <w:color w:val="000000"/>
              </w:rPr>
            </w:pPr>
            <w:r>
              <w:rPr>
                <w:color w:val="000000"/>
                <w:sz w:val="21"/>
              </w:rPr>
              <w:t>ind</w:t>
            </w:r>
          </w:p>
        </w:tc>
        <w:tc>
          <w:tcPr>
            <w:tcW w:w="2882" w:type="dxa"/>
            <w:shd w:val="clear" w:color="auto" w:fill="FFFFFF"/>
          </w:tcPr>
          <w:p w14:paraId="427E57BD">
            <w:pPr>
              <w:rPr>
                <w:color w:val="000000"/>
              </w:rPr>
            </w:pPr>
            <w:r>
              <w:rPr>
                <w:color w:val="000000"/>
                <w:sz w:val="21"/>
              </w:rPr>
              <w:t>产业结构</w:t>
            </w:r>
          </w:p>
        </w:tc>
        <w:tc>
          <w:tcPr>
            <w:tcW w:w="2882" w:type="dxa"/>
            <w:shd w:val="clear" w:color="auto" w:fill="FFFFFF"/>
          </w:tcPr>
          <w:p w14:paraId="03F8BB84">
            <w:pPr>
              <w:rPr>
                <w:color w:val="000000"/>
                <w:lang w:eastAsia="zh-CN"/>
              </w:rPr>
            </w:pPr>
            <w:r>
              <w:rPr>
                <w:color w:val="000000"/>
                <w:sz w:val="21"/>
                <w:lang w:eastAsia="zh-CN"/>
              </w:rPr>
              <w:t>第二产业增加值占GDP比重</w:t>
            </w:r>
          </w:p>
        </w:tc>
      </w:tr>
      <w:tr w14:paraId="048B3F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BF081DF">
            <w:pPr>
              <w:rPr>
                <w:color w:val="000000"/>
              </w:rPr>
            </w:pPr>
            <w:r>
              <w:rPr>
                <w:color w:val="000000"/>
                <w:sz w:val="21"/>
              </w:rPr>
              <w:t>urb</w:t>
            </w:r>
          </w:p>
        </w:tc>
        <w:tc>
          <w:tcPr>
            <w:tcW w:w="2882" w:type="dxa"/>
            <w:shd w:val="clear" w:color="auto" w:fill="FFFFFF"/>
          </w:tcPr>
          <w:p w14:paraId="24B300BC">
            <w:pPr>
              <w:rPr>
                <w:color w:val="000000"/>
              </w:rPr>
            </w:pPr>
            <w:r>
              <w:rPr>
                <w:color w:val="000000"/>
                <w:sz w:val="21"/>
              </w:rPr>
              <w:t>城镇化率</w:t>
            </w:r>
          </w:p>
        </w:tc>
        <w:tc>
          <w:tcPr>
            <w:tcW w:w="2882" w:type="dxa"/>
            <w:shd w:val="clear" w:color="auto" w:fill="FFFFFF"/>
          </w:tcPr>
          <w:p w14:paraId="022FF309">
            <w:pPr>
              <w:rPr>
                <w:color w:val="000000"/>
                <w:lang w:eastAsia="zh-CN"/>
              </w:rPr>
            </w:pPr>
            <w:r>
              <w:rPr>
                <w:color w:val="000000"/>
                <w:sz w:val="21"/>
                <w:lang w:eastAsia="zh-CN"/>
              </w:rPr>
              <w:t>城镇常住人口占总人口比重</w:t>
            </w:r>
          </w:p>
        </w:tc>
      </w:tr>
      <w:tr w14:paraId="49ED8D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6D0ABB3C">
            <w:pPr>
              <w:rPr>
                <w:color w:val="000000"/>
              </w:rPr>
            </w:pPr>
            <w:r>
              <w:rPr>
                <w:color w:val="000000"/>
                <w:sz w:val="21"/>
              </w:rPr>
              <w:t>rd</w:t>
            </w:r>
          </w:p>
        </w:tc>
        <w:tc>
          <w:tcPr>
            <w:tcW w:w="2882" w:type="dxa"/>
            <w:shd w:val="clear" w:color="auto" w:fill="FFFFFF"/>
          </w:tcPr>
          <w:p w14:paraId="4FBDE592">
            <w:pPr>
              <w:rPr>
                <w:color w:val="000000"/>
              </w:rPr>
            </w:pPr>
            <w:r>
              <w:rPr>
                <w:color w:val="000000"/>
                <w:sz w:val="21"/>
              </w:rPr>
              <w:t>研发投入强度</w:t>
            </w:r>
          </w:p>
        </w:tc>
        <w:tc>
          <w:tcPr>
            <w:tcW w:w="2882" w:type="dxa"/>
            <w:shd w:val="clear" w:color="auto" w:fill="FFFFFF"/>
          </w:tcPr>
          <w:p w14:paraId="431CFB9D">
            <w:pPr>
              <w:rPr>
                <w:color w:val="000000"/>
                <w:lang w:eastAsia="zh-CN"/>
              </w:rPr>
            </w:pPr>
            <w:r>
              <w:rPr>
                <w:color w:val="000000"/>
                <w:sz w:val="21"/>
                <w:lang w:eastAsia="zh-CN"/>
              </w:rPr>
              <w:t>R&amp;D经费投入占GDP比重</w:t>
            </w:r>
          </w:p>
        </w:tc>
      </w:tr>
      <w:tr w14:paraId="142C72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950BA93">
            <w:pPr>
              <w:rPr>
                <w:color w:val="000000"/>
              </w:rPr>
            </w:pPr>
            <w:r>
              <w:rPr>
                <w:color w:val="000000"/>
                <w:sz w:val="21"/>
              </w:rPr>
              <w:t>open</w:t>
            </w:r>
          </w:p>
        </w:tc>
        <w:tc>
          <w:tcPr>
            <w:tcW w:w="2882" w:type="dxa"/>
            <w:shd w:val="clear" w:color="auto" w:fill="FFFFFF"/>
          </w:tcPr>
          <w:p w14:paraId="69126993">
            <w:pPr>
              <w:rPr>
                <w:color w:val="000000"/>
              </w:rPr>
            </w:pPr>
            <w:r>
              <w:rPr>
                <w:color w:val="000000"/>
                <w:sz w:val="21"/>
              </w:rPr>
              <w:t>对外开放水平</w:t>
            </w:r>
          </w:p>
        </w:tc>
        <w:tc>
          <w:tcPr>
            <w:tcW w:w="2882" w:type="dxa"/>
            <w:shd w:val="clear" w:color="auto" w:fill="FFFFFF"/>
          </w:tcPr>
          <w:p w14:paraId="026913E2">
            <w:pPr>
              <w:rPr>
                <w:color w:val="000000"/>
                <w:lang w:eastAsia="zh-CN"/>
              </w:rPr>
            </w:pPr>
            <w:r>
              <w:rPr>
                <w:color w:val="000000"/>
                <w:sz w:val="21"/>
                <w:lang w:eastAsia="zh-CN"/>
              </w:rPr>
              <w:t>货物进出口总额占GDP比重</w:t>
            </w:r>
          </w:p>
        </w:tc>
      </w:tr>
      <w:tr w14:paraId="6C74D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83781A9">
            <w:pPr>
              <w:rPr>
                <w:color w:val="000000"/>
              </w:rPr>
            </w:pPr>
            <w:r>
              <w:rPr>
                <w:color w:val="000000"/>
                <w:sz w:val="21"/>
              </w:rPr>
              <w:t>es</w:t>
            </w:r>
          </w:p>
        </w:tc>
        <w:tc>
          <w:tcPr>
            <w:tcW w:w="2882" w:type="dxa"/>
            <w:tcBorders>
              <w:bottom w:val="single" w:color="000000" w:sz="12" w:space="0"/>
            </w:tcBorders>
            <w:shd w:val="clear" w:color="auto" w:fill="FFFFFF"/>
          </w:tcPr>
          <w:p w14:paraId="5475E6B7">
            <w:pPr>
              <w:rPr>
                <w:color w:val="000000"/>
              </w:rPr>
            </w:pPr>
            <w:r>
              <w:rPr>
                <w:color w:val="000000"/>
                <w:sz w:val="21"/>
              </w:rPr>
              <w:t>能源结构</w:t>
            </w:r>
          </w:p>
        </w:tc>
        <w:tc>
          <w:tcPr>
            <w:tcW w:w="2882" w:type="dxa"/>
            <w:tcBorders>
              <w:bottom w:val="single" w:color="000000" w:sz="12" w:space="0"/>
            </w:tcBorders>
            <w:shd w:val="clear" w:color="auto" w:fill="FFFFFF"/>
          </w:tcPr>
          <w:p w14:paraId="4A20EEC5">
            <w:pPr>
              <w:rPr>
                <w:color w:val="000000"/>
                <w:lang w:eastAsia="zh-CN"/>
              </w:rPr>
            </w:pPr>
            <w:r>
              <w:rPr>
                <w:color w:val="000000"/>
                <w:sz w:val="21"/>
                <w:lang w:eastAsia="zh-CN"/>
              </w:rPr>
              <w:t>煤炭消费总量占能源消费总量比重</w:t>
            </w:r>
          </w:p>
        </w:tc>
      </w:tr>
    </w:tbl>
    <w:p w14:paraId="58A1CEA9">
      <w:pPr>
        <w:pStyle w:val="4"/>
        <w:rPr>
          <w:lang w:eastAsia="zh-CN"/>
        </w:rPr>
      </w:pPr>
      <w:r>
        <w:rPr>
          <w:lang w:eastAsia="zh-CN"/>
        </w:rPr>
        <w:t>附录</w:t>
      </w:r>
      <w:r>
        <w:rPr>
          <w:rFonts w:hint="eastAsia"/>
          <w:lang w:eastAsia="zh-CN"/>
        </w:rPr>
        <w:t>D</w:t>
      </w:r>
      <w:r>
        <w:rPr>
          <w:lang w:eastAsia="zh-CN"/>
        </w:rPr>
        <w:t xml:space="preserve"> 补充空间分析图表</w:t>
      </w:r>
    </w:p>
    <w:p w14:paraId="528208ED">
      <w:pPr>
        <w:ind w:firstLine="720"/>
        <w:rPr>
          <w:lang w:eastAsia="zh-CN"/>
        </w:rPr>
      </w:pPr>
      <w:r>
        <w:rPr>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619D5CA3">
      <w:pPr>
        <w:rPr>
          <w:lang w:eastAsia="zh-CN"/>
        </w:rPr>
      </w:pPr>
      <w:r>
        <w:rPr>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cstate="hqprint"/>
                    <a:srcRect/>
                    <a:stretch>
                      <a:fillRect/>
                    </a:stretch>
                  </pic:blipFill>
                  <pic:spPr>
                    <a:xfrm>
                      <a:off x="0" y="0"/>
                      <a:ext cx="5044440" cy="3467735"/>
                    </a:xfrm>
                    <a:prstGeom prst="rect">
                      <a:avLst/>
                    </a:prstGeom>
                  </pic:spPr>
                </pic:pic>
              </a:graphicData>
            </a:graphic>
          </wp:inline>
        </w:drawing>
      </w:r>
    </w:p>
    <w:p w14:paraId="6CF7D2AC">
      <w:pPr>
        <w:pStyle w:val="5"/>
        <w:rPr>
          <w:lang w:eastAsia="zh-CN"/>
        </w:rPr>
      </w:pPr>
      <w:r>
        <w:rPr>
          <w:rFonts w:hint="eastAsia"/>
          <w:lang w:eastAsia="zh-CN"/>
        </w:rPr>
        <w:t>附录图</w:t>
      </w:r>
      <w:r>
        <w:rPr>
          <w:lang w:eastAsia="zh-CN"/>
        </w:rPr>
        <w:t>D</w:t>
      </w:r>
      <w:r>
        <w:rPr>
          <w:rFonts w:hint="eastAsia"/>
          <w:lang w:eastAsia="zh-CN"/>
        </w:rPr>
        <w:t>1</w:t>
      </w:r>
      <w:r>
        <w:rPr>
          <w:lang w:eastAsia="zh-CN"/>
        </w:rPr>
        <w:t xml:space="preserve"> 夜间灯光强度空间溢出网络图（2015、2018、2022）</w:t>
      </w:r>
    </w:p>
    <w:p w14:paraId="7A59FB2E">
      <w:pPr>
        <w:ind w:firstLine="720"/>
        <w:rPr>
          <w:lang w:eastAsia="zh-CN"/>
        </w:rPr>
      </w:pPr>
      <w:r>
        <w:rPr>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690606B9">
      <w:pPr>
        <w:rPr>
          <w:lang w:eastAsia="zh-CN"/>
        </w:rPr>
      </w:pPr>
      <w:r>
        <w:rPr>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cstate="hqprint"/>
                    <a:srcRect/>
                    <a:stretch>
                      <a:fillRect/>
                    </a:stretch>
                  </pic:blipFill>
                  <pic:spPr>
                    <a:xfrm>
                      <a:off x="0" y="0"/>
                      <a:ext cx="5375910" cy="3369945"/>
                    </a:xfrm>
                    <a:prstGeom prst="rect">
                      <a:avLst/>
                    </a:prstGeom>
                  </pic:spPr>
                </pic:pic>
              </a:graphicData>
            </a:graphic>
          </wp:inline>
        </w:drawing>
      </w:r>
    </w:p>
    <w:p w14:paraId="273CE085">
      <w:pPr>
        <w:pStyle w:val="5"/>
        <w:rPr>
          <w:lang w:eastAsia="zh-CN"/>
        </w:rPr>
      </w:pPr>
      <w:r>
        <w:rPr>
          <w:lang w:eastAsia="zh-CN"/>
        </w:rPr>
        <w:t>附录图D2 核心解释变量空间效应分解图（经济倒数权重矩阵）</w:t>
      </w:r>
    </w:p>
    <w:p w14:paraId="657E04B6">
      <w:pPr>
        <w:ind w:firstLine="720"/>
        <w:rPr>
          <w:lang w:eastAsia="zh-CN"/>
        </w:rPr>
      </w:pPr>
      <w:r>
        <w:rPr>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2E87B560">
      <w:pPr>
        <w:rPr>
          <w:lang w:eastAsia="zh-CN"/>
        </w:rPr>
      </w:pPr>
    </w:p>
    <w:p w14:paraId="2745F600">
      <w:pPr>
        <w:rPr>
          <w:lang w:eastAsia="zh-CN"/>
        </w:rPr>
      </w:pPr>
      <w:r>
        <w:rPr>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cstate="hqprint"/>
                    <a:srcRect/>
                    <a:stretch>
                      <a:fillRect/>
                    </a:stretch>
                  </pic:blipFill>
                  <pic:spPr>
                    <a:xfrm>
                      <a:off x="0" y="0"/>
                      <a:ext cx="5002530" cy="3834765"/>
                    </a:xfrm>
                    <a:prstGeom prst="rect">
                      <a:avLst/>
                    </a:prstGeom>
                  </pic:spPr>
                </pic:pic>
              </a:graphicData>
            </a:graphic>
          </wp:inline>
        </w:drawing>
      </w:r>
    </w:p>
    <w:p w14:paraId="41FB1479">
      <w:pPr>
        <w:pStyle w:val="5"/>
        <w:rPr>
          <w:lang w:eastAsia="zh-CN"/>
        </w:rPr>
      </w:pPr>
      <w:r>
        <w:rPr>
          <w:lang w:eastAsia="zh-CN"/>
        </w:rPr>
        <w:t>附录图D</w:t>
      </w:r>
      <w:r>
        <w:rPr>
          <w:rFonts w:hint="eastAsia"/>
          <w:lang w:eastAsia="zh-CN"/>
        </w:rPr>
        <w:t>3</w:t>
      </w:r>
      <w:r>
        <w:rPr>
          <w:lang w:eastAsia="zh-CN"/>
        </w:rPr>
        <w:t xml:space="preserve"> 能源结构负向空间溢出网络图</w:t>
      </w:r>
    </w:p>
    <w:p w14:paraId="584D41D1">
      <w:pPr>
        <w:ind w:firstLine="720"/>
        <w:rPr>
          <w:lang w:eastAsia="zh-CN"/>
        </w:rPr>
      </w:pPr>
      <w:r>
        <w:rPr>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26E2E34B">
      <w:pPr>
        <w:rPr>
          <w:lang w:eastAsia="zh-CN"/>
        </w:rPr>
      </w:pPr>
      <w:r>
        <w:rPr>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cstate="hqprint"/>
                    <a:srcRect/>
                    <a:stretch>
                      <a:fillRect/>
                    </a:stretch>
                  </pic:blipFill>
                  <pic:spPr>
                    <a:xfrm>
                      <a:off x="0" y="0"/>
                      <a:ext cx="4876165" cy="4130040"/>
                    </a:xfrm>
                    <a:prstGeom prst="rect">
                      <a:avLst/>
                    </a:prstGeom>
                  </pic:spPr>
                </pic:pic>
              </a:graphicData>
            </a:graphic>
          </wp:inline>
        </w:drawing>
      </w:r>
    </w:p>
    <w:p w14:paraId="69366B17">
      <w:pPr>
        <w:pStyle w:val="5"/>
        <w:rPr>
          <w:lang w:eastAsia="zh-CN"/>
        </w:rPr>
      </w:pPr>
      <w:r>
        <w:rPr>
          <w:lang w:eastAsia="zh-CN"/>
        </w:rPr>
        <w:t>附录图D</w:t>
      </w:r>
      <w:r>
        <w:rPr>
          <w:rFonts w:hint="eastAsia"/>
          <w:lang w:eastAsia="zh-CN"/>
        </w:rPr>
        <w:t>4</w:t>
      </w:r>
      <w:r>
        <w:rPr>
          <w:lang w:eastAsia="zh-CN"/>
        </w:rPr>
        <w:t xml:space="preserve"> 按GDP从高到低排序的行标准化经济矩阵热力图</w:t>
      </w:r>
    </w:p>
    <w:p w14:paraId="67B7500F">
      <w:pPr>
        <w:ind w:firstLine="720"/>
        <w:rPr>
          <w:lang w:eastAsia="zh-CN"/>
        </w:rPr>
      </w:pPr>
      <w:r>
        <w:rPr>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14:paraId="7E872F34">
      <w:pPr>
        <w:pStyle w:val="3"/>
        <w:pageBreakBefore/>
        <w:spacing w:before="0" w:after="120" w:afterLines="50" w:line="480" w:lineRule="exact"/>
        <w:jc w:val="center"/>
        <w:rPr>
          <w:color w:val="auto"/>
          <w:sz w:val="28"/>
          <w:lang w:eastAsia="zh-CN"/>
        </w:rPr>
      </w:pPr>
      <w:bookmarkStart w:id="83" w:name="_Toc6405"/>
      <w:r>
        <w:rPr>
          <w:color w:val="auto"/>
          <w:sz w:val="28"/>
          <w:lang w:eastAsia="zh-CN"/>
        </w:rPr>
        <w:t>致谢</w:t>
      </w:r>
      <w:bookmarkEnd w:id="83"/>
    </w:p>
    <w:p w14:paraId="232AE357">
      <w:pPr>
        <w:ind w:firstLine="839"/>
        <w:jc w:val="both"/>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3F60476A">
      <w:pPr>
        <w:ind w:firstLine="839"/>
        <w:jc w:val="both"/>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6BA079EF">
      <w:pPr>
        <w:ind w:firstLine="839"/>
        <w:jc w:val="both"/>
        <w:rPr>
          <w:lang w:eastAsia="zh-CN"/>
        </w:rPr>
      </w:pPr>
      <w:r>
        <w:rPr>
          <w:lang w:eastAsia="zh-CN"/>
        </w:rPr>
        <w:t>此外，谨向在比赛准备和论文写作过程中给予我们支持与帮助的老师、同学表示诚挚谢意。</w:t>
      </w:r>
    </w:p>
    <w:sectPr>
      <w:footerReference r:id="rId8" w:type="first"/>
      <w:footerReference r:id="rId7" w:type="default"/>
      <w:pgSz w:w="12240" w:h="15840"/>
      <w:pgMar w:top="1440" w:right="1797" w:bottom="1440" w:left="1797" w:header="720" w:footer="720" w:gutter="0"/>
      <w:pgNumType w:start="1"/>
      <w:cols w:space="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YF" w:date="2026-05-08T17:00:00Z" w:initials="Z">
    <w:p w14:paraId="12235B6F">
      <w:pPr>
        <w:pStyle w:val="17"/>
        <w:rPr>
          <w:lang w:eastAsia="zh-CN"/>
        </w:rPr>
      </w:pPr>
      <w:r>
        <w:rPr>
          <w:rFonts w:hint="eastAsia"/>
          <w:lang w:eastAsia="zh-CN"/>
        </w:rPr>
        <w:t>这一段后面添加一段文字，表明图1</w:t>
      </w:r>
      <w:r>
        <w:rPr>
          <w:lang w:eastAsia="zh-CN"/>
        </w:rPr>
        <w:t>1</w:t>
      </w:r>
      <w:r>
        <w:rPr>
          <w:rFonts w:hint="eastAsia"/>
          <w:lang w:eastAsia="zh-CN"/>
        </w:rPr>
        <w:t>，图1</w:t>
      </w:r>
      <w:r>
        <w:rPr>
          <w:lang w:eastAsia="zh-CN"/>
        </w:rPr>
        <w:t>2</w:t>
      </w:r>
      <w:r>
        <w:rPr>
          <w:rFonts w:hint="eastAsia"/>
          <w:lang w:eastAsia="zh-CN"/>
        </w:rPr>
        <w:t>的引用。正好有空间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235B6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3000509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_GBK">
    <w:altName w:val="Malgun Gothic Semilight"/>
    <w:panose1 w:val="00000000000000000000"/>
    <w:charset w:val="86"/>
    <w:family w:val="script"/>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1C2A2">
    <w:pPr>
      <w:pStyle w:val="27"/>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DB3C24">
                          <w:pPr>
                            <w:pStyle w:val="27"/>
                            <w:rPr>
                              <w:sz w:val="21"/>
                            </w:rPr>
                          </w:pPr>
                          <w:r>
                            <w:rPr>
                              <w:sz w:val="21"/>
                            </w:rPr>
                            <w:fldChar w:fldCharType="begin"/>
                          </w:r>
                          <w:r>
                            <w:rPr>
                              <w:sz w:val="21"/>
                            </w:rPr>
                            <w:instrText xml:space="preserve"> PAGE  \* MERGEFORMAT </w:instrText>
                          </w:r>
                          <w:r>
                            <w:rPr>
                              <w:sz w:val="21"/>
                            </w:rPr>
                            <w:fldChar w:fldCharType="separate"/>
                          </w:r>
                          <w:r>
                            <w:rPr>
                              <w:sz w:val="21"/>
                            </w:rPr>
                            <w:t>37</w:t>
                          </w:r>
                          <w:r>
                            <w:rPr>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FDB3C24">
                    <w:pPr>
                      <w:pStyle w:val="27"/>
                      <w:rPr>
                        <w:sz w:val="21"/>
                      </w:rPr>
                    </w:pPr>
                    <w:r>
                      <w:rPr>
                        <w:sz w:val="21"/>
                      </w:rPr>
                      <w:fldChar w:fldCharType="begin"/>
                    </w:r>
                    <w:r>
                      <w:rPr>
                        <w:sz w:val="21"/>
                      </w:rPr>
                      <w:instrText xml:space="preserve"> PAGE  \* MERGEFORMAT </w:instrText>
                    </w:r>
                    <w:r>
                      <w:rPr>
                        <w:sz w:val="21"/>
                      </w:rPr>
                      <w:fldChar w:fldCharType="separate"/>
                    </w:r>
                    <w:r>
                      <w:rPr>
                        <w:sz w:val="21"/>
                      </w:rPr>
                      <w:t>37</w:t>
                    </w:r>
                    <w:r>
                      <w:rPr>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FE775">
    <w:pPr>
      <w:pStyle w:val="27"/>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346A2">
                          <w:pPr>
                            <w:pStyle w:val="27"/>
                            <w:rPr>
                              <w:sz w:val="21"/>
                            </w:rPr>
                          </w:pPr>
                          <w:r>
                            <w:rPr>
                              <w:sz w:val="21"/>
                            </w:rPr>
                            <w:fldChar w:fldCharType="begin"/>
                          </w:r>
                          <w:r>
                            <w:rPr>
                              <w:sz w:val="21"/>
                            </w:rPr>
                            <w:instrText xml:space="preserve"> PAGE  \* MERGEFORMAT </w:instrText>
                          </w:r>
                          <w:r>
                            <w:rPr>
                              <w:sz w:val="21"/>
                            </w:rPr>
                            <w:fldChar w:fldCharType="separate"/>
                          </w:r>
                          <w:r>
                            <w:rPr>
                              <w:sz w:val="21"/>
                            </w:rPr>
                            <w:t>1</w:t>
                          </w:r>
                          <w:r>
                            <w:rPr>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E6346A2">
                    <w:pPr>
                      <w:pStyle w:val="27"/>
                      <w:rPr>
                        <w:sz w:val="21"/>
                      </w:rPr>
                    </w:pPr>
                    <w:r>
                      <w:rPr>
                        <w:sz w:val="21"/>
                      </w:rPr>
                      <w:fldChar w:fldCharType="begin"/>
                    </w:r>
                    <w:r>
                      <w:rPr>
                        <w:sz w:val="21"/>
                      </w:rPr>
                      <w:instrText xml:space="preserve"> PAGE  \* MERGEFORMAT </w:instrText>
                    </w:r>
                    <w:r>
                      <w:rPr>
                        <w:sz w:val="21"/>
                      </w:rPr>
                      <w:fldChar w:fldCharType="separate"/>
                    </w:r>
                    <w:r>
                      <w:rPr>
                        <w:sz w:val="21"/>
                      </w:rPr>
                      <w:t>1</w:t>
                    </w:r>
                    <w:r>
                      <w:rPr>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YF">
    <w15:presenceInfo w15:providerId="None" w15:userId="ZY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75749"/>
    <w:rsid w:val="000A3ED9"/>
    <w:rsid w:val="000A42D2"/>
    <w:rsid w:val="000B48C8"/>
    <w:rsid w:val="000B5BE1"/>
    <w:rsid w:val="000D27B9"/>
    <w:rsid w:val="000E2A76"/>
    <w:rsid w:val="000F7B2D"/>
    <w:rsid w:val="00107F16"/>
    <w:rsid w:val="00147393"/>
    <w:rsid w:val="0015074B"/>
    <w:rsid w:val="00173169"/>
    <w:rsid w:val="00187E8C"/>
    <w:rsid w:val="00187F75"/>
    <w:rsid w:val="001C1342"/>
    <w:rsid w:val="001C5D60"/>
    <w:rsid w:val="00204B62"/>
    <w:rsid w:val="00205702"/>
    <w:rsid w:val="00234FB1"/>
    <w:rsid w:val="0029639D"/>
    <w:rsid w:val="002A0EC1"/>
    <w:rsid w:val="002B5854"/>
    <w:rsid w:val="002C584D"/>
    <w:rsid w:val="002E4560"/>
    <w:rsid w:val="002F0884"/>
    <w:rsid w:val="00306CD1"/>
    <w:rsid w:val="00326F90"/>
    <w:rsid w:val="00350533"/>
    <w:rsid w:val="00366A04"/>
    <w:rsid w:val="00385B3E"/>
    <w:rsid w:val="004511DB"/>
    <w:rsid w:val="00474696"/>
    <w:rsid w:val="0048566C"/>
    <w:rsid w:val="004C5DEF"/>
    <w:rsid w:val="004E59D6"/>
    <w:rsid w:val="004F054D"/>
    <w:rsid w:val="004F7A17"/>
    <w:rsid w:val="00501990"/>
    <w:rsid w:val="00503DCA"/>
    <w:rsid w:val="00532B24"/>
    <w:rsid w:val="00555C29"/>
    <w:rsid w:val="00563086"/>
    <w:rsid w:val="0057597C"/>
    <w:rsid w:val="00594AFF"/>
    <w:rsid w:val="00596F79"/>
    <w:rsid w:val="005E6C2D"/>
    <w:rsid w:val="00621AB8"/>
    <w:rsid w:val="00672E69"/>
    <w:rsid w:val="006A4122"/>
    <w:rsid w:val="006B1A39"/>
    <w:rsid w:val="006D5F54"/>
    <w:rsid w:val="00701BD8"/>
    <w:rsid w:val="007268CF"/>
    <w:rsid w:val="00753916"/>
    <w:rsid w:val="007613C4"/>
    <w:rsid w:val="00772AE4"/>
    <w:rsid w:val="00797850"/>
    <w:rsid w:val="007A0949"/>
    <w:rsid w:val="007A5AAE"/>
    <w:rsid w:val="007C0680"/>
    <w:rsid w:val="007C1562"/>
    <w:rsid w:val="007C2389"/>
    <w:rsid w:val="007E2E2D"/>
    <w:rsid w:val="008144C5"/>
    <w:rsid w:val="00830A8F"/>
    <w:rsid w:val="008544DA"/>
    <w:rsid w:val="00863295"/>
    <w:rsid w:val="0087439F"/>
    <w:rsid w:val="00894286"/>
    <w:rsid w:val="008D5E47"/>
    <w:rsid w:val="00904261"/>
    <w:rsid w:val="00942438"/>
    <w:rsid w:val="00961903"/>
    <w:rsid w:val="00966650"/>
    <w:rsid w:val="00974EA1"/>
    <w:rsid w:val="0097705E"/>
    <w:rsid w:val="009A35F1"/>
    <w:rsid w:val="009D2BD2"/>
    <w:rsid w:val="009E4CFE"/>
    <w:rsid w:val="00A00B69"/>
    <w:rsid w:val="00A03003"/>
    <w:rsid w:val="00A376E3"/>
    <w:rsid w:val="00A4302B"/>
    <w:rsid w:val="00A57AEF"/>
    <w:rsid w:val="00A76982"/>
    <w:rsid w:val="00A84041"/>
    <w:rsid w:val="00A866D4"/>
    <w:rsid w:val="00AA1D8D"/>
    <w:rsid w:val="00AF09ED"/>
    <w:rsid w:val="00B004D7"/>
    <w:rsid w:val="00B06597"/>
    <w:rsid w:val="00B11374"/>
    <w:rsid w:val="00B147A0"/>
    <w:rsid w:val="00B47730"/>
    <w:rsid w:val="00B67F58"/>
    <w:rsid w:val="00B80733"/>
    <w:rsid w:val="00B84757"/>
    <w:rsid w:val="00B84E09"/>
    <w:rsid w:val="00B95622"/>
    <w:rsid w:val="00BA25F1"/>
    <w:rsid w:val="00BB3877"/>
    <w:rsid w:val="00C35DD7"/>
    <w:rsid w:val="00C64A7E"/>
    <w:rsid w:val="00C775D2"/>
    <w:rsid w:val="00CB0664"/>
    <w:rsid w:val="00CB380C"/>
    <w:rsid w:val="00CB7E2F"/>
    <w:rsid w:val="00D11543"/>
    <w:rsid w:val="00D20D93"/>
    <w:rsid w:val="00D45198"/>
    <w:rsid w:val="00D52139"/>
    <w:rsid w:val="00DD0AD7"/>
    <w:rsid w:val="00DF53C9"/>
    <w:rsid w:val="00E11FF5"/>
    <w:rsid w:val="00E14788"/>
    <w:rsid w:val="00E804D9"/>
    <w:rsid w:val="00E81D15"/>
    <w:rsid w:val="00E92049"/>
    <w:rsid w:val="00EB5E7C"/>
    <w:rsid w:val="00EE5FCC"/>
    <w:rsid w:val="00F11E1F"/>
    <w:rsid w:val="00F5534C"/>
    <w:rsid w:val="00F56170"/>
    <w:rsid w:val="00F76A63"/>
    <w:rsid w:val="00F77304"/>
    <w:rsid w:val="00F821BF"/>
    <w:rsid w:val="00FC693F"/>
    <w:rsid w:val="03BE7AAE"/>
    <w:rsid w:val="0B44010B"/>
    <w:rsid w:val="0D7A2C98"/>
    <w:rsid w:val="0E4F7C80"/>
    <w:rsid w:val="128F274C"/>
    <w:rsid w:val="12FE3A23"/>
    <w:rsid w:val="14DA401C"/>
    <w:rsid w:val="15AC7932"/>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8"/>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9"/>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50"/>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6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0">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2">
    <w:name w:val="macro"/>
    <w:link w:val="15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9"/>
    <w:unhideWhenUsed/>
    <w:qFormat/>
    <w:uiPriority w:val="99"/>
  </w:style>
  <w:style w:type="paragraph" w:styleId="18">
    <w:name w:val="Body Text 3"/>
    <w:basedOn w:val="1"/>
    <w:link w:val="156"/>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4"/>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Balloon Text"/>
    <w:basedOn w:val="1"/>
    <w:link w:val="182"/>
    <w:semiHidden/>
    <w:unhideWhenUsed/>
    <w:qFormat/>
    <w:uiPriority w:val="99"/>
    <w:pPr>
      <w:spacing w:after="0" w:line="240" w:lineRule="auto"/>
    </w:pPr>
    <w:rPr>
      <w:sz w:val="18"/>
      <w:szCs w:val="18"/>
    </w:rPr>
  </w:style>
  <w:style w:type="paragraph" w:styleId="27">
    <w:name w:val="footer"/>
    <w:basedOn w:val="1"/>
    <w:link w:val="146"/>
    <w:unhideWhenUsed/>
    <w:qFormat/>
    <w:uiPriority w:val="99"/>
    <w:pPr>
      <w:tabs>
        <w:tab w:val="center" w:pos="4680"/>
        <w:tab w:val="right" w:pos="9360"/>
      </w:tabs>
      <w:spacing w:after="0" w:line="240" w:lineRule="auto"/>
    </w:pPr>
  </w:style>
  <w:style w:type="paragraph" w:styleId="28">
    <w:name w:val="header"/>
    <w:basedOn w:val="1"/>
    <w:link w:val="145"/>
    <w:unhideWhenUsed/>
    <w:qFormat/>
    <w:uiPriority w:val="99"/>
    <w:pPr>
      <w:tabs>
        <w:tab w:val="center" w:pos="4680"/>
        <w:tab w:val="right" w:pos="9360"/>
      </w:tabs>
      <w:spacing w:after="0" w:line="240" w:lineRule="auto"/>
    </w:pPr>
  </w:style>
  <w:style w:type="paragraph" w:styleId="29">
    <w:name w:val="toc 1"/>
    <w:basedOn w:val="1"/>
    <w:next w:val="1"/>
    <w:autoRedefine/>
    <w:unhideWhenUsed/>
    <w:qFormat/>
    <w:uiPriority w:val="39"/>
  </w:style>
  <w:style w:type="paragraph" w:styleId="30">
    <w:name w:val="Subtitle"/>
    <w:basedOn w:val="1"/>
    <w:next w:val="1"/>
    <w:link w:val="15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1">
    <w:name w:val="List"/>
    <w:basedOn w:val="1"/>
    <w:unhideWhenUsed/>
    <w:qFormat/>
    <w:uiPriority w:val="99"/>
    <w:pPr>
      <w:ind w:left="360" w:hanging="360"/>
      <w:contextualSpacing/>
    </w:pPr>
  </w:style>
  <w:style w:type="paragraph" w:styleId="32">
    <w:name w:val="table of figures"/>
    <w:basedOn w:val="1"/>
    <w:next w:val="1"/>
    <w:unhideWhenUsed/>
    <w:qFormat/>
    <w:uiPriority w:val="99"/>
    <w:pPr>
      <w:ind w:left="200" w:leftChars="200" w:hanging="200" w:hangingChars="200"/>
    </w:pPr>
  </w:style>
  <w:style w:type="paragraph" w:styleId="33">
    <w:name w:val="toc 2"/>
    <w:basedOn w:val="1"/>
    <w:next w:val="1"/>
    <w:autoRedefine/>
    <w:unhideWhenUsed/>
    <w:qFormat/>
    <w:uiPriority w:val="39"/>
    <w:pPr>
      <w:ind w:left="420" w:leftChars="200"/>
    </w:pPr>
  </w:style>
  <w:style w:type="paragraph" w:styleId="34">
    <w:name w:val="Body Text 2"/>
    <w:basedOn w:val="1"/>
    <w:link w:val="155"/>
    <w:unhideWhenUsed/>
    <w:qFormat/>
    <w:uiPriority w:val="99"/>
    <w:pPr>
      <w:spacing w:after="120" w:line="480" w:lineRule="auto"/>
    </w:pPr>
  </w:style>
  <w:style w:type="paragraph" w:styleId="35">
    <w:name w:val="List Continue 2"/>
    <w:basedOn w:val="1"/>
    <w:unhideWhenUsed/>
    <w:qFormat/>
    <w:uiPriority w:val="99"/>
    <w:pPr>
      <w:spacing w:after="120"/>
      <w:ind w:left="720"/>
      <w:contextualSpacing/>
    </w:pPr>
  </w:style>
  <w:style w:type="paragraph" w:styleId="36">
    <w:name w:val="Normal (Web)"/>
    <w:basedOn w:val="1"/>
    <w:semiHidden/>
    <w:unhideWhenUsed/>
    <w:qFormat/>
    <w:uiPriority w:val="99"/>
    <w:pPr>
      <w:spacing w:beforeAutospacing="1" w:after="0" w:afterAutospacing="1"/>
    </w:pPr>
    <w:rPr>
      <w:rFonts w:cs="Times New Roman"/>
      <w:lang w:eastAsia="zh-CN"/>
    </w:rPr>
  </w:style>
  <w:style w:type="paragraph" w:styleId="37">
    <w:name w:val="List Continue 3"/>
    <w:basedOn w:val="1"/>
    <w:unhideWhenUsed/>
    <w:qFormat/>
    <w:uiPriority w:val="99"/>
    <w:pPr>
      <w:spacing w:after="120"/>
      <w:ind w:left="1080"/>
      <w:contextualSpacing/>
    </w:pPr>
  </w:style>
  <w:style w:type="paragraph" w:styleId="38">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annotation subject"/>
    <w:basedOn w:val="17"/>
    <w:next w:val="17"/>
    <w:link w:val="180"/>
    <w:semiHidden/>
    <w:unhideWhenUsed/>
    <w:qFormat/>
    <w:uiPriority w:val="99"/>
    <w:rPr>
      <w:b/>
      <w:bCs/>
    </w:rPr>
  </w:style>
  <w:style w:type="table" w:styleId="41">
    <w:name w:val="Table Grid"/>
    <w:basedOn w:val="40"/>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1">
    <w:name w:val="Strong"/>
    <w:basedOn w:val="140"/>
    <w:qFormat/>
    <w:uiPriority w:val="22"/>
    <w:rPr>
      <w:b/>
      <w:bCs/>
    </w:rPr>
  </w:style>
  <w:style w:type="character" w:styleId="142">
    <w:name w:val="Emphasis"/>
    <w:basedOn w:val="140"/>
    <w:qFormat/>
    <w:uiPriority w:val="20"/>
    <w:rPr>
      <w:i/>
      <w:iCs/>
    </w:rPr>
  </w:style>
  <w:style w:type="character" w:styleId="143">
    <w:name w:val="Hyperlink"/>
    <w:basedOn w:val="140"/>
    <w:unhideWhenUsed/>
    <w:qFormat/>
    <w:uiPriority w:val="99"/>
    <w:rPr>
      <w:color w:val="0000FF" w:themeColor="hyperlink"/>
      <w:u w:val="single"/>
      <w14:textFill>
        <w14:solidFill>
          <w14:schemeClr w14:val="hlink"/>
        </w14:solidFill>
      </w14:textFill>
    </w:rPr>
  </w:style>
  <w:style w:type="character" w:styleId="144">
    <w:name w:val="annotation reference"/>
    <w:basedOn w:val="140"/>
    <w:semiHidden/>
    <w:unhideWhenUsed/>
    <w:uiPriority w:val="99"/>
    <w:rPr>
      <w:sz w:val="21"/>
      <w:szCs w:val="21"/>
    </w:rPr>
  </w:style>
  <w:style w:type="character" w:customStyle="1" w:styleId="145">
    <w:name w:val="页眉 字符"/>
    <w:basedOn w:val="140"/>
    <w:link w:val="28"/>
    <w:qFormat/>
    <w:uiPriority w:val="99"/>
  </w:style>
  <w:style w:type="character" w:customStyle="1" w:styleId="146">
    <w:name w:val="页脚 字符"/>
    <w:basedOn w:val="140"/>
    <w:link w:val="27"/>
    <w:qFormat/>
    <w:uiPriority w:val="99"/>
  </w:style>
  <w:style w:type="paragraph" w:styleId="147">
    <w:name w:val="No Spacing"/>
    <w:qFormat/>
    <w:uiPriority w:val="1"/>
    <w:rPr>
      <w:rFonts w:asciiTheme="minorHAnsi" w:hAnsiTheme="minorHAnsi" w:eastAsiaTheme="minorEastAsia" w:cstheme="minorBidi"/>
      <w:sz w:val="22"/>
      <w:szCs w:val="22"/>
      <w:lang w:val="en-US" w:eastAsia="en-US" w:bidi="ar-SA"/>
    </w:rPr>
  </w:style>
  <w:style w:type="character" w:customStyle="1" w:styleId="148">
    <w:name w:val="标题 1 字符"/>
    <w:basedOn w:val="140"/>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9">
    <w:name w:val="标题 2 字符"/>
    <w:basedOn w:val="140"/>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50">
    <w:name w:val="标题 3 字符"/>
    <w:basedOn w:val="140"/>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1">
    <w:name w:val="标题 字符"/>
    <w:basedOn w:val="140"/>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副标题 字符"/>
    <w:basedOn w:val="140"/>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正文文本 字符"/>
    <w:basedOn w:val="140"/>
    <w:link w:val="20"/>
    <w:qFormat/>
    <w:uiPriority w:val="99"/>
  </w:style>
  <w:style w:type="character" w:customStyle="1" w:styleId="155">
    <w:name w:val="正文文本 2 字符"/>
    <w:basedOn w:val="140"/>
    <w:link w:val="34"/>
    <w:qFormat/>
    <w:uiPriority w:val="99"/>
  </w:style>
  <w:style w:type="character" w:customStyle="1" w:styleId="156">
    <w:name w:val="正文文本 3 字符"/>
    <w:basedOn w:val="140"/>
    <w:link w:val="18"/>
    <w:qFormat/>
    <w:uiPriority w:val="99"/>
    <w:rPr>
      <w:sz w:val="16"/>
      <w:szCs w:val="16"/>
    </w:rPr>
  </w:style>
  <w:style w:type="character" w:customStyle="1" w:styleId="157">
    <w:name w:val="宏文本 字符"/>
    <w:basedOn w:val="140"/>
    <w:link w:val="2"/>
    <w:qFormat/>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引用 字符"/>
    <w:basedOn w:val="140"/>
    <w:link w:val="158"/>
    <w:qFormat/>
    <w:uiPriority w:val="29"/>
    <w:rPr>
      <w:i/>
      <w:iCs/>
      <w:color w:val="000000" w:themeColor="text1"/>
      <w14:textFill>
        <w14:solidFill>
          <w14:schemeClr w14:val="tx1"/>
        </w14:solidFill>
      </w14:textFill>
    </w:rPr>
  </w:style>
  <w:style w:type="character" w:customStyle="1" w:styleId="160">
    <w:name w:val="标题 4 字符"/>
    <w:basedOn w:val="140"/>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标题 5 字符"/>
    <w:basedOn w:val="140"/>
    <w:link w:val="7"/>
    <w:semiHidden/>
    <w:qFormat/>
    <w:uiPriority w:val="9"/>
    <w:rPr>
      <w:rFonts w:asciiTheme="majorHAnsi" w:hAnsiTheme="majorHAnsi" w:eastAsiaTheme="majorEastAsia" w:cstheme="majorBidi"/>
      <w:color w:val="254061" w:themeColor="accent1" w:themeShade="80"/>
    </w:rPr>
  </w:style>
  <w:style w:type="character" w:customStyle="1" w:styleId="162">
    <w:name w:val="标题 6 字符"/>
    <w:basedOn w:val="140"/>
    <w:link w:val="8"/>
    <w:semiHidden/>
    <w:qFormat/>
    <w:uiPriority w:val="9"/>
    <w:rPr>
      <w:rFonts w:asciiTheme="majorHAnsi" w:hAnsiTheme="majorHAnsi" w:eastAsiaTheme="majorEastAsia" w:cstheme="majorBidi"/>
      <w:i/>
      <w:iCs/>
      <w:color w:val="254061" w:themeColor="accent1" w:themeShade="80"/>
    </w:rPr>
  </w:style>
  <w:style w:type="character" w:customStyle="1" w:styleId="163">
    <w:name w:val="标题 7 字符"/>
    <w:basedOn w:val="140"/>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标题 8 字符"/>
    <w:basedOn w:val="140"/>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标题 9 字符"/>
    <w:basedOn w:val="140"/>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0"/>
    <w:link w:val="166"/>
    <w:qFormat/>
    <w:uiPriority w:val="30"/>
    <w:rPr>
      <w:b/>
      <w:bCs/>
      <w:i/>
      <w:iCs/>
      <w:color w:val="4F81BD" w:themeColor="accent1"/>
      <w14:textFill>
        <w14:solidFill>
          <w14:schemeClr w14:val="accent1"/>
        </w14:solidFill>
      </w14:textFill>
    </w:rPr>
  </w:style>
  <w:style w:type="character" w:customStyle="1" w:styleId="168">
    <w:name w:val="不明显强调1"/>
    <w:basedOn w:val="140"/>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明显强调1"/>
    <w:basedOn w:val="140"/>
    <w:qFormat/>
    <w:uiPriority w:val="21"/>
    <w:rPr>
      <w:b/>
      <w:bCs/>
      <w:i/>
      <w:iCs/>
      <w:color w:val="4F81BD" w:themeColor="accent1"/>
      <w14:textFill>
        <w14:solidFill>
          <w14:schemeClr w14:val="accent1"/>
        </w14:solidFill>
      </w14:textFill>
    </w:rPr>
  </w:style>
  <w:style w:type="character" w:customStyle="1" w:styleId="170">
    <w:name w:val="不明显参考1"/>
    <w:basedOn w:val="140"/>
    <w:qFormat/>
    <w:uiPriority w:val="31"/>
    <w:rPr>
      <w:smallCaps/>
      <w:color w:val="C0504D" w:themeColor="accent2"/>
      <w:u w:val="single"/>
      <w14:textFill>
        <w14:solidFill>
          <w14:schemeClr w14:val="accent2"/>
        </w14:solidFill>
      </w14:textFill>
    </w:rPr>
  </w:style>
  <w:style w:type="character" w:customStyle="1" w:styleId="171">
    <w:name w:val="明显参考1"/>
    <w:basedOn w:val="140"/>
    <w:qFormat/>
    <w:uiPriority w:val="32"/>
    <w:rPr>
      <w:b/>
      <w:bCs/>
      <w:smallCaps/>
      <w:color w:val="C0504D" w:themeColor="accent2"/>
      <w:spacing w:val="5"/>
      <w:u w:val="single"/>
      <w14:textFill>
        <w14:solidFill>
          <w14:schemeClr w14:val="accent2"/>
        </w14:solidFill>
      </w14:textFill>
    </w:rPr>
  </w:style>
  <w:style w:type="character" w:customStyle="1" w:styleId="172">
    <w:name w:val="书籍标题1"/>
    <w:basedOn w:val="140"/>
    <w:qFormat/>
    <w:uiPriority w:val="33"/>
    <w:rPr>
      <w:b/>
      <w:bCs/>
      <w:smallCaps/>
      <w:spacing w:val="5"/>
    </w:rPr>
  </w:style>
  <w:style w:type="paragraph" w:customStyle="1" w:styleId="173">
    <w:name w:val="TOC 标题1"/>
    <w:basedOn w:val="3"/>
    <w:next w:val="1"/>
    <w:semiHidden/>
    <w:unhideWhenUsed/>
    <w:qFormat/>
    <w:uiPriority w:val="39"/>
    <w:pPr>
      <w:outlineLvl w:val="9"/>
    </w:pPr>
  </w:style>
  <w:style w:type="paragraph" w:customStyle="1" w:styleId="174">
    <w:name w:val="图目录111"/>
    <w:basedOn w:val="1"/>
    <w:qFormat/>
    <w:uiPriority w:val="0"/>
    <w:pPr>
      <w:jc w:val="center"/>
    </w:pPr>
    <w:rPr>
      <w:lang w:eastAsia="zh-CN"/>
    </w:rPr>
  </w:style>
  <w:style w:type="paragraph" w:customStyle="1" w:styleId="175">
    <w:name w:val="表目录111"/>
    <w:basedOn w:val="1"/>
    <w:qFormat/>
    <w:uiPriority w:val="0"/>
    <w:pPr>
      <w:jc w:val="center"/>
    </w:pPr>
    <w:rPr>
      <w:lang w:eastAsia="zh-CN"/>
    </w:rPr>
  </w:style>
  <w:style w:type="character" w:customStyle="1" w:styleId="176">
    <w:name w:val="font61"/>
    <w:basedOn w:val="140"/>
    <w:qFormat/>
    <w:uiPriority w:val="0"/>
    <w:rPr>
      <w:rFonts w:hint="eastAsia" w:ascii="宋体" w:hAnsi="宋体" w:eastAsia="宋体" w:cs="宋体"/>
      <w:b/>
      <w:bCs/>
      <w:color w:val="000000"/>
      <w:sz w:val="24"/>
      <w:szCs w:val="24"/>
      <w:u w:val="none"/>
    </w:rPr>
  </w:style>
  <w:style w:type="character" w:customStyle="1" w:styleId="177">
    <w:name w:val="font11"/>
    <w:basedOn w:val="140"/>
    <w:qFormat/>
    <w:uiPriority w:val="0"/>
    <w:rPr>
      <w:rFonts w:hint="default" w:ascii="Times New Roman" w:hAnsi="Times New Roman" w:cs="Times New Roman"/>
      <w:b/>
      <w:bCs/>
      <w:color w:val="000000"/>
      <w:sz w:val="24"/>
      <w:szCs w:val="24"/>
      <w:u w:val="none"/>
    </w:rPr>
  </w:style>
  <w:style w:type="paragraph" w:customStyle="1" w:styleId="178">
    <w:name w:val="公式"/>
    <w:basedOn w:val="1"/>
    <w:qFormat/>
    <w:uiPriority w:val="0"/>
    <w:pPr>
      <w:spacing w:after="120"/>
      <w:jc w:val="center"/>
    </w:pPr>
    <w:rPr>
      <w:sz w:val="22"/>
    </w:rPr>
  </w:style>
  <w:style w:type="character" w:customStyle="1" w:styleId="179">
    <w:name w:val="批注文字 字符"/>
    <w:basedOn w:val="140"/>
    <w:link w:val="17"/>
    <w:uiPriority w:val="99"/>
    <w:rPr>
      <w:rFonts w:cstheme="minorBidi"/>
      <w:sz w:val="24"/>
      <w:szCs w:val="22"/>
      <w:lang w:eastAsia="en-US"/>
    </w:rPr>
  </w:style>
  <w:style w:type="character" w:customStyle="1" w:styleId="180">
    <w:name w:val="批注主题 字符"/>
    <w:basedOn w:val="179"/>
    <w:link w:val="39"/>
    <w:semiHidden/>
    <w:qFormat/>
    <w:uiPriority w:val="99"/>
    <w:rPr>
      <w:rFonts w:cstheme="minorBidi"/>
      <w:b/>
      <w:bCs/>
      <w:sz w:val="24"/>
      <w:szCs w:val="22"/>
      <w:lang w:eastAsia="en-US"/>
    </w:rPr>
  </w:style>
  <w:style w:type="paragraph" w:customStyle="1" w:styleId="181">
    <w:name w:val="公文正文"/>
    <w:basedOn w:val="1"/>
    <w:qFormat/>
    <w:uiPriority w:val="0"/>
    <w:pPr>
      <w:widowControl w:val="0"/>
      <w:spacing w:after="0" w:line="600" w:lineRule="exact"/>
      <w:ind w:firstLine="640" w:firstLineChars="200"/>
      <w:jc w:val="both"/>
    </w:pPr>
    <w:rPr>
      <w:rFonts w:ascii="仿宋_GB2312" w:hAnsi="仿宋_GB2312" w:eastAsia="仿宋_GB2312" w:cs="Times New Roman"/>
      <w:kern w:val="2"/>
      <w:sz w:val="32"/>
      <w:szCs w:val="24"/>
      <w:lang w:eastAsia="zh-CN"/>
    </w:rPr>
  </w:style>
  <w:style w:type="character" w:customStyle="1" w:styleId="182">
    <w:name w:val="批注框文本 字符"/>
    <w:basedOn w:val="140"/>
    <w:link w:val="26"/>
    <w:semiHidden/>
    <w:qFormat/>
    <w:uiPriority w:val="99"/>
    <w:rPr>
      <w:rFonts w:cstheme="minorBidi"/>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EDC10A-9859-4141-BF10-A0A4DA3B57A6}">
  <ds:schemaRefs/>
</ds:datastoreItem>
</file>

<file path=docProps/app.xml><?xml version="1.0" encoding="utf-8"?>
<Properties xmlns="http://schemas.openxmlformats.org/officeDocument/2006/extended-properties" xmlns:vt="http://schemas.openxmlformats.org/officeDocument/2006/docPropsVTypes">
  <Template>Normal.dotm</Template>
  <Pages>56</Pages>
  <Words>9315</Words>
  <Characters>12286</Characters>
  <Lines>255</Lines>
  <Paragraphs>71</Paragraphs>
  <TotalTime>10</TotalTime>
  <ScaleCrop>false</ScaleCrop>
  <LinksUpToDate>false</LinksUpToDate>
  <CharactersWithSpaces>12920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2026-05-08T09:17:47Z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58C1923EBAC64B1BB0EEDED05A513ADB_13</vt:lpwstr>
  </property>
</Properties>
</file>