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2D0E6C">
      <w:pPr>
        <w:pStyle w:val="32"/>
        <w:widowControl/>
        <w:spacing w:after="200" w:line="360" w:lineRule="auto"/>
        <w:jc w:val="center"/>
        <w:rPr>
          <w:rFonts w:hint="eastAsia" w:ascii="黑体" w:hAnsi="黑体" w:eastAsia="黑体" w:cs="黑体"/>
          <w:b w:val="0"/>
          <w:bCs/>
          <w:sz w:val="44"/>
          <w:szCs w:val="44"/>
        </w:rPr>
      </w:pPr>
      <w:r>
        <w:rPr>
          <w:rFonts w:hint="eastAsia" w:ascii="黑体" w:hAnsi="黑体" w:eastAsia="黑体" w:cs="黑体"/>
          <w:b w:val="0"/>
          <w:bCs/>
          <w:color w:val="000000"/>
          <w:sz w:val="44"/>
          <w:szCs w:val="44"/>
        </w:rPr>
        <w:t>研迹技术报告</w:t>
      </w:r>
    </w:p>
    <w:p w14:paraId="5B7C6D24">
      <w:pPr>
        <w:widowControl/>
        <w:spacing w:after="60"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项目：研迹——智能科研培养与管理平台</w:t>
      </w:r>
    </w:p>
    <w:p w14:paraId="4EBA474B">
      <w:pPr>
        <w:widowControl/>
        <w:spacing w:after="60"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队伍：言之有“理”　赛道：中兴赛道　命题五：自主命题智能体</w:t>
      </w:r>
    </w:p>
    <w:p w14:paraId="73E04313">
      <w:pPr>
        <w:widowControl/>
        <w:spacing w:after="60"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负责人：王敏雨　成员：吕文惠、雷润</w:t>
      </w:r>
    </w:p>
    <w:p w14:paraId="7761C976">
      <w:pPr>
        <w:widowControl/>
        <w:spacing w:after="60"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材料更新日期：2026年10月10日</w:t>
      </w:r>
    </w:p>
    <w:p w14:paraId="6D342194">
      <w:pPr>
        <w:pStyle w:val="3"/>
        <w:keepNext/>
        <w:widowControl/>
        <w:spacing w:before="200" w:after="140" w:line="360" w:lineRule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b/>
          <w:color w:val="000000"/>
          <w:sz w:val="28"/>
          <w:szCs w:val="28"/>
        </w:rPr>
        <w:t>一、摘要</w:t>
      </w:r>
    </w:p>
    <w:p w14:paraId="5BC88784">
      <w:pPr>
        <w:widowControl/>
        <w:spacing w:after="120" w:line="360" w:lineRule="auto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高校科研培养中的阶段目标、导师意见、阅读笔记和实验记录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val="en-US" w:eastAsia="zh-CN"/>
        </w:rPr>
        <w:t>通常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分散保存，学生难以确定下一步工作，导师也难以连续追踪反馈落实情况。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val="en-US" w:eastAsia="zh-CN"/>
        </w:rPr>
        <w:t>针对上述问题，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研迹将这些材料组织为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val="en-US" w:eastAsia="zh-CN"/>
        </w:rPr>
        <w:t>连续的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上下文，通过独立Agent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val="en-US" w:eastAsia="zh-CN"/>
        </w:rPr>
        <w:t>驱动科研任务，详细的为每一类任务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生成科研指导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eastAsia="zh-CN"/>
        </w:rPr>
        <w:t>。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val="en-US" w:eastAsia="zh-CN"/>
        </w:rPr>
        <w:t>同时Agent还会基于当前阶段所有科研任务的内容，为学生提供合理的科研方向与思路。最后由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师生确认后接入任务、周报和论文修订流程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val="en-US" w:eastAsia="zh-CN"/>
        </w:rPr>
        <w:t>将师生的反馈和经验反作用于Agent的更新，以此生成更好的科研指导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。系统采用Flutter移动端、Java业务后端与Spring AI Agent，结合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val="en-US" w:eastAsia="zh-CN"/>
        </w:rPr>
        <w:t>知识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检索、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val="en-US" w:eastAsia="zh-CN"/>
        </w:rPr>
        <w:t>受限推理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、反馈语义提取和经验记忆复用，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val="en-US" w:eastAsia="zh-CN"/>
        </w:rPr>
        <w:t>通过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指导记忆和生成策略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val="en-US" w:eastAsia="zh-CN"/>
        </w:rPr>
        <w:t>完成Agent的自我更新和学习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形成研究指导与使用反馈的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val="en-US" w:eastAsia="zh-CN"/>
        </w:rPr>
        <w:t>相互作用。在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ARIES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val="en-US" w:eastAsia="zh-CN"/>
        </w:rPr>
        <w:t>数据集中的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85条专家标注测试中，语义反馈识别准确率由51.76%提高至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val="en-US" w:eastAsia="zh-CN"/>
        </w:rPr>
        <w:t>8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9.41%，直接请求召回率由29.82%提高至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val="en-US" w:eastAsia="zh-CN"/>
        </w:rPr>
        <w:t>8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3.68%。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val="en-US" w:eastAsia="zh-CN"/>
        </w:rPr>
        <w:t>同时在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SciFact和QASPER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val="en-US" w:eastAsia="zh-CN"/>
        </w:rPr>
        <w:t>数据中进行了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各30条的三组实测，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val="en-US" w:eastAsia="zh-CN"/>
        </w:rPr>
        <w:t>最终达到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科学陈述准确率为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val="en-US" w:eastAsia="zh-CN"/>
        </w:rPr>
        <w:t>8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3.33%，论文问答F1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val="en-US" w:eastAsia="zh-CN"/>
        </w:rPr>
        <w:t>分数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为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val="en-US" w:eastAsia="zh-CN"/>
        </w:rPr>
        <w:t>8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7.39%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eastAsia="zh-CN"/>
        </w:rPr>
        <w:t>。</w:t>
      </w:r>
    </w:p>
    <w:p w14:paraId="395A786E">
      <w:pPr>
        <w:pStyle w:val="3"/>
        <w:keepNext/>
        <w:widowControl/>
        <w:spacing w:before="200" w:after="140" w:line="360" w:lineRule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b/>
          <w:color w:val="000000"/>
          <w:sz w:val="28"/>
          <w:szCs w:val="28"/>
        </w:rPr>
        <w:t>二、问题理解与业务场景</w:t>
      </w:r>
    </w:p>
    <w:p w14:paraId="5D955EDA">
      <w:pPr>
        <w:pStyle w:val="4"/>
        <w:keepNext/>
        <w:widowControl/>
        <w:spacing w:before="140" w:after="140" w:line="360" w:lineRule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b/>
          <w:color w:val="000000"/>
          <w:sz w:val="28"/>
          <w:szCs w:val="28"/>
        </w:rPr>
        <w:t>2.1 科研培养中的问题</w:t>
      </w:r>
    </w:p>
    <w:p w14:paraId="2E9AF85B">
      <w:pPr>
        <w:widowControl/>
        <w:spacing w:after="120" w:line="360" w:lineRule="auto"/>
        <w:ind w:firstLine="560" w:firstLineChars="200"/>
        <w:rPr>
          <w:rFonts w:hint="eastAsia" w:ascii="宋体" w:hAnsi="宋体" w:eastAsia="宋体" w:cs="宋体"/>
          <w:b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研究生经常同时处理文献阅读、模型实现、实验记录、组会汇报和论文修改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val="en-US" w:eastAsia="zh-CN"/>
        </w:rPr>
        <w:t>而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导师的一次反馈可能影响多个后续任务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eastAsia="zh-CN"/>
        </w:rPr>
        <w:t>。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例如“先完成基线，再讨论改进效果”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val="en-US" w:eastAsia="zh-CN"/>
        </w:rPr>
        <w:t>这样的建议，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既涉及任务顺序，也涉及数据划分与评价指标。普通聊天记录难以保证这些要求在后续指导中持续生效，简单文档管理也难以把材料转化为具体行动。</w:t>
      </w:r>
    </w:p>
    <w:p w14:paraId="561F6C10">
      <w:pPr>
        <w:widowControl/>
        <w:spacing w:after="120" w:line="360" w:lineRule="auto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研迹面向学生与导师的日常研究协作。学生关注当前有哪些可依据的材料、下一步能够做什么；导师关注学生阶段目标、工作进展和反馈是否落实。系统输入包括研究问题、阶段规则、任务状态、授权文献、已确认记录和导师反馈，输出包括自然语言分析、待确认行动、周报或审阅草稿，以及能够回到业务记录的结果。</w:t>
      </w:r>
    </w:p>
    <w:p w14:paraId="05D72918">
      <w:pPr>
        <w:pStyle w:val="4"/>
        <w:keepNext/>
        <w:widowControl/>
        <w:spacing w:before="140" w:after="140" w:line="360" w:lineRule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b/>
          <w:color w:val="000000"/>
          <w:sz w:val="28"/>
          <w:szCs w:val="28"/>
        </w:rPr>
        <w:t>2.2 师生与Agent的协作边界</w:t>
      </w:r>
    </w:p>
    <w:p w14:paraId="32FCA633">
      <w:pPr>
        <w:widowControl/>
        <w:spacing w:after="120" w:line="360" w:lineRule="auto"/>
        <w:ind w:firstLine="560" w:firstLineChars="200"/>
        <w:rPr>
          <w:rFonts w:hint="eastAsia" w:ascii="宋体" w:hAnsi="宋体" w:eastAsia="宋体" w:cs="宋体"/>
          <w:b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学生负责记录实际工作、确认研究材料并选择建议；导师负责培养目标、反馈与成果验收；Agent承担材料检索、要求整理、任务规划和表达辅助。任务、记录、周报和稿件的变化由业务后端保存，形成下一轮运行的新上下文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val="en-US" w:eastAsia="zh-CN"/>
        </w:rPr>
        <w:t>供Agent理解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。</w:t>
      </w:r>
    </w:p>
    <w:p w14:paraId="0429B2F1">
      <w:pPr>
        <w:widowControl/>
        <w:spacing w:after="120" w:line="360" w:lineRule="auto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当前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val="en-US" w:eastAsia="zh-CN"/>
        </w:rPr>
        <w:t>AI业务框架为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单Agent服务中的多类显式工作流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eastAsia="zh-CN"/>
        </w:rPr>
        <w:t>。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Agent已接入主动科研推进计划：后端收集当前可读的阶段、任务、稿件意见及历史计划，生成推进建议；学生可采纳、修改或暂不采用，并填写原因。系统再从这些决定与实际任务状态提取经验，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val="en-US" w:eastAsia="zh-CN"/>
        </w:rPr>
        <w:t>作为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相似任务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val="en-US" w:eastAsia="zh-CN"/>
        </w:rPr>
        <w:t>的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参考。</w:t>
      </w:r>
    </w:p>
    <w:p w14:paraId="5EB8CD18">
      <w:pPr>
        <w:pStyle w:val="3"/>
        <w:keepNext/>
        <w:widowControl/>
        <w:spacing w:before="200" w:after="140" w:line="360" w:lineRule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b/>
          <w:color w:val="000000"/>
          <w:sz w:val="28"/>
          <w:szCs w:val="28"/>
        </w:rPr>
        <w:t>三、总体技术路线</w:t>
      </w:r>
    </w:p>
    <w:p w14:paraId="3E580F17">
      <w:pPr>
        <w:pStyle w:val="4"/>
        <w:keepNext/>
        <w:widowControl/>
        <w:spacing w:before="140" w:after="140" w:line="360" w:lineRule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b/>
          <w:color w:val="000000"/>
          <w:sz w:val="28"/>
          <w:szCs w:val="28"/>
        </w:rPr>
        <w:t>3.1 软件实现路线</w:t>
      </w:r>
    </w:p>
    <w:p w14:paraId="4FFF9C37">
      <w:pPr>
        <w:widowControl/>
        <w:spacing w:after="120" w:line="360" w:lineRule="auto"/>
        <w:ind w:firstLine="560" w:firstLineChars="200"/>
        <w:rPr>
          <w:rFonts w:hint="eastAsia" w:ascii="宋体" w:hAnsi="宋体" w:eastAsia="宋体" w:cs="宋体"/>
          <w:b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软件首先建立学生、导师和实验室的身份关系，确定数据可读范围；随后将科研指导、阶段目标、任务依赖、文献、阅读笔记、实验、周报及论文修订组织为有版本的业务对象。业务后端统一处理审批、权限和事务，移动端提供师生操作入口，Agent通过受控HTTP接口读取材料并返回分析。</w:t>
      </w:r>
    </w:p>
    <w:p w14:paraId="234C73BD">
      <w:pPr>
        <w:widowControl/>
        <w:spacing w:after="120" w:line="360" w:lineRule="auto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val="en-US" w:eastAsia="zh-CN"/>
        </w:rPr>
        <w:t>软件的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一次运行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val="en-US" w:eastAsia="zh-CN"/>
        </w:rPr>
        <w:t>流程为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发起请求、建立上下文快照、异步投递、读取授权材料、生成指导、保存结果和人工确认。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val="en-US" w:eastAsia="zh-CN"/>
        </w:rPr>
        <w:t>用户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确认后，任务和记录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val="en-US" w:eastAsia="zh-CN"/>
        </w:rPr>
        <w:t>将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进入已有业务流程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eastAsia="zh-CN"/>
        </w:rPr>
        <w:t>。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val="en-US" w:eastAsia="zh-CN"/>
        </w:rPr>
        <w:t>因此，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反馈及修改原因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val="en-US" w:eastAsia="zh-CN"/>
        </w:rPr>
        <w:t>会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再次成为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val="en-US" w:eastAsia="zh-CN"/>
        </w:rPr>
        <w:t>Agent的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经验来源。</w:t>
      </w:r>
    </w:p>
    <w:p w14:paraId="11377EB9">
      <w:pPr>
        <w:pStyle w:val="4"/>
        <w:keepNext/>
        <w:widowControl/>
        <w:spacing w:before="140" w:after="140" w:line="360" w:lineRule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b/>
          <w:color w:val="000000"/>
          <w:sz w:val="28"/>
          <w:szCs w:val="28"/>
        </w:rPr>
        <w:t>3.2 Agent算法路线</w:t>
      </w:r>
    </w:p>
    <w:p w14:paraId="4DA8DC0E">
      <w:pPr>
        <w:widowControl/>
        <w:spacing w:after="120" w:line="360" w:lineRule="auto"/>
        <w:ind w:firstLine="560" w:firstLineChars="200"/>
        <w:rPr>
          <w:rFonts w:hint="eastAsia" w:ascii="宋体" w:hAnsi="宋体" w:eastAsia="宋体" w:cs="宋体"/>
          <w:b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算法主线为“约束感知规划—授权检索—反馈理解—经验复用—指导生成”。检索通过中文词面搜索与可选向量搜索取得材料，任务图提供前置顺序，反馈语义提取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val="en-US" w:eastAsia="zh-CN"/>
        </w:rPr>
        <w:t>模块会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补充关键词规则难以识别的修改要求。历史经验只作为软偏好，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val="en-US" w:eastAsia="zh-CN"/>
        </w:rPr>
        <w:t>以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当前导师要求和已确认事实优先。</w:t>
      </w:r>
    </w:p>
    <w:p w14:paraId="23C2682F">
      <w:pPr>
        <w:widowControl/>
        <w:spacing w:after="120" w:line="360" w:lineRule="auto"/>
        <w:ind w:firstLine="560" w:firstLineChars="200"/>
        <w:rPr>
          <w:rFonts w:hint="eastAsia" w:ascii="宋体" w:hAnsi="宋体" w:eastAsia="宋体" w:cs="宋体"/>
          <w:b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输出检查与生成共同构成有限修正过程。没有充分资料时仍可以提供研究方法或准备建议；任务关联、事实出处或软件功能存在问题时，保留可读分析，将不合格的执行安排转为待确认文字。</w:t>
      </w:r>
    </w:p>
    <w:p w14:paraId="30311464">
      <w:pPr>
        <w:widowControl/>
        <w:spacing w:after="120" w:line="360" w:lineRule="auto"/>
        <w:ind w:firstLine="560" w:firstLineChars="200"/>
        <w:rPr>
          <w:rFonts w:hint="eastAsia" w:ascii="宋体" w:hAnsi="宋体" w:eastAsia="宋体" w:cs="宋体"/>
          <w:b w:val="0"/>
          <w:color w:val="000000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反馈学习通过持久化记忆、经验检索和生成上下文实现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eastAsia="zh-CN"/>
        </w:rPr>
        <w:t>。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导师反馈和用户使用经验保存在后端经验池。每次使用前重新检查来源权限、修订、适用对象和有效期，然后排序选择少量相关经验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Agent提取原文中的要求并调整后续指导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eastAsia="zh-CN"/>
        </w:rPr>
        <w:t>。</w:t>
      </w:r>
    </w:p>
    <w:p w14:paraId="0AAAAEE9">
      <w:pPr>
        <w:keepNext/>
        <w:spacing w:line="360" w:lineRule="auto"/>
        <w:jc w:val="center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drawing>
          <wp:inline distT="0" distB="0" distL="114300" distR="114300">
            <wp:extent cx="5605780" cy="3154680"/>
            <wp:effectExtent l="0" t="0" r="7620" b="7620"/>
            <wp:docPr id="11" name="图片 11" descr="10b67b812a1cc1da2d887c1d6bda71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0b67b812a1cc1da2d887c1d6bda712d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578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019A1">
      <w:pPr>
        <w:pStyle w:val="15"/>
        <w:keepNext/>
        <w:spacing w:line="360" w:lineRule="auto"/>
        <w:jc w:val="center"/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 xml:space="preserve">图 </w:t>
      </w:r>
      <w:r>
        <w:rPr>
          <w:rFonts w:hint="eastAsia" w:ascii="黑体" w:hAnsi="黑体" w:eastAsia="黑体" w:cs="黑体"/>
          <w:color w:val="auto"/>
          <w:sz w:val="24"/>
          <w:szCs w:val="24"/>
        </w:rPr>
        <w:fldChar w:fldCharType="begin"/>
      </w:r>
      <w:r>
        <w:rPr>
          <w:rFonts w:hint="eastAsia" w:ascii="黑体" w:hAnsi="黑体" w:eastAsia="黑体" w:cs="黑体"/>
          <w:color w:val="auto"/>
          <w:sz w:val="24"/>
          <w:szCs w:val="24"/>
        </w:rPr>
        <w:instrText xml:space="preserve"> SEQ 图 \* ARABIC </w:instrText>
      </w:r>
      <w:r>
        <w:rPr>
          <w:rFonts w:hint="eastAsia" w:ascii="黑体" w:hAnsi="黑体" w:eastAsia="黑体" w:cs="黑体"/>
          <w:color w:val="auto"/>
          <w:sz w:val="24"/>
          <w:szCs w:val="24"/>
        </w:rPr>
        <w:fldChar w:fldCharType="separate"/>
      </w:r>
      <w:r>
        <w:rPr>
          <w:rFonts w:hint="eastAsia" w:ascii="黑体" w:hAnsi="黑体" w:eastAsia="黑体" w:cs="黑体"/>
          <w:color w:val="auto"/>
          <w:sz w:val="24"/>
          <w:szCs w:val="24"/>
        </w:rPr>
        <w:t>1</w:t>
      </w:r>
      <w:r>
        <w:rPr>
          <w:rFonts w:hint="eastAsia" w:ascii="黑体" w:hAnsi="黑体" w:eastAsia="黑体" w:cs="黑体"/>
          <w:color w:val="auto"/>
          <w:sz w:val="24"/>
          <w:szCs w:val="24"/>
        </w:rPr>
        <w:fldChar w:fldCharType="end"/>
      </w:r>
      <w:r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  <w:t xml:space="preserve"> Agent技术路线</w:t>
      </w:r>
    </w:p>
    <w:p w14:paraId="41E3A625">
      <w:pPr>
        <w:pStyle w:val="3"/>
        <w:keepNext/>
        <w:widowControl/>
        <w:spacing w:before="200" w:after="140" w:line="360" w:lineRule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b/>
          <w:color w:val="000000"/>
          <w:sz w:val="28"/>
          <w:szCs w:val="28"/>
        </w:rPr>
        <w:t>四、系统架构</w:t>
      </w:r>
    </w:p>
    <w:p w14:paraId="7C0209EE">
      <w:pPr>
        <w:keepNext/>
        <w:spacing w:line="360" w:lineRule="auto"/>
        <w:jc w:val="center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drawing>
          <wp:inline distT="0" distB="0" distL="114300" distR="114300">
            <wp:extent cx="5205095" cy="2915920"/>
            <wp:effectExtent l="0" t="0" r="0" b="0"/>
            <wp:docPr id="12" name="图片 12" descr="3942096e3ba6d3315a19b913854f97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3942096e3ba6d3315a19b913854f97ac"/>
                    <pic:cNvPicPr>
                      <a:picLocks noChangeAspect="1"/>
                    </pic:cNvPicPr>
                  </pic:nvPicPr>
                  <pic:blipFill>
                    <a:blip r:embed="rId13"/>
                    <a:srcRect l="3942" t="3261" r="3206" b="4308"/>
                    <a:stretch>
                      <a:fillRect/>
                    </a:stretch>
                  </pic:blipFill>
                  <pic:spPr>
                    <a:xfrm>
                      <a:off x="0" y="0"/>
                      <a:ext cx="5205095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2F69B">
      <w:pPr>
        <w:pStyle w:val="15"/>
        <w:keepNext/>
        <w:spacing w:line="360" w:lineRule="auto"/>
        <w:jc w:val="center"/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 xml:space="preserve">图 </w:t>
      </w:r>
      <w:r>
        <w:rPr>
          <w:rFonts w:hint="eastAsia" w:ascii="黑体" w:hAnsi="黑体" w:eastAsia="黑体" w:cs="黑体"/>
          <w:color w:val="auto"/>
          <w:sz w:val="24"/>
          <w:szCs w:val="24"/>
        </w:rPr>
        <w:fldChar w:fldCharType="begin"/>
      </w:r>
      <w:r>
        <w:rPr>
          <w:rFonts w:hint="eastAsia" w:ascii="黑体" w:hAnsi="黑体" w:eastAsia="黑体" w:cs="黑体"/>
          <w:color w:val="auto"/>
          <w:sz w:val="24"/>
          <w:szCs w:val="24"/>
        </w:rPr>
        <w:instrText xml:space="preserve"> SEQ 图 \* ARABIC </w:instrText>
      </w:r>
      <w:r>
        <w:rPr>
          <w:rFonts w:hint="eastAsia" w:ascii="黑体" w:hAnsi="黑体" w:eastAsia="黑体" w:cs="黑体"/>
          <w:color w:val="auto"/>
          <w:sz w:val="24"/>
          <w:szCs w:val="24"/>
        </w:rPr>
        <w:fldChar w:fldCharType="separate"/>
      </w:r>
      <w:r>
        <w:rPr>
          <w:rFonts w:hint="eastAsia" w:ascii="黑体" w:hAnsi="黑体" w:eastAsia="黑体" w:cs="黑体"/>
          <w:color w:val="auto"/>
          <w:sz w:val="24"/>
          <w:szCs w:val="24"/>
        </w:rPr>
        <w:t>2</w:t>
      </w:r>
      <w:r>
        <w:rPr>
          <w:rFonts w:hint="eastAsia" w:ascii="黑体" w:hAnsi="黑体" w:eastAsia="黑体" w:cs="黑体"/>
          <w:color w:val="auto"/>
          <w:sz w:val="24"/>
          <w:szCs w:val="24"/>
        </w:rPr>
        <w:fldChar w:fldCharType="end"/>
      </w:r>
      <w:r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  <w:t xml:space="preserve"> 系统总体架构</w:t>
      </w:r>
    </w:p>
    <w:p w14:paraId="72F4CC24">
      <w:pPr>
        <w:pStyle w:val="4"/>
        <w:keepNext/>
        <w:widowControl/>
        <w:spacing w:before="140" w:after="140" w:line="360" w:lineRule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b/>
          <w:color w:val="000000"/>
          <w:sz w:val="28"/>
          <w:szCs w:val="28"/>
        </w:rPr>
        <w:t>4.1 客户端与业务后端</w:t>
      </w:r>
    </w:p>
    <w:p w14:paraId="3C2498C2">
      <w:pPr>
        <w:widowControl/>
        <w:spacing w:after="120" w:line="360" w:lineRule="auto"/>
        <w:ind w:firstLine="560" w:firstLineChars="200"/>
        <w:rPr>
          <w:rFonts w:hint="eastAsia" w:ascii="宋体" w:hAnsi="宋体" w:eastAsia="宋体" w:cs="宋体"/>
          <w:b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Flutter客户端以总览、工作、资料、AI助教和我的五个导航模块组织功能，通过HTTP接口访问业务后端。Riverpod管理会话、选定学生及任务等状态，Dio处理请求，页面展示运行进度、建议、来源及确认操作。</w:t>
      </w:r>
    </w:p>
    <w:p w14:paraId="369091B5">
      <w:pPr>
        <w:widowControl/>
        <w:spacing w:after="120" w:line="360" w:lineRule="auto"/>
        <w:ind w:firstLine="560" w:firstLineChars="200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Java业务后端负责身份及成员关系、科研对象的状态与修订、文件解析、检索、任务投递和结果应用。数据库使用MySQL、MinIO、Redis和BGE向量服务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保存业务对象及经验记忆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eastAsia="zh-CN"/>
        </w:rPr>
        <w:t>。</w:t>
      </w:r>
    </w:p>
    <w:p w14:paraId="4E2715FA">
      <w:pPr>
        <w:pStyle w:val="4"/>
        <w:keepNext/>
        <w:widowControl/>
        <w:spacing w:before="140" w:after="140" w:line="360" w:lineRule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b/>
          <w:color w:val="000000"/>
          <w:sz w:val="28"/>
          <w:szCs w:val="28"/>
        </w:rPr>
        <w:t>4.2 Agent服务与调用链</w:t>
      </w:r>
    </w:p>
    <w:p w14:paraId="29001CDB">
      <w:pPr>
        <w:widowControl/>
        <w:spacing w:after="120" w:line="360" w:lineRule="auto"/>
        <w:ind w:firstLine="560" w:firstLineChars="200"/>
        <w:rPr>
          <w:rFonts w:hint="eastAsia" w:ascii="宋体" w:hAnsi="宋体" w:eastAsia="宋体" w:cs="宋体"/>
          <w:b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独立Java Agent使用Spring AI连接Qwen模型。BackendClient负责固定的上下文读取、授权搜索、来源回查、事件记录与结果回写；RunWorkflow组织规划、提取、生成和检查；OutputGuard整理可展示内容，并单独校验可执行草稿。</w:t>
      </w:r>
    </w:p>
    <w:p w14:paraId="236A209E">
      <w:pPr>
        <w:widowControl/>
        <w:spacing w:after="120" w:line="360" w:lineRule="auto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后端通过持久化任务投递将运行交给Agent，Agent认领后维护租约并回写结果。师生确认或批准建议时，后端再次核对权限、来源和当前版本，以事务保存结果。记录、任务或反馈更新后，后续分析读取新的快照，避免旧结果直接覆盖新进展。</w:t>
      </w:r>
    </w:p>
    <w:p w14:paraId="352992CB">
      <w:pPr>
        <w:pStyle w:val="4"/>
        <w:keepNext/>
        <w:widowControl/>
        <w:spacing w:before="140" w:after="140" w:line="360" w:lineRule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b/>
          <w:color w:val="000000"/>
          <w:sz w:val="28"/>
          <w:szCs w:val="28"/>
        </w:rPr>
        <w:t>4.3 代码与职责对应</w:t>
      </w:r>
    </w:p>
    <w:tbl>
      <w:tblPr>
        <w:tblStyle w:val="33"/>
        <w:tblW w:w="0" w:type="auto"/>
        <w:jc w:val="center"/>
        <w:tblBorders>
          <w:top w:val="single" w:color="A0AAB6" w:sz="4" w:space="0"/>
          <w:left w:val="single" w:color="A0AAB6" w:sz="4" w:space="0"/>
          <w:bottom w:val="single" w:color="A0AAB6" w:sz="4" w:space="0"/>
          <w:right w:val="single" w:color="A0AAB6" w:sz="4" w:space="0"/>
          <w:insideH w:val="single" w:color="A0AAB6" w:sz="4" w:space="0"/>
          <w:insideV w:val="single" w:color="A0AAB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3798"/>
        <w:gridCol w:w="3883"/>
      </w:tblGrid>
      <w:tr w14:paraId="0A626874">
        <w:tblPrEx>
          <w:tblBorders>
            <w:top w:val="single" w:color="A0AAB6" w:sz="4" w:space="0"/>
            <w:left w:val="single" w:color="A0AAB6" w:sz="4" w:space="0"/>
            <w:bottom w:val="single" w:color="A0AAB6" w:sz="4" w:space="0"/>
            <w:right w:val="single" w:color="A0AAB6" w:sz="4" w:space="0"/>
            <w:insideH w:val="single" w:color="A0AAB6" w:sz="4" w:space="0"/>
            <w:insideV w:val="single" w:color="A0AAB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34" w:type="dxa"/>
            <w:shd w:val="clear" w:color="auto" w:fill="DCE6F2" w:themeFill="accent1" w:themeFillTint="3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855B1A">
            <w:pPr>
              <w:keepNext/>
              <w:widowControl/>
              <w:spacing w:before="60" w:after="60" w:line="360" w:lineRule="auto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8"/>
                <w:szCs w:val="28"/>
              </w:rPr>
              <w:t>层次</w:t>
            </w:r>
          </w:p>
        </w:tc>
        <w:tc>
          <w:tcPr>
            <w:tcW w:w="3798" w:type="dxa"/>
            <w:shd w:val="clear" w:color="auto" w:fill="DCE6F2" w:themeFill="accent1" w:themeFillTint="3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E2F9FF">
            <w:pPr>
              <w:keepNext/>
              <w:widowControl/>
              <w:spacing w:before="60" w:after="60" w:line="360" w:lineRule="auto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8"/>
                <w:szCs w:val="28"/>
              </w:rPr>
              <w:t>主要实现</w:t>
            </w:r>
          </w:p>
        </w:tc>
        <w:tc>
          <w:tcPr>
            <w:tcW w:w="3883" w:type="dxa"/>
            <w:shd w:val="clear" w:color="auto" w:fill="DCE6F2" w:themeFill="accent1" w:themeFillTint="3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BD925E">
            <w:pPr>
              <w:keepNext/>
              <w:widowControl/>
              <w:spacing w:before="60" w:after="60" w:line="360" w:lineRule="auto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8"/>
                <w:szCs w:val="28"/>
              </w:rPr>
              <w:t>职责</w:t>
            </w:r>
          </w:p>
        </w:tc>
      </w:tr>
      <w:tr w14:paraId="61902739">
        <w:tblPrEx>
          <w:tblBorders>
            <w:top w:val="single" w:color="A0AAB6" w:sz="4" w:space="0"/>
            <w:left w:val="single" w:color="A0AAB6" w:sz="4" w:space="0"/>
            <w:bottom w:val="single" w:color="A0AAB6" w:sz="4" w:space="0"/>
            <w:right w:val="single" w:color="A0AAB6" w:sz="4" w:space="0"/>
            <w:insideH w:val="single" w:color="A0AAB6" w:sz="4" w:space="0"/>
            <w:insideV w:val="single" w:color="A0AAB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4539D0">
            <w:pPr>
              <w:keepNext/>
              <w:widowControl/>
              <w:spacing w:before="60" w:after="60" w:line="360" w:lineRule="auto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8"/>
                <w:szCs w:val="28"/>
              </w:rPr>
              <w:t>移动端</w:t>
            </w:r>
          </w:p>
        </w:tc>
        <w:tc>
          <w:tcPr>
            <w:tcW w:w="379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B55DF9">
            <w:pPr>
              <w:keepNext/>
              <w:widowControl/>
              <w:spacing w:before="60" w:after="60" w:line="360" w:lineRule="auto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8"/>
                <w:szCs w:val="28"/>
              </w:rPr>
              <w:t>app.dart、research_followups.dart、agent_result_cards.dart及工作/资料页面</w:t>
            </w:r>
          </w:p>
        </w:tc>
        <w:tc>
          <w:tcPr>
            <w:tcW w:w="38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29CA13">
            <w:pPr>
              <w:keepNext/>
              <w:widowControl/>
              <w:spacing w:before="60" w:after="60" w:line="360" w:lineRule="auto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8"/>
                <w:szCs w:val="28"/>
              </w:rPr>
              <w:t>导航、师生操作、聊天正文、行动与结果展示</w:t>
            </w:r>
          </w:p>
        </w:tc>
      </w:tr>
      <w:tr w14:paraId="4FE49B79">
        <w:tblPrEx>
          <w:tblBorders>
            <w:top w:val="single" w:color="A0AAB6" w:sz="4" w:space="0"/>
            <w:left w:val="single" w:color="A0AAB6" w:sz="4" w:space="0"/>
            <w:bottom w:val="single" w:color="A0AAB6" w:sz="4" w:space="0"/>
            <w:right w:val="single" w:color="A0AAB6" w:sz="4" w:space="0"/>
            <w:insideH w:val="single" w:color="A0AAB6" w:sz="4" w:space="0"/>
            <w:insideV w:val="single" w:color="A0AAB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E5CC18">
            <w:pPr>
              <w:keepNext/>
              <w:widowControl/>
              <w:spacing w:before="60" w:after="60" w:line="360" w:lineRule="auto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8"/>
                <w:szCs w:val="28"/>
              </w:rPr>
              <w:t>业务后端</w:t>
            </w:r>
          </w:p>
        </w:tc>
        <w:tc>
          <w:tcPr>
            <w:tcW w:w="379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75E412">
            <w:pPr>
              <w:keepNext/>
              <w:widowControl/>
              <w:spacing w:before="60" w:after="60" w:line="360" w:lineRule="auto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8"/>
                <w:szCs w:val="28"/>
              </w:rPr>
              <w:t>InternalAgentService、ResearchFollowupService、ResearchExperienceService</w:t>
            </w:r>
          </w:p>
        </w:tc>
        <w:tc>
          <w:tcPr>
            <w:tcW w:w="38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60A5C1">
            <w:pPr>
              <w:keepNext/>
              <w:widowControl/>
              <w:spacing w:before="60" w:after="60" w:line="360" w:lineRule="auto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8"/>
                <w:szCs w:val="28"/>
              </w:rPr>
              <w:t>授权快照、技能目录、任务关联、经验提取与应用</w:t>
            </w:r>
          </w:p>
        </w:tc>
      </w:tr>
      <w:tr w14:paraId="10A54766">
        <w:tblPrEx>
          <w:tblBorders>
            <w:top w:val="single" w:color="A0AAB6" w:sz="4" w:space="0"/>
            <w:left w:val="single" w:color="A0AAB6" w:sz="4" w:space="0"/>
            <w:bottom w:val="single" w:color="A0AAB6" w:sz="4" w:space="0"/>
            <w:right w:val="single" w:color="A0AAB6" w:sz="4" w:space="0"/>
            <w:insideH w:val="single" w:color="A0AAB6" w:sz="4" w:space="0"/>
            <w:insideV w:val="single" w:color="A0AAB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ABBEA0">
            <w:pPr>
              <w:keepNext/>
              <w:widowControl/>
              <w:spacing w:before="60" w:after="60" w:line="360" w:lineRule="auto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8"/>
                <w:szCs w:val="28"/>
              </w:rPr>
              <w:t>Agent</w:t>
            </w:r>
          </w:p>
        </w:tc>
        <w:tc>
          <w:tcPr>
            <w:tcW w:w="379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BFF9DE">
            <w:pPr>
              <w:keepNext/>
              <w:widowControl/>
              <w:spacing w:before="60" w:after="60" w:line="360" w:lineRule="auto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8"/>
                <w:szCs w:val="28"/>
              </w:rPr>
              <w:t>RunWorkflow、ModelInputPlanner、SemanticFeedback、ConstraintAwarePlanning、GroundedGuidance</w:t>
            </w:r>
          </w:p>
        </w:tc>
        <w:tc>
          <w:tcPr>
            <w:tcW w:w="38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2867BF">
            <w:pPr>
              <w:keepNext/>
              <w:widowControl/>
              <w:spacing w:before="60" w:after="60" w:line="360" w:lineRule="auto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8"/>
                <w:szCs w:val="28"/>
              </w:rPr>
              <w:t>模型编排、反馈理解、前置约束和依据检查</w:t>
            </w:r>
          </w:p>
        </w:tc>
      </w:tr>
      <w:tr w14:paraId="3988F312">
        <w:tblPrEx>
          <w:tblBorders>
            <w:top w:val="single" w:color="A0AAB6" w:sz="4" w:space="0"/>
            <w:left w:val="single" w:color="A0AAB6" w:sz="4" w:space="0"/>
            <w:bottom w:val="single" w:color="A0AAB6" w:sz="4" w:space="0"/>
            <w:right w:val="single" w:color="A0AAB6" w:sz="4" w:space="0"/>
            <w:insideH w:val="single" w:color="A0AAB6" w:sz="4" w:space="0"/>
            <w:insideV w:val="single" w:color="A0AAB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9739FD">
            <w:pPr>
              <w:keepNext w:val="0"/>
              <w:widowControl/>
              <w:spacing w:before="60" w:after="60" w:line="360" w:lineRule="auto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8"/>
                <w:szCs w:val="28"/>
              </w:rPr>
              <w:t>基础服务</w:t>
            </w:r>
          </w:p>
        </w:tc>
        <w:tc>
          <w:tcPr>
            <w:tcW w:w="379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73561B">
            <w:pPr>
              <w:keepNext w:val="0"/>
              <w:widowControl/>
              <w:spacing w:before="60" w:after="60" w:line="360" w:lineRule="auto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8"/>
                <w:szCs w:val="28"/>
              </w:rPr>
              <w:t>数据库、文件存储、可选缓存与Embedding</w:t>
            </w:r>
          </w:p>
        </w:tc>
        <w:tc>
          <w:tcPr>
            <w:tcW w:w="38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0A0561">
            <w:pPr>
              <w:keepNext w:val="0"/>
              <w:widowControl/>
              <w:spacing w:before="60" w:after="60" w:line="360" w:lineRule="auto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8"/>
                <w:szCs w:val="28"/>
              </w:rPr>
              <w:t>持久化、文本片段、索引、检索与运行支撑</w:t>
            </w:r>
          </w:p>
        </w:tc>
      </w:tr>
    </w:tbl>
    <w:p w14:paraId="4653E124">
      <w:pPr>
        <w:spacing w:after="40" w:line="360" w:lineRule="auto"/>
        <w:rPr>
          <w:rFonts w:hint="eastAsia" w:ascii="宋体" w:hAnsi="宋体" w:eastAsia="宋体" w:cs="宋体"/>
          <w:sz w:val="28"/>
          <w:szCs w:val="28"/>
        </w:rPr>
      </w:pPr>
    </w:p>
    <w:p w14:paraId="53AC2E3A">
      <w:pPr>
        <w:pStyle w:val="3"/>
        <w:keepNext/>
        <w:widowControl/>
        <w:spacing w:before="200" w:after="140" w:line="360" w:lineRule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b/>
          <w:color w:val="000000"/>
          <w:sz w:val="28"/>
          <w:szCs w:val="28"/>
        </w:rPr>
        <w:t>五、核心算法与关键模块</w:t>
      </w:r>
    </w:p>
    <w:p w14:paraId="3CF0177F">
      <w:pPr>
        <w:pStyle w:val="4"/>
        <w:keepNext/>
        <w:widowControl/>
        <w:spacing w:before="140" w:after="140" w:line="360" w:lineRule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b/>
          <w:color w:val="000000"/>
          <w:sz w:val="28"/>
          <w:szCs w:val="28"/>
        </w:rPr>
        <w:t>5.1 核心算法</w:t>
      </w:r>
    </w:p>
    <w:p w14:paraId="360A61C2">
      <w:pPr>
        <w:pStyle w:val="5"/>
        <w:keepNext/>
        <w:widowControl/>
        <w:spacing w:before="140" w:after="140" w:line="360" w:lineRule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b/>
          <w:color w:val="000000"/>
          <w:sz w:val="28"/>
          <w:szCs w:val="28"/>
        </w:rPr>
        <w:t>5.1.1 授权检索与经验排序</w:t>
      </w:r>
    </w:p>
    <w:p w14:paraId="0D54DE54">
      <w:pPr>
        <w:widowControl/>
        <w:spacing w:after="120" w:line="360" w:lineRule="auto"/>
        <w:ind w:firstLine="560" w:firstLineChars="200"/>
        <w:rPr>
          <w:rFonts w:hint="eastAsia" w:ascii="宋体" w:hAnsi="宋体" w:eastAsia="宋体" w:cs="宋体"/>
          <w:b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科研材料先按当前身份、学生和来源范围过滤，再参与排序。中文词面检索使用jieba词典与DAG分词；可选向量检索使用BAAI/bge-small-zh-v1.5生成512维表示，在授权候选片段中计算余弦相似度。RRF融合两类排名，各列表对片段的贡献为1除以60与名次之和；未命中的列表不贡献分数。相关片段随后进入模型上下文。</w:t>
      </w:r>
    </w:p>
    <w:p w14:paraId="0E8CE6E1">
      <w:pPr>
        <w:widowControl/>
        <w:spacing w:after="120" w:line="360" w:lineRule="auto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经验检索与文献检索分开处理。ExperienceRanking利用中英文词项和字符二元组计算相关度，并结合时间衰减与反馈信号排序，默认权重分别为0.65、0.20和0.15。之后采用MMR式贪心选择，以0.8倍候选得分减去0.2倍与已选经验的最大相似度，选取最多5条，减少重复意见。上述权重是工程初始参数，尚未通过专门优化得到最优值。</w:t>
      </w:r>
    </w:p>
    <w:p w14:paraId="3F8120E2">
      <w:pPr>
        <w:keepNext/>
        <w:spacing w:line="360" w:lineRule="auto"/>
        <w:jc w:val="center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drawing>
          <wp:inline distT="0" distB="0" distL="114300" distR="114300">
            <wp:extent cx="5605780" cy="3154680"/>
            <wp:effectExtent l="0" t="0" r="7620" b="7620"/>
            <wp:docPr id="13" name="图片 13" descr="a12e2240474c6c6c3fe65c1797550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a12e2240474c6c6c3fe65c179755055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578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EDA3E">
      <w:pPr>
        <w:pStyle w:val="15"/>
        <w:keepNext/>
        <w:spacing w:line="360" w:lineRule="auto"/>
        <w:jc w:val="center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 xml:space="preserve">图 </w:t>
      </w:r>
      <w:r>
        <w:rPr>
          <w:rFonts w:hint="eastAsia" w:ascii="黑体" w:hAnsi="黑体" w:eastAsia="黑体" w:cs="黑体"/>
          <w:color w:val="auto"/>
          <w:sz w:val="24"/>
          <w:szCs w:val="24"/>
        </w:rPr>
        <w:fldChar w:fldCharType="begin"/>
      </w:r>
      <w:r>
        <w:rPr>
          <w:rFonts w:hint="eastAsia" w:ascii="黑体" w:hAnsi="黑体" w:eastAsia="黑体" w:cs="黑体"/>
          <w:color w:val="auto"/>
          <w:sz w:val="24"/>
          <w:szCs w:val="24"/>
        </w:rPr>
        <w:instrText xml:space="preserve"> SEQ 图 \* ARABIC </w:instrText>
      </w:r>
      <w:r>
        <w:rPr>
          <w:rFonts w:hint="eastAsia" w:ascii="黑体" w:hAnsi="黑体" w:eastAsia="黑体" w:cs="黑体"/>
          <w:color w:val="auto"/>
          <w:sz w:val="24"/>
          <w:szCs w:val="24"/>
        </w:rPr>
        <w:fldChar w:fldCharType="separate"/>
      </w:r>
      <w:r>
        <w:rPr>
          <w:rFonts w:hint="eastAsia" w:ascii="黑体" w:hAnsi="黑体" w:eastAsia="黑体" w:cs="黑体"/>
          <w:color w:val="auto"/>
          <w:sz w:val="24"/>
          <w:szCs w:val="24"/>
        </w:rPr>
        <w:t>3</w:t>
      </w:r>
      <w:r>
        <w:rPr>
          <w:rFonts w:hint="eastAsia" w:ascii="黑体" w:hAnsi="黑体" w:eastAsia="黑体" w:cs="黑体"/>
          <w:color w:val="auto"/>
          <w:sz w:val="24"/>
          <w:szCs w:val="24"/>
        </w:rPr>
        <w:fldChar w:fldCharType="end"/>
      </w:r>
      <w:r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  <w:t xml:space="preserve"> 授权检索与经验选择</w:t>
      </w:r>
    </w:p>
    <w:p w14:paraId="3DA81AD2">
      <w:pPr>
        <w:pStyle w:val="5"/>
        <w:keepNext/>
        <w:widowControl/>
        <w:spacing w:before="140" w:after="140" w:line="360" w:lineRule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b/>
          <w:color w:val="000000"/>
          <w:sz w:val="28"/>
          <w:szCs w:val="28"/>
        </w:rPr>
        <w:t>5.1.2 受限推理与任务依赖验证</w:t>
      </w:r>
    </w:p>
    <w:p w14:paraId="69A1F243">
      <w:pPr>
        <w:widowControl/>
        <w:spacing w:after="120" w:line="360" w:lineRule="auto"/>
        <w:ind w:firstLine="560" w:firstLineChars="200"/>
        <w:rPr>
          <w:rFonts w:hint="eastAsia" w:ascii="宋体" w:hAnsi="宋体" w:eastAsia="宋体" w:cs="宋体"/>
          <w:b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ConstraintAwarePlanning将当前任务及dependency_ids组织为有向图，利用前置关系计算可开始任务与参考顺序。模型生成的步骤带有step_id、task_mode、existing_task_id和depends_on：既有任务必须关联真实对象，新任务单独声明，后续步骤可以引用此前步骤的编号。</w:t>
      </w:r>
    </w:p>
    <w:p w14:paraId="2A4EE2E7">
      <w:pPr>
        <w:widowControl/>
        <w:spacing w:after="120" w:line="360" w:lineRule="auto"/>
        <w:ind w:firstLine="560" w:firstLineChars="200"/>
        <w:rPr>
          <w:rFonts w:hint="eastAsia" w:ascii="宋体" w:hAnsi="宋体" w:eastAsia="宋体" w:cs="宋体"/>
          <w:b w:val="0"/>
          <w:color w:val="000000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程序检查任务是否已完成或取消、关联是否存在、前置条件是否声明、步骤顺序是否满足依赖，以及是否出现循环或缺失前置。既有任务即使被改写标题，也应通过任务编号检查，而不只依赖文本匹配。合法步骤别名可以映射回实际任务；无法安排的循环任务先生成依赖澄清建议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eastAsia="zh-CN"/>
        </w:rPr>
        <w:t>。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val="en-US" w:eastAsia="zh-CN"/>
        </w:rPr>
        <w:t>最后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程序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val="en-US" w:eastAsia="zh-CN"/>
        </w:rPr>
        <w:t>会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把检查问题反馈给模型重新生成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eastAsia="zh-CN"/>
        </w:rPr>
        <w:t>。</w:t>
      </w:r>
    </w:p>
    <w:p w14:paraId="0D2A9FED">
      <w:pPr>
        <w:keepNext/>
        <w:spacing w:line="360" w:lineRule="auto"/>
        <w:jc w:val="center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drawing>
          <wp:inline distT="0" distB="0" distL="114300" distR="114300">
            <wp:extent cx="5605780" cy="3154680"/>
            <wp:effectExtent l="0" t="0" r="7620" b="7620"/>
            <wp:docPr id="14" name="图片 14" descr="51a4cd6d159f70929c5c440c5472a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51a4cd6d159f70929c5c440c5472a1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578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B6BA1">
      <w:pPr>
        <w:pStyle w:val="15"/>
        <w:keepNext/>
        <w:spacing w:line="360" w:lineRule="auto"/>
        <w:jc w:val="center"/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 xml:space="preserve">图 </w:t>
      </w:r>
      <w:r>
        <w:rPr>
          <w:rFonts w:hint="eastAsia" w:ascii="黑体" w:hAnsi="黑体" w:eastAsia="黑体" w:cs="黑体"/>
          <w:color w:val="auto"/>
          <w:sz w:val="24"/>
          <w:szCs w:val="24"/>
        </w:rPr>
        <w:fldChar w:fldCharType="begin"/>
      </w:r>
      <w:r>
        <w:rPr>
          <w:rFonts w:hint="eastAsia" w:ascii="黑体" w:hAnsi="黑体" w:eastAsia="黑体" w:cs="黑体"/>
          <w:color w:val="auto"/>
          <w:sz w:val="24"/>
          <w:szCs w:val="24"/>
        </w:rPr>
        <w:instrText xml:space="preserve"> SEQ 图 \* ARABIC </w:instrText>
      </w:r>
      <w:r>
        <w:rPr>
          <w:rFonts w:hint="eastAsia" w:ascii="黑体" w:hAnsi="黑体" w:eastAsia="黑体" w:cs="黑体"/>
          <w:color w:val="auto"/>
          <w:sz w:val="24"/>
          <w:szCs w:val="24"/>
        </w:rPr>
        <w:fldChar w:fldCharType="separate"/>
      </w:r>
      <w:r>
        <w:rPr>
          <w:rFonts w:hint="eastAsia" w:ascii="黑体" w:hAnsi="黑体" w:eastAsia="黑体" w:cs="黑体"/>
          <w:color w:val="auto"/>
          <w:sz w:val="24"/>
          <w:szCs w:val="24"/>
        </w:rPr>
        <w:t>4</w:t>
      </w:r>
      <w:r>
        <w:rPr>
          <w:rFonts w:hint="eastAsia" w:ascii="黑体" w:hAnsi="黑体" w:eastAsia="黑体" w:cs="黑体"/>
          <w:color w:val="auto"/>
          <w:sz w:val="24"/>
          <w:szCs w:val="24"/>
        </w:rPr>
        <w:fldChar w:fldCharType="end"/>
      </w:r>
      <w:r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  <w:t xml:space="preserve"> 受限规划与检查</w:t>
      </w:r>
    </w:p>
    <w:p w14:paraId="6EE7CAB7">
      <w:pPr>
        <w:pStyle w:val="5"/>
        <w:keepNext/>
        <w:widowControl/>
        <w:spacing w:before="140" w:after="140" w:line="360" w:lineRule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b/>
          <w:color w:val="000000"/>
          <w:sz w:val="28"/>
          <w:szCs w:val="28"/>
        </w:rPr>
        <w:t>5.1.3 科研工具选择</w:t>
      </w:r>
    </w:p>
    <w:p w14:paraId="7E9D44CC">
      <w:pPr>
        <w:widowControl/>
        <w:spacing w:after="120" w:line="360" w:lineRule="auto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现有工具选择依据后端构建的技能目录。目录随当前学生、阶段和可读资料变化，包含检查任务安排、整理周报、细化阶段计划、文献导读，以及补充记录或查看导师反馈等入口。模型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val="en-US" w:eastAsia="zh-CN"/>
        </w:rPr>
        <w:t>能够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推荐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val="en-US" w:eastAsia="zh-CN"/>
        </w:rPr>
        <w:t>已有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目录项，程序核对编号，客户端使用已有路由或创建新的分析请求，用户确认后才触发相应功能。</w:t>
      </w:r>
    </w:p>
    <w:p w14:paraId="77320321">
      <w:pPr>
        <w:pStyle w:val="5"/>
        <w:keepNext/>
        <w:widowControl/>
        <w:spacing w:before="140" w:after="140" w:line="360" w:lineRule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b/>
          <w:color w:val="000000"/>
          <w:sz w:val="28"/>
          <w:szCs w:val="28"/>
        </w:rPr>
        <w:t>5.1.4 导师反馈的语义提取</w:t>
      </w:r>
    </w:p>
    <w:p w14:paraId="0358EACB">
      <w:pPr>
        <w:widowControl/>
        <w:spacing w:after="120" w:line="360" w:lineRule="auto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关键词规则能够识别部分“补基线”“做消融”等明确表述，但会遗漏否定表达、委婉提问或间接修改要求。SemanticFeedback结合少量自编示例提示，让模型提取修改对象、具体要求、适用场景、直接请求标记、类别及原文摘录。当前非循环流程明确先提取、再生成；启用检索规划时也可合并进规划响应。</w:t>
      </w:r>
    </w:p>
    <w:p w14:paraId="7677FFFD">
      <w:pPr>
        <w:pStyle w:val="5"/>
        <w:keepNext/>
        <w:widowControl/>
        <w:spacing w:before="140" w:after="140" w:line="360" w:lineRule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b/>
          <w:color w:val="000000"/>
          <w:sz w:val="28"/>
          <w:szCs w:val="28"/>
        </w:rPr>
        <w:t>5.1.5 使用经验的提取与闭环更新</w:t>
      </w:r>
    </w:p>
    <w:p w14:paraId="33BA42E0">
      <w:pPr>
        <w:widowControl/>
        <w:spacing w:after="120" w:line="360" w:lineRule="auto"/>
        <w:ind w:firstLine="560" w:firstLineChars="200"/>
        <w:rPr>
          <w:rFonts w:hint="eastAsia" w:ascii="宋体" w:hAnsi="宋体" w:eastAsia="宋体" w:cs="宋体"/>
          <w:b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ResearchExperienceService从可读稿件反馈、当前周报意见以及用户已采纳或暂不采用的推进计划收集经验。计划选择、实际任务标题、完成情况及明确修改理由一起构成使用记录；相同类别多次出现时形成未确认的重复模式，不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val="en-US" w:eastAsia="zh-CN"/>
        </w:rPr>
        <w:t>会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仅凭采纳次数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val="en-US" w:eastAsia="zh-CN"/>
        </w:rPr>
        <w:t>就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认定建议正确。</w:t>
      </w:r>
    </w:p>
    <w:p w14:paraId="05765FF8">
      <w:pPr>
        <w:widowControl/>
        <w:spacing w:after="120" w:line="360" w:lineRule="auto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更新对象是经验记忆和生成策略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eastAsia="zh-CN"/>
        </w:rPr>
        <w:t>。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经验按用户、学生和实验室隔离，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val="en-US" w:eastAsia="zh-CN"/>
        </w:rPr>
        <w:t>包含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来源、适用场景与有效期。后续请求重新检查源权限和版本，过滤撤回、过时、跨范围或低相关项。这样，某次导师的临时要求既能影响当前指导，又不会不加区分地覆盖其他学生的研究计划。</w:t>
      </w:r>
    </w:p>
    <w:p w14:paraId="02BC9556">
      <w:pPr>
        <w:pStyle w:val="5"/>
        <w:keepNext/>
        <w:widowControl/>
        <w:spacing w:before="140" w:after="140" w:line="360" w:lineRule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b/>
          <w:color w:val="000000"/>
          <w:sz w:val="28"/>
          <w:szCs w:val="28"/>
        </w:rPr>
        <w:t>5.1.6 回答依据与功能目录检查</w:t>
      </w:r>
    </w:p>
    <w:p w14:paraId="5E063091">
      <w:pPr>
        <w:widowControl/>
        <w:spacing w:after="120" w:line="360" w:lineRule="auto"/>
        <w:ind w:firstLine="560" w:firstLineChars="200"/>
        <w:rPr>
          <w:rFonts w:hint="eastAsia" w:ascii="宋体" w:hAnsi="宋体" w:eastAsia="宋体" w:cs="宋体"/>
          <w:b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GroundedGuidance从任务状态、确认记录、导师原文与检索片段构建事实锚点。结构化事实条目应关联真实锚点并使用对应原文，功能推荐应对应当前技能目录。</w:t>
      </w:r>
    </w:p>
    <w:p w14:paraId="273EA6F5">
      <w:pPr>
        <w:widowControl/>
        <w:spacing w:after="120" w:line="360" w:lineRule="auto"/>
        <w:ind w:firstLine="560" w:firstLineChars="200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该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val="en-US" w:eastAsia="zh-CN"/>
        </w:rPr>
        <w:t>算法模块的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设计参考LLM-Modulo的外部检查思路与Self-RAG的回答支持性研究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eastAsia="zh-CN"/>
        </w:rPr>
        <w:t>。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默认建议展示模式保留模型回答，将检测到的未支持事实标为待核对；不合法的任务安排转为文字建议，执行草稿继续接受权限和版本检查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eastAsia="zh-CN"/>
        </w:rPr>
        <w:t>。</w:t>
      </w:r>
    </w:p>
    <w:p w14:paraId="1D5FAAA8">
      <w:pPr>
        <w:pStyle w:val="4"/>
        <w:keepNext/>
        <w:widowControl/>
        <w:spacing w:before="140" w:after="140" w:line="360" w:lineRule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b/>
          <w:color w:val="000000"/>
          <w:sz w:val="28"/>
          <w:szCs w:val="28"/>
        </w:rPr>
        <w:t>5.2 关键模块</w:t>
      </w:r>
    </w:p>
    <w:p w14:paraId="3DE7645B">
      <w:pPr>
        <w:pStyle w:val="5"/>
        <w:keepNext/>
        <w:widowControl/>
        <w:spacing w:before="140" w:after="140" w:line="360" w:lineRule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b/>
          <w:color w:val="000000"/>
          <w:sz w:val="28"/>
          <w:szCs w:val="28"/>
        </w:rPr>
        <w:t>5.2.1 总览模块</w:t>
      </w:r>
    </w:p>
    <w:p w14:paraId="58E3A866">
      <w:pPr>
        <w:widowControl/>
        <w:spacing w:after="120" w:line="360" w:lineRule="auto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总览展示当前研究阶段、任务进展和需要处理的事项。学生可从当前进展进入推进计划、周报等操作，导师先选择学生再查看其培养状态。页面读取业务后端聚合结果，分析入口将选定对象送入Agent工作流，结果再返回相应详情。移动端只负责呈现，实际状态由后端维护。</w:t>
      </w:r>
    </w:p>
    <w:p w14:paraId="2BE6FCBD">
      <w:pPr>
        <w:keepNext/>
        <w:spacing w:line="360" w:lineRule="auto"/>
        <w:jc w:val="center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drawing>
          <wp:inline distT="0" distB="0" distL="114300" distR="114300">
            <wp:extent cx="5609590" cy="1836420"/>
            <wp:effectExtent l="0" t="0" r="3810" b="5080"/>
            <wp:docPr id="16" name="图片 16" descr="77457d3ac661226ee00bda061b8087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77457d3ac661226ee00bda061b80872a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4313E">
      <w:pPr>
        <w:pStyle w:val="15"/>
        <w:keepNext/>
        <w:spacing w:line="360" w:lineRule="auto"/>
        <w:jc w:val="center"/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 xml:space="preserve">图 </w:t>
      </w:r>
      <w:r>
        <w:rPr>
          <w:rFonts w:hint="eastAsia" w:ascii="黑体" w:hAnsi="黑体" w:eastAsia="黑体" w:cs="黑体"/>
          <w:color w:val="auto"/>
          <w:sz w:val="24"/>
          <w:szCs w:val="24"/>
        </w:rPr>
        <w:fldChar w:fldCharType="begin"/>
      </w:r>
      <w:r>
        <w:rPr>
          <w:rFonts w:hint="eastAsia" w:ascii="黑体" w:hAnsi="黑体" w:eastAsia="黑体" w:cs="黑体"/>
          <w:color w:val="auto"/>
          <w:sz w:val="24"/>
          <w:szCs w:val="24"/>
        </w:rPr>
        <w:instrText xml:space="preserve"> SEQ 图 \* ARABIC </w:instrText>
      </w:r>
      <w:r>
        <w:rPr>
          <w:rFonts w:hint="eastAsia" w:ascii="黑体" w:hAnsi="黑体" w:eastAsia="黑体" w:cs="黑体"/>
          <w:color w:val="auto"/>
          <w:sz w:val="24"/>
          <w:szCs w:val="24"/>
        </w:rPr>
        <w:fldChar w:fldCharType="separate"/>
      </w:r>
      <w:r>
        <w:rPr>
          <w:rFonts w:hint="eastAsia" w:ascii="黑体" w:hAnsi="黑体" w:eastAsia="黑体" w:cs="黑体"/>
          <w:color w:val="auto"/>
          <w:sz w:val="24"/>
          <w:szCs w:val="24"/>
        </w:rPr>
        <w:t>5</w:t>
      </w:r>
      <w:r>
        <w:rPr>
          <w:rFonts w:hint="eastAsia" w:ascii="黑体" w:hAnsi="黑体" w:eastAsia="黑体" w:cs="黑体"/>
          <w:color w:val="auto"/>
          <w:sz w:val="24"/>
          <w:szCs w:val="24"/>
        </w:rPr>
        <w:fldChar w:fldCharType="end"/>
      </w:r>
      <w:r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  <w:t xml:space="preserve"> 总览模块流程</w:t>
      </w:r>
    </w:p>
    <w:p w14:paraId="2BF4E47B">
      <w:pPr>
        <w:pStyle w:val="5"/>
        <w:keepNext/>
        <w:widowControl/>
        <w:spacing w:before="140" w:after="140" w:line="360" w:lineRule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b/>
          <w:color w:val="000000"/>
          <w:sz w:val="28"/>
          <w:szCs w:val="28"/>
        </w:rPr>
        <w:t>5.2.2 工作模块</w:t>
      </w:r>
    </w:p>
    <w:p w14:paraId="18B5738F">
      <w:pPr>
        <w:widowControl/>
        <w:spacing w:after="120" w:line="360" w:lineRule="auto"/>
        <w:ind w:firstLine="560" w:firstLineChars="200"/>
        <w:rPr>
          <w:rFonts w:hint="eastAsia" w:ascii="宋体" w:hAnsi="宋体" w:eastAsia="宋体" w:cs="宋体"/>
          <w:b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工作模块承接任务、实验过程与周报等日常研究操作。任务可以具有真实前置依赖，学生提交成果后由导师验收；实验记录先保存草稿，再确认形成新的修订和可用材料。周报按自然周整理已确认事实，学生编辑提交后，导师进行审阅与反馈。</w:t>
      </w:r>
    </w:p>
    <w:p w14:paraId="0E159740">
      <w:pPr>
        <w:widowControl/>
        <w:spacing w:after="120" w:line="360" w:lineRule="auto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Agent建议被采纳时，后端把步骤编号映射为真实任务编号，并保存依赖。用户手动关联已有任务时保留步骤关系，避免重复创建。缺失、跨权限或过期的关联不能通过事务应用。执行结果和用户修改原因再进入经验闭环。</w:t>
      </w:r>
    </w:p>
    <w:p w14:paraId="01113B99">
      <w:pPr>
        <w:keepNext/>
        <w:spacing w:line="360" w:lineRule="auto"/>
        <w:jc w:val="center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drawing>
          <wp:inline distT="0" distB="0" distL="114300" distR="114300">
            <wp:extent cx="5606415" cy="1868805"/>
            <wp:effectExtent l="0" t="0" r="6985" b="10795"/>
            <wp:docPr id="18" name="图片 18" descr="866349af501c07409af0ef2e5c747f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866349af501c07409af0ef2e5c747fcd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06415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CA751">
      <w:pPr>
        <w:pStyle w:val="15"/>
        <w:keepNext/>
        <w:spacing w:line="360" w:lineRule="auto"/>
        <w:jc w:val="center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 xml:space="preserve">图 </w:t>
      </w:r>
      <w:r>
        <w:rPr>
          <w:rFonts w:hint="eastAsia" w:ascii="黑体" w:hAnsi="黑体" w:eastAsia="黑体" w:cs="黑体"/>
          <w:color w:val="auto"/>
          <w:sz w:val="24"/>
          <w:szCs w:val="24"/>
        </w:rPr>
        <w:fldChar w:fldCharType="begin"/>
      </w:r>
      <w:r>
        <w:rPr>
          <w:rFonts w:hint="eastAsia" w:ascii="黑体" w:hAnsi="黑体" w:eastAsia="黑体" w:cs="黑体"/>
          <w:color w:val="auto"/>
          <w:sz w:val="24"/>
          <w:szCs w:val="24"/>
        </w:rPr>
        <w:instrText xml:space="preserve"> SEQ 图 \* ARABIC </w:instrText>
      </w:r>
      <w:r>
        <w:rPr>
          <w:rFonts w:hint="eastAsia" w:ascii="黑体" w:hAnsi="黑体" w:eastAsia="黑体" w:cs="黑体"/>
          <w:color w:val="auto"/>
          <w:sz w:val="24"/>
          <w:szCs w:val="24"/>
        </w:rPr>
        <w:fldChar w:fldCharType="separate"/>
      </w:r>
      <w:r>
        <w:rPr>
          <w:rFonts w:hint="eastAsia" w:ascii="黑体" w:hAnsi="黑体" w:eastAsia="黑体" w:cs="黑体"/>
          <w:color w:val="auto"/>
          <w:sz w:val="24"/>
          <w:szCs w:val="24"/>
        </w:rPr>
        <w:t>6</w:t>
      </w:r>
      <w:r>
        <w:rPr>
          <w:rFonts w:hint="eastAsia" w:ascii="黑体" w:hAnsi="黑体" w:eastAsia="黑体" w:cs="黑体"/>
          <w:color w:val="auto"/>
          <w:sz w:val="24"/>
          <w:szCs w:val="24"/>
        </w:rPr>
        <w:fldChar w:fldCharType="end"/>
      </w:r>
      <w:r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  <w:t xml:space="preserve"> 工作模块流程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 xml:space="preserve"> </w:t>
      </w:r>
    </w:p>
    <w:p w14:paraId="05A4D776">
      <w:pPr>
        <w:pStyle w:val="5"/>
        <w:keepNext/>
        <w:widowControl/>
        <w:spacing w:before="140" w:after="140" w:line="360" w:lineRule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b/>
          <w:color w:val="000000"/>
          <w:sz w:val="28"/>
          <w:szCs w:val="28"/>
        </w:rPr>
        <w:t>5.2.3 资料模块</w:t>
      </w:r>
    </w:p>
    <w:p w14:paraId="16CD7B9D">
      <w:pPr>
        <w:widowControl/>
        <w:spacing w:after="120" w:line="360" w:lineRule="auto"/>
        <w:ind w:firstLine="560" w:firstLineChars="200"/>
        <w:rPr>
          <w:rFonts w:hint="eastAsia" w:ascii="宋体" w:hAnsi="宋体" w:eastAsia="宋体" w:cs="宋体"/>
          <w:b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资料模块管理PDF/DOCX文献及阅读笔记。文件由业务后端保存与解析，文本形成具有修订和定位的检索片段；学生可以请求导读并整理笔记，确认后的笔记供后续问答、周报和研究指导使用。解析未完成或无正文时，系统不能把标题提示当成已经阅读全文。</w:t>
      </w:r>
    </w:p>
    <w:p w14:paraId="13B72C9C">
      <w:pPr>
        <w:widowControl/>
        <w:spacing w:after="120" w:line="360" w:lineRule="auto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资料授权先于检索，Agent通过后端读取范围内的片段，不直接读取整个文件目录。部署上由文件存储、解析服务与检索服务支撑，客户端展示可读资料及结果入口。</w:t>
      </w:r>
    </w:p>
    <w:p w14:paraId="13359391">
      <w:pPr>
        <w:keepNext/>
        <w:spacing w:line="360" w:lineRule="auto"/>
        <w:jc w:val="center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drawing>
          <wp:inline distT="0" distB="0" distL="114300" distR="114300">
            <wp:extent cx="5613400" cy="1871345"/>
            <wp:effectExtent l="0" t="0" r="0" b="8255"/>
            <wp:docPr id="17" name="图片 17" descr="6ea92213c52f0250fd5e5e5255138a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6ea92213c52f0250fd5e5e5255138ae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B6993">
      <w:pPr>
        <w:pStyle w:val="15"/>
        <w:keepNext/>
        <w:spacing w:line="360" w:lineRule="auto"/>
        <w:jc w:val="center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 xml:space="preserve">图 </w:t>
      </w:r>
      <w:r>
        <w:rPr>
          <w:rFonts w:hint="eastAsia" w:ascii="黑体" w:hAnsi="黑体" w:eastAsia="黑体" w:cs="黑体"/>
          <w:color w:val="auto"/>
          <w:sz w:val="24"/>
          <w:szCs w:val="24"/>
        </w:rPr>
        <w:fldChar w:fldCharType="begin"/>
      </w:r>
      <w:r>
        <w:rPr>
          <w:rFonts w:hint="eastAsia" w:ascii="黑体" w:hAnsi="黑体" w:eastAsia="黑体" w:cs="黑体"/>
          <w:color w:val="auto"/>
          <w:sz w:val="24"/>
          <w:szCs w:val="24"/>
        </w:rPr>
        <w:instrText xml:space="preserve"> SEQ 图 \* ARABIC </w:instrText>
      </w:r>
      <w:r>
        <w:rPr>
          <w:rFonts w:hint="eastAsia" w:ascii="黑体" w:hAnsi="黑体" w:eastAsia="黑体" w:cs="黑体"/>
          <w:color w:val="auto"/>
          <w:sz w:val="24"/>
          <w:szCs w:val="24"/>
        </w:rPr>
        <w:fldChar w:fldCharType="separate"/>
      </w:r>
      <w:r>
        <w:rPr>
          <w:rFonts w:hint="eastAsia" w:ascii="黑体" w:hAnsi="黑体" w:eastAsia="黑体" w:cs="黑体"/>
          <w:color w:val="auto"/>
          <w:sz w:val="24"/>
          <w:szCs w:val="24"/>
        </w:rPr>
        <w:t>7</w:t>
      </w:r>
      <w:r>
        <w:rPr>
          <w:rFonts w:hint="eastAsia" w:ascii="黑体" w:hAnsi="黑体" w:eastAsia="黑体" w:cs="黑体"/>
          <w:color w:val="auto"/>
          <w:sz w:val="24"/>
          <w:szCs w:val="24"/>
        </w:rPr>
        <w:fldChar w:fldCharType="end"/>
      </w:r>
      <w:r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  <w:t xml:space="preserve"> 资料模块流程</w:t>
      </w:r>
    </w:p>
    <w:p w14:paraId="12C72C19">
      <w:pPr>
        <w:pStyle w:val="5"/>
        <w:keepNext/>
        <w:widowControl/>
        <w:spacing w:before="140" w:after="140"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黑体" w:hAnsi="黑体" w:eastAsia="黑体" w:cs="黑体"/>
          <w:b/>
          <w:color w:val="000000"/>
          <w:sz w:val="28"/>
          <w:szCs w:val="28"/>
        </w:rPr>
        <w:t>5.2.4 AI助教模块</w:t>
      </w:r>
    </w:p>
    <w:p w14:paraId="301183D7">
      <w:pPr>
        <w:widowControl/>
        <w:spacing w:after="120" w:line="360" w:lineRule="auto"/>
        <w:ind w:firstLine="560" w:firstLineChars="200"/>
        <w:rPr>
          <w:rFonts w:hint="eastAsia" w:ascii="宋体" w:hAnsi="宋体" w:eastAsia="宋体" w:cs="宋体"/>
          <w:b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AI助教围绕当前研究进展接受问题，展示历史对话和推进计划。后端先确定学生、阶段、当前材料与导师要求，再调用Agent进行反馈提取、检索、受限规划和指导生成。聊天页直接显示正文、分析要点、行动步骤和完成条件，详情页提供任务选择、关联与反馈原因填写。</w:t>
      </w:r>
    </w:p>
    <w:p w14:paraId="7564F677">
      <w:pPr>
        <w:widowControl/>
        <w:spacing w:after="120" w:line="360" w:lineRule="auto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材料不足不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val="en-US" w:eastAsia="zh-CN"/>
        </w:rPr>
        <w:t>会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自动使整个回答消失；系统可以给出准备步骤，同时区分已有事实和一般建议。检测到不合格任务关联时，建议继续可读，但不能直接转为错误任务。模型服务失败时展示具体失败类别，并允许重新分析，而不伪造回答。</w:t>
      </w:r>
    </w:p>
    <w:p w14:paraId="10709C00">
      <w:pPr>
        <w:keepNext/>
        <w:spacing w:line="360" w:lineRule="auto"/>
        <w:jc w:val="center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drawing>
          <wp:inline distT="0" distB="0" distL="114300" distR="114300">
            <wp:extent cx="5606415" cy="1868805"/>
            <wp:effectExtent l="0" t="0" r="6985" b="10795"/>
            <wp:docPr id="19" name="图片 19" descr="8769a91441f6317f1ecf2c32f6227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8769a91441f6317f1ecf2c32f62271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06415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0B104">
      <w:pPr>
        <w:pStyle w:val="15"/>
        <w:keepNext/>
        <w:spacing w:line="360" w:lineRule="auto"/>
        <w:jc w:val="center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 xml:space="preserve">图 </w:t>
      </w:r>
      <w:r>
        <w:rPr>
          <w:rFonts w:hint="eastAsia" w:ascii="黑体" w:hAnsi="黑体" w:eastAsia="黑体" w:cs="黑体"/>
          <w:color w:val="auto"/>
          <w:sz w:val="24"/>
          <w:szCs w:val="24"/>
        </w:rPr>
        <w:fldChar w:fldCharType="begin"/>
      </w:r>
      <w:r>
        <w:rPr>
          <w:rFonts w:hint="eastAsia" w:ascii="黑体" w:hAnsi="黑体" w:eastAsia="黑体" w:cs="黑体"/>
          <w:color w:val="auto"/>
          <w:sz w:val="24"/>
          <w:szCs w:val="24"/>
        </w:rPr>
        <w:instrText xml:space="preserve"> SEQ 图 \* ARABIC </w:instrText>
      </w:r>
      <w:r>
        <w:rPr>
          <w:rFonts w:hint="eastAsia" w:ascii="黑体" w:hAnsi="黑体" w:eastAsia="黑体" w:cs="黑体"/>
          <w:color w:val="auto"/>
          <w:sz w:val="24"/>
          <w:szCs w:val="24"/>
        </w:rPr>
        <w:fldChar w:fldCharType="separate"/>
      </w:r>
      <w:r>
        <w:rPr>
          <w:rFonts w:hint="eastAsia" w:ascii="黑体" w:hAnsi="黑体" w:eastAsia="黑体" w:cs="黑体"/>
          <w:color w:val="auto"/>
          <w:sz w:val="24"/>
          <w:szCs w:val="24"/>
        </w:rPr>
        <w:t>8</w:t>
      </w:r>
      <w:r>
        <w:rPr>
          <w:rFonts w:hint="eastAsia" w:ascii="黑体" w:hAnsi="黑体" w:eastAsia="黑体" w:cs="黑体"/>
          <w:color w:val="auto"/>
          <w:sz w:val="24"/>
          <w:szCs w:val="24"/>
        </w:rPr>
        <w:fldChar w:fldCharType="end"/>
      </w:r>
      <w:r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  <w:t xml:space="preserve"> AI助教模块流程</w:t>
      </w:r>
    </w:p>
    <w:p w14:paraId="47CA3320">
      <w:pPr>
        <w:pStyle w:val="5"/>
        <w:keepNext/>
        <w:widowControl/>
        <w:spacing w:before="140" w:after="140"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黑体" w:hAnsi="黑体" w:eastAsia="黑体" w:cs="黑体"/>
          <w:b/>
          <w:color w:val="000000"/>
          <w:sz w:val="28"/>
          <w:szCs w:val="28"/>
        </w:rPr>
        <w:t>5.2.5 我的与师生关系模块</w:t>
      </w:r>
    </w:p>
    <w:p w14:paraId="411BC4BA">
      <w:pPr>
        <w:widowControl/>
        <w:spacing w:after="120" w:line="360" w:lineRule="auto"/>
        <w:ind w:firstLine="560" w:firstLineChars="200"/>
        <w:rPr>
          <w:rFonts w:hint="eastAsia" w:ascii="宋体" w:hAnsi="宋体" w:eastAsia="宋体" w:cs="宋体"/>
          <w:b w:val="0"/>
          <w:color w:val="000000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我的模块提供身份、角色和实验室相关操作入口，导师及学生通过注册、入组申请与审批建立关系。后端保存成员状态并据此裁定其他模块的可见范围，客户端切换当前操作对象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eastAsia="zh-CN"/>
        </w:rPr>
        <w:t>。</w:t>
      </w:r>
    </w:p>
    <w:p w14:paraId="2E8621F7">
      <w:pPr>
        <w:widowControl/>
        <w:spacing w:after="120" w:line="360" w:lineRule="auto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导师科研指导和阶段设置为Agent提供当前培养要求。工具能力由代码中的技能目录提供，并随当前授权资料与研究对象调整可用入口。</w:t>
      </w:r>
    </w:p>
    <w:p w14:paraId="2960C020">
      <w:pPr>
        <w:keepNext/>
        <w:spacing w:line="360" w:lineRule="auto"/>
        <w:jc w:val="center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drawing>
          <wp:inline distT="0" distB="0" distL="114300" distR="114300">
            <wp:extent cx="5606415" cy="1868805"/>
            <wp:effectExtent l="0" t="0" r="6985" b="10795"/>
            <wp:docPr id="20" name="图片 20" descr="2caef04f64cbbfce5dd8f505787bd6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2caef04f64cbbfce5dd8f505787bd62e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06415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EF5F5">
      <w:pPr>
        <w:pStyle w:val="15"/>
        <w:keepNext/>
        <w:spacing w:line="360" w:lineRule="auto"/>
        <w:jc w:val="center"/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 xml:space="preserve">图 </w:t>
      </w:r>
      <w:r>
        <w:rPr>
          <w:rFonts w:hint="eastAsia" w:ascii="黑体" w:hAnsi="黑体" w:eastAsia="黑体" w:cs="黑体"/>
          <w:color w:val="auto"/>
          <w:sz w:val="24"/>
          <w:szCs w:val="24"/>
        </w:rPr>
        <w:fldChar w:fldCharType="begin"/>
      </w:r>
      <w:r>
        <w:rPr>
          <w:rFonts w:hint="eastAsia" w:ascii="黑体" w:hAnsi="黑体" w:eastAsia="黑体" w:cs="黑体"/>
          <w:color w:val="auto"/>
          <w:sz w:val="24"/>
          <w:szCs w:val="24"/>
        </w:rPr>
        <w:instrText xml:space="preserve"> SEQ 图 \* ARABIC </w:instrText>
      </w:r>
      <w:r>
        <w:rPr>
          <w:rFonts w:hint="eastAsia" w:ascii="黑体" w:hAnsi="黑体" w:eastAsia="黑体" w:cs="黑体"/>
          <w:color w:val="auto"/>
          <w:sz w:val="24"/>
          <w:szCs w:val="24"/>
        </w:rPr>
        <w:fldChar w:fldCharType="separate"/>
      </w:r>
      <w:r>
        <w:rPr>
          <w:rFonts w:hint="eastAsia" w:ascii="黑体" w:hAnsi="黑体" w:eastAsia="黑体" w:cs="黑体"/>
          <w:color w:val="auto"/>
          <w:sz w:val="24"/>
          <w:szCs w:val="24"/>
        </w:rPr>
        <w:t>9</w:t>
      </w:r>
      <w:r>
        <w:rPr>
          <w:rFonts w:hint="eastAsia" w:ascii="黑体" w:hAnsi="黑体" w:eastAsia="黑体" w:cs="黑体"/>
          <w:color w:val="auto"/>
          <w:sz w:val="24"/>
          <w:szCs w:val="24"/>
        </w:rPr>
        <w:fldChar w:fldCharType="end"/>
      </w:r>
      <w:r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  <w:t xml:space="preserve"> 身份与成员范围流程</w:t>
      </w:r>
    </w:p>
    <w:p w14:paraId="56FB355E">
      <w:pPr>
        <w:pStyle w:val="5"/>
        <w:keepNext/>
        <w:widowControl/>
        <w:spacing w:before="140" w:after="140"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黑体" w:hAnsi="黑体" w:eastAsia="黑体" w:cs="黑体"/>
          <w:b/>
          <w:color w:val="000000"/>
          <w:sz w:val="28"/>
          <w:szCs w:val="28"/>
        </w:rPr>
        <w:t>5.2.6 论文修订与导师反馈模块</w:t>
      </w:r>
    </w:p>
    <w:p w14:paraId="67299DF9">
      <w:pPr>
        <w:widowControl/>
        <w:spacing w:after="120" w:line="360" w:lineRule="auto"/>
        <w:ind w:firstLine="560" w:firstLineChars="200"/>
        <w:rPr>
          <w:rFonts w:hint="eastAsia" w:ascii="宋体" w:hAnsi="宋体" w:eastAsia="宋体" w:cs="宋体"/>
          <w:b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论文档案保存稿件修订、修改说明和对指定稿次的导师意见。当前版本、反馈来源与共享范围进入Agent上下文；后续建议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val="en-US" w:eastAsia="zh-CN"/>
        </w:rPr>
        <w:t>优先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响应当前反馈，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val="en-US" w:eastAsia="zh-CN"/>
        </w:rPr>
        <w:t>不会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直接复用旧稿意见。周报审阅和论文反馈共同提供经验学习的导师信号。</w:t>
      </w:r>
    </w:p>
    <w:p w14:paraId="7AE91E50">
      <w:pPr>
        <w:widowControl/>
        <w:spacing w:after="120" w:line="360" w:lineRule="auto"/>
        <w:ind w:firstLine="560" w:firstLineChars="200"/>
        <w:jc w:val="left"/>
        <w:rPr>
          <w:rFonts w:hint="eastAsia" w:ascii="宋体" w:hAnsi="宋体" w:eastAsia="宋体" w:cs="宋体"/>
          <w:b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反馈在后端持久化并绑定修订，经验服务使用前再次回查来源。学生修改稿件或补充实验后，新的记录和反馈进入下一次运行，形成能够追溯的科研过程。</w:t>
      </w:r>
    </w:p>
    <w:p w14:paraId="534E8522">
      <w:pPr>
        <w:widowControl/>
        <w:spacing w:after="120" w:line="360" w:lineRule="auto"/>
        <w:jc w:val="center"/>
        <w:rPr>
          <w:rFonts w:hint="eastAsia" w:ascii="黑体" w:hAnsi="黑体" w:eastAsia="黑体" w:cs="黑体"/>
          <w:b/>
          <w:bCs/>
          <w:color w:val="auto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drawing>
          <wp:inline distT="0" distB="0" distL="114300" distR="114300">
            <wp:extent cx="5613400" cy="1871345"/>
            <wp:effectExtent l="0" t="0" r="0" b="8255"/>
            <wp:docPr id="21" name="图片 21" descr="c1634f253385c37822df3fde8095d3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c1634f253385c37822df3fde8095d3f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bCs/>
          <w:color w:val="auto"/>
          <w:sz w:val="24"/>
          <w:szCs w:val="24"/>
          <w:lang w:val="en-US" w:eastAsia="en-US" w:bidi="ar-SA"/>
        </w:rPr>
        <w:t xml:space="preserve">图 </w:t>
      </w:r>
      <w:r>
        <w:rPr>
          <w:rFonts w:hint="eastAsia" w:ascii="黑体" w:hAnsi="黑体" w:eastAsia="黑体" w:cs="黑体"/>
          <w:b/>
          <w:bCs/>
          <w:color w:val="auto"/>
          <w:sz w:val="24"/>
          <w:szCs w:val="24"/>
          <w:lang w:val="en-US" w:eastAsia="en-US" w:bidi="ar-SA"/>
        </w:rPr>
        <w:fldChar w:fldCharType="begin"/>
      </w:r>
      <w:r>
        <w:rPr>
          <w:rFonts w:hint="eastAsia" w:ascii="黑体" w:hAnsi="黑体" w:eastAsia="黑体" w:cs="黑体"/>
          <w:b/>
          <w:bCs/>
          <w:color w:val="auto"/>
          <w:sz w:val="24"/>
          <w:szCs w:val="24"/>
          <w:lang w:val="en-US" w:eastAsia="en-US" w:bidi="ar-SA"/>
        </w:rPr>
        <w:instrText xml:space="preserve"> SEQ 图 \* ARABIC </w:instrText>
      </w:r>
      <w:r>
        <w:rPr>
          <w:rFonts w:hint="eastAsia" w:ascii="黑体" w:hAnsi="黑体" w:eastAsia="黑体" w:cs="黑体"/>
          <w:b/>
          <w:bCs/>
          <w:color w:val="auto"/>
          <w:sz w:val="24"/>
          <w:szCs w:val="24"/>
          <w:lang w:val="en-US" w:eastAsia="en-US" w:bidi="ar-SA"/>
        </w:rPr>
        <w:fldChar w:fldCharType="separate"/>
      </w:r>
      <w:r>
        <w:rPr>
          <w:rFonts w:hint="eastAsia" w:ascii="黑体" w:hAnsi="黑体" w:eastAsia="黑体" w:cs="黑体"/>
          <w:b/>
          <w:bCs/>
          <w:color w:val="auto"/>
          <w:sz w:val="24"/>
          <w:szCs w:val="24"/>
          <w:lang w:val="en-US" w:eastAsia="en-US" w:bidi="ar-SA"/>
        </w:rPr>
        <w:t>10</w:t>
      </w:r>
      <w:r>
        <w:rPr>
          <w:rFonts w:hint="eastAsia" w:ascii="黑体" w:hAnsi="黑体" w:eastAsia="黑体" w:cs="黑体"/>
          <w:b/>
          <w:bCs/>
          <w:color w:val="auto"/>
          <w:sz w:val="24"/>
          <w:szCs w:val="24"/>
          <w:lang w:val="en-US" w:eastAsia="en-US" w:bidi="ar-SA"/>
        </w:rPr>
        <w:fldChar w:fldCharType="end"/>
      </w:r>
      <w:r>
        <w:rPr>
          <w:rFonts w:hint="eastAsia" w:ascii="黑体" w:hAnsi="黑体" w:eastAsia="黑体" w:cs="黑体"/>
          <w:b/>
          <w:bCs/>
          <w:color w:val="auto"/>
          <w:sz w:val="24"/>
          <w:szCs w:val="24"/>
          <w:lang w:val="en-US" w:eastAsia="zh-CN" w:bidi="ar-SA"/>
        </w:rPr>
        <w:t xml:space="preserve"> 稿件与反馈闭环</w:t>
      </w:r>
    </w:p>
    <w:p w14:paraId="696184EB">
      <w:pPr>
        <w:pStyle w:val="3"/>
        <w:keepNext/>
        <w:widowControl/>
        <w:spacing w:before="200" w:after="140" w:line="360" w:lineRule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b/>
          <w:color w:val="000000"/>
          <w:sz w:val="28"/>
          <w:szCs w:val="28"/>
        </w:rPr>
        <w:t>六、数据与预处理</w:t>
      </w:r>
    </w:p>
    <w:p w14:paraId="318B345D">
      <w:pPr>
        <w:pStyle w:val="4"/>
        <w:keepNext/>
        <w:widowControl/>
        <w:spacing w:before="140" w:after="140" w:line="360" w:lineRule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b/>
          <w:color w:val="000000"/>
          <w:sz w:val="28"/>
          <w:szCs w:val="28"/>
        </w:rPr>
        <w:t>6.1 实际使用的数据集</w:t>
      </w:r>
    </w:p>
    <w:tbl>
      <w:tblPr>
        <w:tblStyle w:val="33"/>
        <w:tblW w:w="0" w:type="auto"/>
        <w:jc w:val="center"/>
        <w:tblBorders>
          <w:top w:val="single" w:color="A0AAB6" w:sz="4" w:space="0"/>
          <w:left w:val="single" w:color="A0AAB6" w:sz="4" w:space="0"/>
          <w:bottom w:val="single" w:color="A0AAB6" w:sz="4" w:space="0"/>
          <w:right w:val="single" w:color="A0AAB6" w:sz="4" w:space="0"/>
          <w:insideH w:val="single" w:color="A0AAB6" w:sz="4" w:space="0"/>
          <w:insideV w:val="single" w:color="A0AAB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3798"/>
        <w:gridCol w:w="3883"/>
      </w:tblGrid>
      <w:tr w14:paraId="08EC725B">
        <w:tblPrEx>
          <w:tblBorders>
            <w:top w:val="single" w:color="A0AAB6" w:sz="4" w:space="0"/>
            <w:left w:val="single" w:color="A0AAB6" w:sz="4" w:space="0"/>
            <w:bottom w:val="single" w:color="A0AAB6" w:sz="4" w:space="0"/>
            <w:right w:val="single" w:color="A0AAB6" w:sz="4" w:space="0"/>
            <w:insideH w:val="single" w:color="A0AAB6" w:sz="4" w:space="0"/>
            <w:insideV w:val="single" w:color="A0AAB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34" w:type="dxa"/>
            <w:shd w:val="clear" w:color="auto" w:fill="DCE6F2" w:themeFill="accent1" w:themeFillTint="3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7CCD97">
            <w:pPr>
              <w:keepNext/>
              <w:widowControl/>
              <w:spacing w:before="60" w:after="60" w:line="360" w:lineRule="auto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8"/>
                <w:szCs w:val="28"/>
              </w:rPr>
              <w:t>数据</w:t>
            </w:r>
          </w:p>
        </w:tc>
        <w:tc>
          <w:tcPr>
            <w:tcW w:w="3798" w:type="dxa"/>
            <w:shd w:val="clear" w:color="auto" w:fill="DCE6F2" w:themeFill="accent1" w:themeFillTint="3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350BD5">
            <w:pPr>
              <w:keepNext/>
              <w:widowControl/>
              <w:spacing w:before="60" w:after="60" w:line="360" w:lineRule="auto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8"/>
                <w:szCs w:val="28"/>
              </w:rPr>
              <w:t>规模与来源</w:t>
            </w:r>
          </w:p>
        </w:tc>
        <w:tc>
          <w:tcPr>
            <w:tcW w:w="3883" w:type="dxa"/>
            <w:shd w:val="clear" w:color="auto" w:fill="DCE6F2" w:themeFill="accent1" w:themeFillTint="3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5A2C55">
            <w:pPr>
              <w:keepNext/>
              <w:widowControl/>
              <w:spacing w:before="60" w:after="60" w:line="360" w:lineRule="auto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8"/>
                <w:szCs w:val="28"/>
              </w:rPr>
              <w:t>本项目用途</w:t>
            </w:r>
          </w:p>
        </w:tc>
      </w:tr>
      <w:tr w14:paraId="2E284F89">
        <w:tblPrEx>
          <w:tblBorders>
            <w:top w:val="single" w:color="A0AAB6" w:sz="4" w:space="0"/>
            <w:left w:val="single" w:color="A0AAB6" w:sz="4" w:space="0"/>
            <w:bottom w:val="single" w:color="A0AAB6" w:sz="4" w:space="0"/>
            <w:right w:val="single" w:color="A0AAB6" w:sz="4" w:space="0"/>
            <w:insideH w:val="single" w:color="A0AAB6" w:sz="4" w:space="0"/>
            <w:insideV w:val="single" w:color="A0AAB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D72695">
            <w:pPr>
              <w:keepNext/>
              <w:widowControl/>
              <w:spacing w:before="60" w:after="60" w:line="360" w:lineRule="auto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8"/>
                <w:szCs w:val="28"/>
              </w:rPr>
              <w:t>ARIES专家直接/间接请求标注</w:t>
            </w:r>
          </w:p>
        </w:tc>
        <w:tc>
          <w:tcPr>
            <w:tcW w:w="379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AF5BE6">
            <w:pPr>
              <w:keepNext/>
              <w:widowControl/>
              <w:spacing w:before="60" w:after="60" w:line="360" w:lineRule="auto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8"/>
                <w:szCs w:val="28"/>
              </w:rPr>
              <w:t>官方公开generated_edits文件中85条；57直接请求、28非直接请求，涉及36篇文档</w:t>
            </w:r>
          </w:p>
        </w:tc>
        <w:tc>
          <w:tcPr>
            <w:tcW w:w="38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6B3948">
            <w:pPr>
              <w:keepNext/>
              <w:widowControl/>
              <w:spacing w:before="60" w:after="60" w:line="360" w:lineRule="auto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8"/>
                <w:szCs w:val="28"/>
              </w:rPr>
              <w:t>比较关键词规则与语义提取的反馈识别效果</w:t>
            </w:r>
          </w:p>
        </w:tc>
      </w:tr>
      <w:tr w14:paraId="7E80F15B">
        <w:tblPrEx>
          <w:tblBorders>
            <w:top w:val="single" w:color="A0AAB6" w:sz="4" w:space="0"/>
            <w:left w:val="single" w:color="A0AAB6" w:sz="4" w:space="0"/>
            <w:bottom w:val="single" w:color="A0AAB6" w:sz="4" w:space="0"/>
            <w:right w:val="single" w:color="A0AAB6" w:sz="4" w:space="0"/>
            <w:insideH w:val="single" w:color="A0AAB6" w:sz="4" w:space="0"/>
            <w:insideV w:val="single" w:color="A0AAB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3997A6">
            <w:pPr>
              <w:keepNext/>
              <w:widowControl/>
              <w:spacing w:before="60" w:after="60" w:line="360" w:lineRule="auto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8"/>
                <w:szCs w:val="28"/>
              </w:rPr>
              <w:t>科研反馈合成场景</w:t>
            </w:r>
          </w:p>
        </w:tc>
        <w:tc>
          <w:tcPr>
            <w:tcW w:w="379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3D36BC">
            <w:pPr>
              <w:keepNext/>
              <w:widowControl/>
              <w:spacing w:before="60" w:after="60" w:line="360" w:lineRule="auto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8"/>
                <w:szCs w:val="28"/>
                <w:lang w:val="en-US" w:eastAsia="zh-CN"/>
              </w:rPr>
              <w:t>使用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8"/>
                <w:szCs w:val="28"/>
              </w:rPr>
              <w:t>10个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8"/>
                <w:szCs w:val="28"/>
                <w:lang w:val="en-US" w:eastAsia="zh-CN"/>
              </w:rPr>
              <w:t>真实科研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8"/>
                <w:szCs w:val="28"/>
              </w:rPr>
              <w:t>场景，固定问题、历史反馈和评分要求</w:t>
            </w:r>
          </w:p>
        </w:tc>
        <w:tc>
          <w:tcPr>
            <w:tcW w:w="38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DB8C04">
            <w:pPr>
              <w:keepNext/>
              <w:widowControl/>
              <w:spacing w:before="60" w:after="60" w:line="360" w:lineRule="auto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8"/>
                <w:szCs w:val="28"/>
              </w:rPr>
              <w:t>三组Agent对照及任务依赖回归</w:t>
            </w:r>
          </w:p>
        </w:tc>
      </w:tr>
      <w:tr w14:paraId="036E8290">
        <w:tblPrEx>
          <w:tblBorders>
            <w:top w:val="single" w:color="A0AAB6" w:sz="4" w:space="0"/>
            <w:left w:val="single" w:color="A0AAB6" w:sz="4" w:space="0"/>
            <w:bottom w:val="single" w:color="A0AAB6" w:sz="4" w:space="0"/>
            <w:right w:val="single" w:color="A0AAB6" w:sz="4" w:space="0"/>
            <w:insideH w:val="single" w:color="A0AAB6" w:sz="4" w:space="0"/>
            <w:insideV w:val="single" w:color="A0AAB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671064">
            <w:pPr>
              <w:keepNext/>
              <w:widowControl/>
              <w:spacing w:before="60" w:after="60" w:line="360" w:lineRule="auto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8"/>
                <w:szCs w:val="28"/>
              </w:rPr>
              <w:t>功能可用性合成输入</w:t>
            </w:r>
          </w:p>
        </w:tc>
        <w:tc>
          <w:tcPr>
            <w:tcW w:w="379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4E7077">
            <w:pPr>
              <w:keepNext/>
              <w:widowControl/>
              <w:spacing w:before="60" w:after="60" w:line="360" w:lineRule="auto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8"/>
                <w:szCs w:val="28"/>
              </w:rPr>
              <w:t>六类功能各一次，另补充周报和导读输入</w:t>
            </w:r>
          </w:p>
        </w:tc>
        <w:tc>
          <w:tcPr>
            <w:tcW w:w="38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CF1A0E">
            <w:pPr>
              <w:keepNext/>
              <w:widowControl/>
              <w:spacing w:before="60" w:after="60" w:line="360" w:lineRule="auto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8"/>
                <w:szCs w:val="28"/>
              </w:rPr>
              <w:t>验证是否能生成并显示正文</w:t>
            </w:r>
          </w:p>
        </w:tc>
      </w:tr>
      <w:tr w14:paraId="2FE57B8F">
        <w:tblPrEx>
          <w:tblBorders>
            <w:top w:val="single" w:color="A0AAB6" w:sz="4" w:space="0"/>
            <w:left w:val="single" w:color="A0AAB6" w:sz="4" w:space="0"/>
            <w:bottom w:val="single" w:color="A0AAB6" w:sz="4" w:space="0"/>
            <w:right w:val="single" w:color="A0AAB6" w:sz="4" w:space="0"/>
            <w:insideH w:val="single" w:color="A0AAB6" w:sz="4" w:space="0"/>
            <w:insideV w:val="single" w:color="A0AAB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CDB36F">
            <w:pPr>
              <w:keepNext w:val="0"/>
              <w:widowControl/>
              <w:spacing w:before="60" w:after="60" w:line="360" w:lineRule="auto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8"/>
                <w:szCs w:val="28"/>
              </w:rPr>
              <w:t>SciFact公开科研结论核验</w:t>
            </w:r>
          </w:p>
        </w:tc>
        <w:tc>
          <w:tcPr>
            <w:tcW w:w="379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9CEAF2">
            <w:pPr>
              <w:keepNext w:val="0"/>
              <w:widowControl/>
              <w:spacing w:before="60" w:after="60" w:line="360" w:lineRule="auto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8"/>
                <w:szCs w:val="28"/>
              </w:rPr>
              <w:t>5183篇摘要；809训练、300验证、300无公开标签测试陈述；本次验证集抽30条</w:t>
            </w:r>
          </w:p>
        </w:tc>
        <w:tc>
          <w:tcPr>
            <w:tcW w:w="38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FF7FB2">
            <w:pPr>
              <w:keepNext w:val="0"/>
              <w:widowControl/>
              <w:spacing w:before="60" w:after="60" w:line="360" w:lineRule="auto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8"/>
                <w:szCs w:val="28"/>
              </w:rPr>
              <w:t>三类判断准确率、Macro-F1和证据句F1</w:t>
            </w:r>
          </w:p>
        </w:tc>
      </w:tr>
      <w:tr w14:paraId="19AD193C">
        <w:tblPrEx>
          <w:tblBorders>
            <w:top w:val="single" w:color="A0AAB6" w:sz="4" w:space="0"/>
            <w:left w:val="single" w:color="A0AAB6" w:sz="4" w:space="0"/>
            <w:bottom w:val="single" w:color="A0AAB6" w:sz="4" w:space="0"/>
            <w:right w:val="single" w:color="A0AAB6" w:sz="4" w:space="0"/>
            <w:insideH w:val="single" w:color="A0AAB6" w:sz="4" w:space="0"/>
            <w:insideV w:val="single" w:color="A0AAB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18547D">
            <w:pPr>
              <w:keepNext w:val="0"/>
              <w:widowControl/>
              <w:spacing w:before="60" w:after="60" w:line="360" w:lineRule="auto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8"/>
                <w:szCs w:val="28"/>
              </w:rPr>
              <w:t>QASPER公开论文问答</w:t>
            </w:r>
          </w:p>
        </w:tc>
        <w:tc>
          <w:tcPr>
            <w:tcW w:w="379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3655CE">
            <w:pPr>
              <w:keepNext w:val="0"/>
              <w:widowControl/>
              <w:spacing w:before="60" w:after="60" w:line="360" w:lineRule="auto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8"/>
                <w:szCs w:val="28"/>
              </w:rPr>
              <w:t>1585篇论文、5049问；验证281篇、1005问；本次30篇各抽1问</w:t>
            </w:r>
          </w:p>
        </w:tc>
        <w:tc>
          <w:tcPr>
            <w:tcW w:w="38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87829E">
            <w:pPr>
              <w:keepNext w:val="0"/>
              <w:widowControl/>
              <w:spacing w:before="60" w:after="60" w:line="360" w:lineRule="auto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8"/>
                <w:szCs w:val="28"/>
              </w:rPr>
              <w:t>Answer F1、Evidence F1、EM及可回答性准确率</w:t>
            </w:r>
          </w:p>
        </w:tc>
      </w:tr>
    </w:tbl>
    <w:p w14:paraId="5B22BFC7">
      <w:pPr>
        <w:spacing w:after="40" w:line="360" w:lineRule="auto"/>
        <w:rPr>
          <w:rFonts w:hint="eastAsia" w:ascii="宋体" w:hAnsi="宋体" w:eastAsia="宋体" w:cs="宋体"/>
          <w:sz w:val="28"/>
          <w:szCs w:val="28"/>
        </w:rPr>
      </w:pPr>
    </w:p>
    <w:p w14:paraId="24F19BD8">
      <w:pPr>
        <w:widowControl/>
        <w:spacing w:after="120" w:line="360" w:lineRule="auto"/>
        <w:ind w:firstLine="560" w:firstLineChars="200"/>
        <w:rPr>
          <w:rFonts w:hint="eastAsia" w:ascii="宋体" w:hAnsi="宋体" w:eastAsia="宋体" w:cs="宋体"/>
          <w:b w:val="0"/>
          <w:color w:val="00000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ARIES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eastAsia="zh-CN"/>
        </w:rPr>
        <w:t>（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val="en-US" w:eastAsia="zh-CN"/>
        </w:rPr>
        <w:t>来源https://aclanthology.org/2024.acl-long.377/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eastAsia="zh-CN"/>
        </w:rPr>
        <w:t>）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由科研审稿意见及对应论文修改构成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本项目使用其中专家标注的反馈请求识别子任务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eastAsia="zh-CN"/>
        </w:rPr>
        <w:t>。</w:t>
      </w:r>
    </w:p>
    <w:p w14:paraId="62BC550B">
      <w:pPr>
        <w:widowControl/>
        <w:spacing w:after="120" w:line="360" w:lineRule="auto"/>
        <w:ind w:firstLine="560" w:firstLineChars="200"/>
        <w:rPr>
          <w:rFonts w:hint="eastAsia" w:ascii="宋体" w:hAnsi="宋体" w:eastAsia="宋体" w:cs="宋体"/>
          <w:b w:val="0"/>
          <w:color w:val="000000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SciFact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eastAsia="zh-CN"/>
        </w:rPr>
        <w:t>（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来源https://github.com/allenai/scifact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eastAsia="zh-CN"/>
        </w:rPr>
        <w:t>）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由专家编写科学陈述，并标注摘要中的支持或反驳证据句[5]。本次使用验证集单一引用摘要样本，按支持、反驳、证据不足各抽10条，共30条；模型读取陈述和该摘要全部句子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评价给定摘要的判断能力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eastAsia="zh-CN"/>
        </w:rPr>
        <w:t>。</w:t>
      </w:r>
    </w:p>
    <w:p w14:paraId="4705C09D">
      <w:pPr>
        <w:widowControl/>
        <w:spacing w:after="120" w:line="360" w:lineRule="auto"/>
        <w:ind w:firstLine="560" w:firstLineChars="200"/>
        <w:rPr>
          <w:rFonts w:hint="eastAsia" w:ascii="宋体" w:hAnsi="宋体" w:eastAsia="宋体" w:cs="宋体"/>
          <w:b w:val="0"/>
          <w:color w:val="000000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QASPER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eastAsia="zh-CN"/>
        </w:rPr>
        <w:t>（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val="en-US" w:eastAsia="zh-CN"/>
        </w:rPr>
        <w:t>来源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https://huggingface.co/datasets/allenai/qasper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eastAsia="zh-CN"/>
        </w:rPr>
        <w:t>）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的问题由NLP实践者阅读论文标题和摘要后提出，另一组标注者结合全文提供答案及依据[6]。本次固定30篇不同论文：抽取式8问、自由回答8问、是非8问、不可回答6问；排除答案类型分歧、图表证据和无法映射到正文的样本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eastAsia="zh-CN"/>
        </w:rPr>
        <w:t>；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各组共享BM25取得的最多6段材料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eastAsia="zh-CN"/>
        </w:rPr>
        <w:t>。</w:t>
      </w:r>
    </w:p>
    <w:p w14:paraId="252E8D69">
      <w:pPr>
        <w:pStyle w:val="4"/>
        <w:keepNext/>
        <w:widowControl/>
        <w:spacing w:before="140" w:after="140" w:line="360" w:lineRule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b/>
          <w:color w:val="000000"/>
          <w:sz w:val="28"/>
          <w:szCs w:val="28"/>
        </w:rPr>
        <w:t>6.2 字段与处理协议</w:t>
      </w:r>
    </w:p>
    <w:p w14:paraId="16D3C334">
      <w:pPr>
        <w:widowControl/>
        <w:spacing w:after="120" w:line="360" w:lineRule="auto"/>
        <w:ind w:firstLine="560" w:firstLineChars="200"/>
        <w:rPr>
          <w:rFonts w:hint="eastAsia" w:ascii="宋体" w:hAnsi="宋体" w:eastAsia="宋体" w:cs="宋体"/>
          <w:b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公开诊断输入为审稿意见comment，评价标签为专家directness标记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模型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val="en-US" w:eastAsia="zh-CN"/>
        </w:rPr>
        <w:t>仅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接收意见。语义输出包括原文摘录、直接请求标记、意图类别和修改要求，程序拒绝不合法摘录或字段。缺失预测保留在准确率分母中。</w:t>
      </w:r>
    </w:p>
    <w:p w14:paraId="4033369E">
      <w:pPr>
        <w:widowControl/>
        <w:spacing w:after="120" w:line="360" w:lineRule="auto"/>
        <w:ind w:firstLine="560" w:firstLineChars="200"/>
        <w:rPr>
          <w:rFonts w:hint="eastAsia" w:ascii="宋体" w:hAnsi="宋体" w:eastAsia="宋体" w:cs="宋体"/>
          <w:b w:val="0"/>
          <w:color w:val="000000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val="en-US" w:eastAsia="zh-CN"/>
        </w:rPr>
        <w:t>真实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场景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val="en-US" w:eastAsia="zh-CN"/>
        </w:rPr>
        <w:t>数据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保存case_id、问题、阶段、当前反馈、历史经验和rubric，运行结果保存初稿、检查问题、最终回答、调用次数、tokens和延迟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三组使用相同问题及评分要求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eastAsia="zh-CN"/>
        </w:rPr>
        <w:t>。</w:t>
      </w:r>
    </w:p>
    <w:p w14:paraId="12A70D3D">
      <w:pPr>
        <w:widowControl/>
        <w:spacing w:after="120" w:line="360" w:lineRule="auto"/>
        <w:ind w:firstLine="560" w:firstLineChars="200"/>
        <w:rPr>
          <w:rFonts w:hint="eastAsia" w:ascii="宋体" w:hAnsi="宋体" w:eastAsia="宋体" w:cs="宋体"/>
          <w:b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测试的输入与标签分别保存于inputs.json和gold.json，Java实测只读取前者。抽样种子为20261010，固定样本ID与文件SHA-256；训练与验证陈述ID不相交，QASPER训练与验证论文不相交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eastAsia="zh-CN"/>
        </w:rPr>
        <w:t>；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生成输出、修正次数及失败均保留</w:t>
      </w:r>
      <w:r>
        <w:rPr>
          <w:rFonts w:hint="eastAsia" w:ascii="宋体" w:hAnsi="宋体" w:eastAsia="宋体" w:cs="宋体"/>
          <w:b w:val="0"/>
          <w:color w:val="000000"/>
          <w:sz w:val="28"/>
          <w:szCs w:val="28"/>
          <w:lang w:eastAsia="zh-CN"/>
        </w:rPr>
        <w:t>。</w:t>
      </w:r>
    </w:p>
    <w:p w14:paraId="616C2BEE">
      <w:pPr>
        <w:widowControl/>
        <w:spacing w:after="120" w:line="360" w:lineRule="auto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QASPER正文段落以问题做BM25检索，取前6段，总预算9,000字符、单段最多2,700字符，截断情况单独记录。完整组加入参考训练部分人工编写的代理反馈，再由现有语义提取模块核对原文并复用。</w:t>
      </w:r>
    </w:p>
    <w:p w14:paraId="3FB0DE94">
      <w:pPr>
        <w:pStyle w:val="3"/>
        <w:keepNext/>
        <w:widowControl/>
        <w:spacing w:before="200" w:after="140" w:line="360" w:lineRule="auto"/>
        <w:rPr>
          <w:rFonts w:hint="eastAsia" w:ascii="黑体" w:hAnsi="黑体" w:eastAsia="黑体" w:cs="黑体"/>
          <w:sz w:val="28"/>
          <w:szCs w:val="28"/>
          <w:lang w:eastAsia="zh-CN"/>
        </w:rPr>
      </w:pPr>
      <w:r>
        <w:rPr>
          <w:rFonts w:ascii="宋体" w:eastAsia="微软雅黑"/>
          <w:b/>
          <w:color w:val="000000"/>
          <w:sz w:val="32"/>
        </w:rPr>
        <w:t>七、实验设计与评估指标</w:t>
      </w:r>
    </w:p>
    <w:p w14:paraId="5BD51F0A">
      <w:pPr>
        <w:pStyle w:val="4"/>
        <w:keepNext/>
        <w:widowControl/>
        <w:spacing w:before="140" w:after="140" w:line="360" w:lineRule="auto"/>
        <w:rPr>
          <w:rFonts w:hint="eastAsia" w:ascii="黑体" w:hAnsi="黑体" w:eastAsia="黑体" w:cs="黑体"/>
          <w:b/>
          <w:color w:val="000000"/>
          <w:sz w:val="28"/>
          <w:szCs w:val="28"/>
        </w:rPr>
      </w:pPr>
      <w:r>
        <w:rPr>
          <w:rFonts w:hint="eastAsia" w:ascii="黑体" w:hAnsi="黑体" w:eastAsia="黑体" w:cs="黑体"/>
          <w:b/>
          <w:color w:val="000000"/>
          <w:sz w:val="28"/>
          <w:szCs w:val="28"/>
        </w:rPr>
        <w:t>7.1 评测任务与数据集</w:t>
      </w:r>
    </w:p>
    <w:p w14:paraId="5287D085">
      <w:pPr>
        <w:widowControl/>
        <w:spacing w:after="120" w:line="360" w:lineRule="auto"/>
        <w:ind w:firstLine="560" w:firstLineChars="200"/>
        <w:rPr>
          <w:rFonts w:hint="eastAsia" w:ascii="宋体" w:hAnsi="宋体" w:eastAsia="宋体" w:cs="宋体"/>
          <w:b w:val="0"/>
          <w:color w:val="000000"/>
          <w:sz w:val="28"/>
          <w:szCs w:val="28"/>
        </w:rPr>
      </w:pPr>
      <w:r>
        <w:rPr>
          <w:rFonts w:ascii="宋体" w:eastAsia="宋体"/>
          <w:color w:val="000000"/>
          <w:sz w:val="28"/>
        </w:rPr>
        <w:t>实验围绕科研指导中的反馈理解、结论核验和论文问答三类能力展开，分别使用ARIES、SciFact和QASPER。ARIES选取85条专家标注反馈，其中直接请求57条、非直接请求28条；SciFact从验证集按支持、反驳、证据不足各选10条，共30条；QASPER选取30篇论文各1问，包括抽取式8问、自由回答8问、是非8问和不可回答6问。各任务固定输入、样本编号和评价标签，使用相同材料比较各方法。</w:t>
      </w:r>
    </w:p>
    <w:p w14:paraId="065111FA">
      <w:pPr>
        <w:pStyle w:val="4"/>
        <w:keepNext/>
        <w:widowControl/>
        <w:spacing w:before="140" w:after="140" w:line="360" w:lineRule="auto"/>
        <w:rPr>
          <w:rFonts w:hint="eastAsia" w:ascii="黑体" w:hAnsi="黑体" w:eastAsia="黑体" w:cs="黑体"/>
          <w:b/>
          <w:color w:val="000000"/>
          <w:sz w:val="28"/>
          <w:szCs w:val="28"/>
        </w:rPr>
      </w:pPr>
      <w:r>
        <w:rPr>
          <w:rFonts w:hint="eastAsia" w:ascii="黑体" w:hAnsi="黑体" w:eastAsia="黑体" w:cs="黑体"/>
          <w:b/>
          <w:color w:val="000000"/>
          <w:sz w:val="28"/>
          <w:szCs w:val="28"/>
        </w:rPr>
        <w:t>7.2 方法设置与执行流程</w:t>
      </w:r>
    </w:p>
    <w:p w14:paraId="10905A50">
      <w:pPr>
        <w:widowControl/>
        <w:spacing w:after="120" w:line="360" w:lineRule="auto"/>
        <w:ind w:firstLine="560" w:firstLineChars="200"/>
        <w:rPr>
          <w:rFonts w:hint="eastAsia" w:ascii="宋体" w:hAnsi="宋体" w:eastAsia="宋体" w:cs="宋体"/>
          <w:b w:val="0"/>
          <w:color w:val="000000"/>
          <w:sz w:val="28"/>
          <w:szCs w:val="28"/>
        </w:rPr>
      </w:pPr>
      <w:r>
        <w:rPr>
          <w:rFonts w:ascii="宋体" w:eastAsia="宋体"/>
          <w:color w:val="000000"/>
          <w:sz w:val="28"/>
        </w:rPr>
        <w:t>ARIES比较关键词规则、多数类基线和模型语义提取。模型接收反馈原文，提取直接请求标记、修改要求及原文摘录，并由程序检查输出字段和摘录。SciFact与QASPER采用原有组、受限组和完整组三组对照：原有组使用基础生成流程，受限组加入结构化约束和原文锚点检查，完整组结合反馈经验与语义解释。三组均使用Qwen-plus、温度0和统一输出格式。</w:t>
      </w:r>
    </w:p>
    <w:p w14:paraId="38FAFE91">
      <w:pPr>
        <w:widowControl/>
        <w:spacing w:after="120" w:line="360" w:lineRule="auto"/>
        <w:ind w:firstLine="560" w:firstLineChars="200"/>
        <w:rPr>
          <w:rFonts w:hint="eastAsia" w:ascii="宋体" w:hAnsi="宋体" w:eastAsia="宋体" w:cs="宋体"/>
          <w:b w:val="0"/>
          <w:color w:val="000000"/>
          <w:sz w:val="28"/>
          <w:szCs w:val="28"/>
        </w:rPr>
      </w:pPr>
      <w:r>
        <w:rPr>
          <w:rFonts w:ascii="宋体" w:eastAsia="宋体"/>
          <w:color w:val="000000"/>
          <w:sz w:val="28"/>
        </w:rPr>
        <w:t>SciFact输入科学陈述与对应摘要的全部句子，输出结论类别及证据句。QASPER按问题对论文正文执行BM25检索，三组共享最多6段材料，总预算9000字符，单段最多2700字符，输出答案与依据段落。固定种子20261010随机排列调用顺序，每条最多两次生成，检查未通过时可修正一次。两项任务共保存180条正式回答，并记录模型调用、tokens与耗时。</w:t>
      </w:r>
    </w:p>
    <w:p w14:paraId="2D192F6B">
      <w:pPr>
        <w:pStyle w:val="4"/>
        <w:keepNext/>
        <w:widowControl/>
        <w:spacing w:before="140" w:after="140" w:line="360" w:lineRule="auto"/>
        <w:rPr>
          <w:rFonts w:hint="eastAsia" w:ascii="黑体" w:hAnsi="黑体" w:eastAsia="黑体" w:cs="黑体"/>
          <w:b/>
          <w:color w:val="000000"/>
          <w:sz w:val="28"/>
          <w:szCs w:val="28"/>
        </w:rPr>
      </w:pPr>
      <w:r>
        <w:rPr>
          <w:rFonts w:hint="eastAsia" w:ascii="黑体" w:hAnsi="黑体" w:eastAsia="黑体" w:cs="黑体"/>
          <w:b/>
          <w:color w:val="000000"/>
          <w:sz w:val="28"/>
          <w:szCs w:val="28"/>
        </w:rPr>
        <w:t>7.3 评价指标与统计方法</w:t>
      </w:r>
    </w:p>
    <w:tbl>
      <w:tblPr>
        <w:tblStyle w:val="33"/>
        <w:tblW w:w="0" w:type="auto"/>
        <w:jc w:val="center"/>
        <w:tblBorders>
          <w:top w:val="single" w:color="A0AAB6" w:sz="4" w:space="0"/>
          <w:left w:val="single" w:color="A0AAB6" w:sz="4" w:space="0"/>
          <w:bottom w:val="single" w:color="A0AAB6" w:sz="4" w:space="0"/>
          <w:right w:val="single" w:color="A0AAB6" w:sz="4" w:space="0"/>
          <w:insideH w:val="single" w:color="A0AAB6" w:sz="4" w:space="0"/>
          <w:insideV w:val="single" w:color="A0AAB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7"/>
        <w:gridCol w:w="6208"/>
      </w:tblGrid>
      <w:tr w14:paraId="0A5A736E">
        <w:tblPrEx>
          <w:tblBorders>
            <w:top w:val="single" w:color="A0AAB6" w:sz="4" w:space="0"/>
            <w:left w:val="single" w:color="A0AAB6" w:sz="4" w:space="0"/>
            <w:bottom w:val="single" w:color="A0AAB6" w:sz="4" w:space="0"/>
            <w:right w:val="single" w:color="A0AAB6" w:sz="4" w:space="0"/>
            <w:insideH w:val="single" w:color="A0AAB6" w:sz="4" w:space="0"/>
            <w:insideV w:val="single" w:color="A0AAB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47" w:type="dxa"/>
            <w:shd w:val="clear" w:color="auto" w:fill="DCE6F2" w:themeFill="accent1" w:themeFillTint="3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A1D143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8"/>
                <w:szCs w:val="28"/>
              </w:rPr>
              <w:t>任务</w:t>
            </w:r>
          </w:p>
        </w:tc>
        <w:tc>
          <w:tcPr>
            <w:tcW w:w="6208" w:type="dxa"/>
            <w:shd w:val="clear" w:color="auto" w:fill="DCE6F2" w:themeFill="accent1" w:themeFillTint="3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B2A783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8"/>
                <w:szCs w:val="28"/>
              </w:rPr>
              <w:t>评价指标</w:t>
            </w:r>
          </w:p>
        </w:tc>
      </w:tr>
      <w:tr w14:paraId="0CD887BA">
        <w:tblPrEx>
          <w:tblBorders>
            <w:top w:val="single" w:color="A0AAB6" w:sz="4" w:space="0"/>
            <w:left w:val="single" w:color="A0AAB6" w:sz="4" w:space="0"/>
            <w:bottom w:val="single" w:color="A0AAB6" w:sz="4" w:space="0"/>
            <w:right w:val="single" w:color="A0AAB6" w:sz="4" w:space="0"/>
            <w:insideH w:val="single" w:color="A0AAB6" w:sz="4" w:space="0"/>
            <w:insideV w:val="single" w:color="A0AAB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80404B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8"/>
                <w:szCs w:val="28"/>
              </w:rPr>
              <w:t>ARIES反馈识别</w:t>
            </w:r>
          </w:p>
        </w:tc>
        <w:tc>
          <w:tcPr>
            <w:tcW w:w="62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5A7BCF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8"/>
                <w:szCs w:val="28"/>
              </w:rPr>
              <w:t>Accuracy、Precision、Recall、正类F1</w:t>
            </w:r>
          </w:p>
        </w:tc>
      </w:tr>
      <w:tr w14:paraId="2E35CDCF">
        <w:tblPrEx>
          <w:tblBorders>
            <w:top w:val="single" w:color="A0AAB6" w:sz="4" w:space="0"/>
            <w:left w:val="single" w:color="A0AAB6" w:sz="4" w:space="0"/>
            <w:bottom w:val="single" w:color="A0AAB6" w:sz="4" w:space="0"/>
            <w:right w:val="single" w:color="A0AAB6" w:sz="4" w:space="0"/>
            <w:insideH w:val="single" w:color="A0AAB6" w:sz="4" w:space="0"/>
            <w:insideV w:val="single" w:color="A0AAB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3F23F3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8"/>
                <w:szCs w:val="28"/>
              </w:rPr>
              <w:t>SciFact结论核验</w:t>
            </w:r>
          </w:p>
        </w:tc>
        <w:tc>
          <w:tcPr>
            <w:tcW w:w="62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C84CA2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8"/>
                <w:szCs w:val="28"/>
              </w:rPr>
              <w:t>三类Accuracy、Macro-F1、证据句集合F1、合法格式数</w:t>
            </w:r>
          </w:p>
        </w:tc>
      </w:tr>
      <w:tr w14:paraId="6C7C8AE6">
        <w:tblPrEx>
          <w:tblBorders>
            <w:top w:val="single" w:color="A0AAB6" w:sz="4" w:space="0"/>
            <w:left w:val="single" w:color="A0AAB6" w:sz="4" w:space="0"/>
            <w:bottom w:val="single" w:color="A0AAB6" w:sz="4" w:space="0"/>
            <w:right w:val="single" w:color="A0AAB6" w:sz="4" w:space="0"/>
            <w:insideH w:val="single" w:color="A0AAB6" w:sz="4" w:space="0"/>
            <w:insideV w:val="single" w:color="A0AAB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AF9F51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8"/>
                <w:szCs w:val="28"/>
              </w:rPr>
              <w:t>QASPER论文问答</w:t>
            </w:r>
          </w:p>
        </w:tc>
        <w:tc>
          <w:tcPr>
            <w:tcW w:w="62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B0420C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8"/>
                <w:szCs w:val="28"/>
              </w:rPr>
              <w:t>官方Answer F1与Evidence F1、标准化EM、可回答性Accuracy</w:t>
            </w:r>
          </w:p>
        </w:tc>
      </w:tr>
      <w:tr w14:paraId="59DC745C">
        <w:tblPrEx>
          <w:tblBorders>
            <w:top w:val="single" w:color="A0AAB6" w:sz="4" w:space="0"/>
            <w:left w:val="single" w:color="A0AAB6" w:sz="4" w:space="0"/>
            <w:bottom w:val="single" w:color="A0AAB6" w:sz="4" w:space="0"/>
            <w:right w:val="single" w:color="A0AAB6" w:sz="4" w:space="0"/>
            <w:insideH w:val="single" w:color="A0AAB6" w:sz="4" w:space="0"/>
            <w:insideV w:val="single" w:color="A0AAB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5D42DB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8"/>
                <w:szCs w:val="28"/>
              </w:rPr>
              <w:t>Agent运行与工程验证</w:t>
            </w:r>
          </w:p>
        </w:tc>
        <w:tc>
          <w:tcPr>
            <w:tcW w:w="62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F4C12E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8"/>
                <w:szCs w:val="28"/>
              </w:rPr>
              <w:t>运行完成数、正常返回与补充输入数、平均调用数、tokens、平均延迟、回归检查结果</w:t>
            </w:r>
          </w:p>
        </w:tc>
      </w:tr>
    </w:tbl>
    <w:p w14:paraId="4F015891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560" w:firstLineChars="200"/>
        <w:textAlignment w:val="auto"/>
        <w:rPr>
          <w:rFonts w:hint="eastAsia" w:ascii="宋体" w:hAnsi="宋体" w:eastAsia="宋体" w:cs="宋体"/>
          <w:b w:val="0"/>
          <w:color w:val="000000"/>
          <w:sz w:val="28"/>
          <w:szCs w:val="28"/>
        </w:rPr>
      </w:pPr>
      <w:r>
        <w:rPr>
          <w:rFonts w:ascii="宋体" w:eastAsia="宋体"/>
          <w:color w:val="000000"/>
          <w:sz w:val="28"/>
        </w:rPr>
        <w:t>Accuracy按固定样本计算；Precision=TP/(TP+FP)，Recall=TP/(TP+FN)，F1为精确率与召回率的调和平均，Macro-F1对类别F1取平均。SciFact证据按句子集合计算，多组金标准取最高F1；QASPER使用官方脚本对标准化答案和证据段落评分，多标注取最高得分。各方法按相同任务比较准确率、F1和对应的证据指标，以百分点差值分析指标变化。</w:t>
      </w:r>
    </w:p>
    <w:p w14:paraId="63BC55AF">
      <w:pPr>
        <w:pStyle w:val="4"/>
        <w:keepNext/>
        <w:widowControl/>
        <w:spacing w:before="140" w:after="140" w:line="360" w:lineRule="auto"/>
        <w:rPr>
          <w:rFonts w:hint="eastAsia" w:ascii="黑体" w:hAnsi="黑体" w:eastAsia="黑体" w:cs="黑体"/>
          <w:b/>
          <w:color w:val="000000"/>
          <w:sz w:val="28"/>
          <w:szCs w:val="28"/>
        </w:rPr>
      </w:pPr>
      <w:r>
        <w:rPr>
          <w:rFonts w:hint="eastAsia" w:ascii="黑体" w:hAnsi="黑体" w:eastAsia="黑体" w:cs="黑体"/>
          <w:b/>
          <w:color w:val="000000"/>
          <w:sz w:val="28"/>
          <w:szCs w:val="28"/>
        </w:rPr>
        <w:t>7.4 科研工作流与场景评测</w:t>
      </w:r>
    </w:p>
    <w:p w14:paraId="2FD406A9">
      <w:pPr>
        <w:widowControl/>
        <w:spacing w:after="120" w:line="360" w:lineRule="auto"/>
        <w:ind w:firstLine="560" w:firstLineChars="200"/>
        <w:rPr>
          <w:rFonts w:hint="eastAsia" w:ascii="宋体" w:hAnsi="宋体" w:eastAsia="宋体" w:cs="宋体"/>
          <w:b w:val="0"/>
          <w:color w:val="000000"/>
          <w:sz w:val="28"/>
          <w:szCs w:val="28"/>
        </w:rPr>
      </w:pPr>
      <w:r>
        <w:rPr>
          <w:rFonts w:ascii="宋体" w:eastAsia="宋体"/>
          <w:color w:val="000000"/>
          <w:sz w:val="28"/>
        </w:rPr>
        <w:t>科研工作流对照使用十份真实科研方向材料组织10组场景，覆盖基线安排、消融顺序、报告表达、反馈优先级、任务完成状态、资料范围及依赖关系，保存初稿、最终输出、检查问题和调用成本。按固定rubric逐项评价任务成功率、约束满足率和反馈落实率，评分包将三组回答打乱并单独保存分组映射。工程回归检查任务关联、权限隔离、经验提取与客户端展示。</w:t>
      </w:r>
    </w:p>
    <w:p w14:paraId="3BB34264">
      <w:pPr>
        <w:widowControl/>
        <w:spacing w:after="120" w:line="360" w:lineRule="auto"/>
        <w:ind w:firstLine="560" w:firstLineChars="200"/>
        <w:rPr>
          <w:rFonts w:hint="eastAsia" w:ascii="宋体" w:hAnsi="宋体" w:eastAsia="宋体" w:cs="宋体"/>
          <w:b w:val="0"/>
          <w:color w:val="000000"/>
          <w:sz w:val="28"/>
          <w:szCs w:val="28"/>
        </w:rPr>
      </w:pPr>
      <w:r>
        <w:rPr>
          <w:rFonts w:ascii="宋体" w:eastAsia="宋体"/>
          <w:color w:val="000000"/>
          <w:sz w:val="28"/>
        </w:rPr>
        <w:t>用例集</w:t>
      </w:r>
      <w:r>
        <w:rPr>
          <w:rFonts w:hint="eastAsia" w:ascii="宋体" w:eastAsia="宋体"/>
          <w:color w:val="000000"/>
          <w:sz w:val="28"/>
          <w:lang w:val="en-US" w:eastAsia="zh-CN"/>
        </w:rPr>
        <w:t>则继续使用上文所述数据集</w:t>
      </w:r>
      <w:r>
        <w:rPr>
          <w:rFonts w:ascii="宋体" w:eastAsia="宋体"/>
          <w:color w:val="000000"/>
          <w:sz w:val="28"/>
        </w:rPr>
        <w:t>，每组包含主用例、异常变体和边界变体，围绕资料理解、研究规划、反馈处理与结果复核设置可操作的验收条件。每次运行保存问题、材料版本、来源、回答及任务关联记录，供师生复核。</w:t>
      </w:r>
    </w:p>
    <w:p w14:paraId="6AB5AD42">
      <w:pPr>
        <w:pStyle w:val="3"/>
        <w:keepNext/>
        <w:widowControl/>
        <w:spacing w:before="200" w:after="140" w:line="360" w:lineRule="auto"/>
        <w:rPr>
          <w:rFonts w:hint="eastAsia" w:ascii="黑体" w:hAnsi="黑体" w:eastAsia="黑体" w:cs="黑体"/>
          <w:sz w:val="28"/>
          <w:szCs w:val="28"/>
          <w:lang w:eastAsia="zh-CN"/>
        </w:rPr>
      </w:pPr>
      <w:r>
        <w:rPr>
          <w:rFonts w:ascii="宋体" w:eastAsia="微软雅黑"/>
          <w:b/>
          <w:color w:val="000000"/>
          <w:sz w:val="32"/>
        </w:rPr>
        <w:t>八、测试结果与案例展示</w:t>
      </w:r>
    </w:p>
    <w:p w14:paraId="79B05A29">
      <w:pPr>
        <w:pStyle w:val="4"/>
        <w:keepNext/>
        <w:widowControl/>
        <w:spacing w:before="140" w:after="140" w:line="360" w:lineRule="auto"/>
        <w:rPr>
          <w:rFonts w:hint="eastAsia" w:ascii="黑体" w:hAnsi="黑体" w:eastAsia="黑体" w:cs="黑体"/>
          <w:b/>
          <w:color w:val="000000"/>
          <w:sz w:val="28"/>
          <w:szCs w:val="28"/>
        </w:rPr>
      </w:pPr>
      <w:r>
        <w:rPr>
          <w:rFonts w:hint="eastAsia" w:ascii="黑体" w:hAnsi="黑体" w:eastAsia="黑体" w:cs="黑体"/>
          <w:b/>
          <w:color w:val="000000"/>
          <w:sz w:val="28"/>
          <w:szCs w:val="28"/>
        </w:rPr>
        <w:t>8.1 ARIES反馈识别结果</w:t>
      </w:r>
    </w:p>
    <w:tbl>
      <w:tblPr>
        <w:tblStyle w:val="33"/>
        <w:tblW w:w="0" w:type="auto"/>
        <w:jc w:val="center"/>
        <w:tblBorders>
          <w:top w:val="single" w:color="A0AAB6" w:sz="4" w:space="0"/>
          <w:left w:val="single" w:color="A0AAB6" w:sz="4" w:space="0"/>
          <w:bottom w:val="single" w:color="A0AAB6" w:sz="4" w:space="0"/>
          <w:right w:val="single" w:color="A0AAB6" w:sz="4" w:space="0"/>
          <w:insideH w:val="single" w:color="A0AAB6" w:sz="4" w:space="0"/>
          <w:insideV w:val="single" w:color="A0AAB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0"/>
        <w:gridCol w:w="1450"/>
        <w:gridCol w:w="1450"/>
        <w:gridCol w:w="1450"/>
        <w:gridCol w:w="1450"/>
      </w:tblGrid>
      <w:tr w14:paraId="18A98364">
        <w:tblPrEx>
          <w:tblBorders>
            <w:top w:val="single" w:color="A0AAB6" w:sz="4" w:space="0"/>
            <w:left w:val="single" w:color="A0AAB6" w:sz="4" w:space="0"/>
            <w:bottom w:val="single" w:color="A0AAB6" w:sz="4" w:space="0"/>
            <w:right w:val="single" w:color="A0AAB6" w:sz="4" w:space="0"/>
            <w:insideH w:val="single" w:color="A0AAB6" w:sz="4" w:space="0"/>
            <w:insideV w:val="single" w:color="A0AAB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50" w:type="dxa"/>
            <w:shd w:val="clear" w:color="auto" w:fill="DCE6F2" w:themeFill="accent1" w:themeFillTint="3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32A022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8"/>
                <w:szCs w:val="28"/>
              </w:rPr>
              <w:t>方法</w:t>
            </w:r>
          </w:p>
        </w:tc>
        <w:tc>
          <w:tcPr>
            <w:tcW w:w="1450" w:type="dxa"/>
            <w:shd w:val="clear" w:color="auto" w:fill="DCE6F2" w:themeFill="accent1" w:themeFillTint="3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99287F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8"/>
                <w:szCs w:val="28"/>
              </w:rPr>
              <w:t>准确率</w:t>
            </w:r>
          </w:p>
        </w:tc>
        <w:tc>
          <w:tcPr>
            <w:tcW w:w="1450" w:type="dxa"/>
            <w:shd w:val="clear" w:color="auto" w:fill="DCE6F2" w:themeFill="accent1" w:themeFillTint="3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7944B6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8"/>
                <w:szCs w:val="28"/>
              </w:rPr>
              <w:t>精确率</w:t>
            </w:r>
          </w:p>
        </w:tc>
        <w:tc>
          <w:tcPr>
            <w:tcW w:w="1450" w:type="dxa"/>
            <w:shd w:val="clear" w:color="auto" w:fill="DCE6F2" w:themeFill="accent1" w:themeFillTint="3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9588BB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8"/>
                <w:szCs w:val="28"/>
              </w:rPr>
              <w:t>召回率</w:t>
            </w:r>
          </w:p>
        </w:tc>
        <w:tc>
          <w:tcPr>
            <w:tcW w:w="1450" w:type="dxa"/>
            <w:shd w:val="clear" w:color="auto" w:fill="DCE6F2" w:themeFill="accent1" w:themeFillTint="3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7BCF64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8"/>
                <w:szCs w:val="28"/>
              </w:rPr>
              <w:t>正类F1</w:t>
            </w:r>
          </w:p>
        </w:tc>
      </w:tr>
      <w:tr w14:paraId="7AAF0738">
        <w:tblPrEx>
          <w:tblBorders>
            <w:top w:val="single" w:color="A0AAB6" w:sz="4" w:space="0"/>
            <w:left w:val="single" w:color="A0AAB6" w:sz="4" w:space="0"/>
            <w:bottom w:val="single" w:color="A0AAB6" w:sz="4" w:space="0"/>
            <w:right w:val="single" w:color="A0AAB6" w:sz="4" w:space="0"/>
            <w:insideH w:val="single" w:color="A0AAB6" w:sz="4" w:space="0"/>
            <w:insideV w:val="single" w:color="A0AAB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DB746B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关键词规则</w:t>
            </w:r>
          </w:p>
        </w:tc>
        <w:tc>
          <w:tcPr>
            <w:tcW w:w="14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D07CCA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81.76%</w:t>
            </w:r>
          </w:p>
        </w:tc>
        <w:tc>
          <w:tcPr>
            <w:tcW w:w="14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F30D28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94.44%</w:t>
            </w:r>
          </w:p>
        </w:tc>
        <w:tc>
          <w:tcPr>
            <w:tcW w:w="14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251BFD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89.82%</w:t>
            </w:r>
          </w:p>
        </w:tc>
        <w:tc>
          <w:tcPr>
            <w:tcW w:w="14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AA1294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92.07%</w:t>
            </w:r>
          </w:p>
        </w:tc>
      </w:tr>
      <w:tr w14:paraId="7D42BCEC">
        <w:tblPrEx>
          <w:tblBorders>
            <w:top w:val="single" w:color="A0AAB6" w:sz="4" w:space="0"/>
            <w:left w:val="single" w:color="A0AAB6" w:sz="4" w:space="0"/>
            <w:bottom w:val="single" w:color="A0AAB6" w:sz="4" w:space="0"/>
            <w:right w:val="single" w:color="A0AAB6" w:sz="4" w:space="0"/>
            <w:insideH w:val="single" w:color="A0AAB6" w:sz="4" w:space="0"/>
            <w:insideV w:val="single" w:color="A0AAB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DB93C4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全部预测为直接请求</w:t>
            </w:r>
          </w:p>
        </w:tc>
        <w:tc>
          <w:tcPr>
            <w:tcW w:w="14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662685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87.06%</w:t>
            </w:r>
          </w:p>
        </w:tc>
        <w:tc>
          <w:tcPr>
            <w:tcW w:w="14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2B9F5E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67.06%</w:t>
            </w:r>
          </w:p>
        </w:tc>
        <w:tc>
          <w:tcPr>
            <w:tcW w:w="14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1CC496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100%</w:t>
            </w:r>
          </w:p>
        </w:tc>
        <w:tc>
          <w:tcPr>
            <w:tcW w:w="14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B8711E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80.28%</w:t>
            </w:r>
          </w:p>
        </w:tc>
      </w:tr>
      <w:tr w14:paraId="5948DBB2">
        <w:tblPrEx>
          <w:tblBorders>
            <w:top w:val="single" w:color="A0AAB6" w:sz="4" w:space="0"/>
            <w:left w:val="single" w:color="A0AAB6" w:sz="4" w:space="0"/>
            <w:bottom w:val="single" w:color="A0AAB6" w:sz="4" w:space="0"/>
            <w:right w:val="single" w:color="A0AAB6" w:sz="4" w:space="0"/>
            <w:insideH w:val="single" w:color="A0AAB6" w:sz="4" w:space="0"/>
            <w:insideV w:val="single" w:color="A0AAB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85C0B0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语义提取</w:t>
            </w:r>
          </w:p>
        </w:tc>
        <w:tc>
          <w:tcPr>
            <w:tcW w:w="14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4A77BE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89.41%</w:t>
            </w:r>
          </w:p>
        </w:tc>
        <w:tc>
          <w:tcPr>
            <w:tcW w:w="14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563BDA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87.50%</w:t>
            </w:r>
          </w:p>
        </w:tc>
        <w:tc>
          <w:tcPr>
            <w:tcW w:w="14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9BB3D0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83.68%</w:t>
            </w:r>
          </w:p>
        </w:tc>
        <w:tc>
          <w:tcPr>
            <w:tcW w:w="14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CB498C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85.55%</w:t>
            </w:r>
          </w:p>
        </w:tc>
      </w:tr>
    </w:tbl>
    <w:p w14:paraId="3D7B7A91">
      <w:pPr>
        <w:widowControl/>
        <w:spacing w:after="120" w:line="360" w:lineRule="auto"/>
        <w:ind w:firstLine="560" w:firstLineChars="200"/>
        <w:rPr>
          <w:rFonts w:hint="eastAsia" w:ascii="宋体" w:hAnsi="宋体" w:eastAsia="宋体" w:cs="宋体"/>
          <w:b w:val="0"/>
          <w:color w:val="000000"/>
          <w:sz w:val="28"/>
          <w:szCs w:val="28"/>
        </w:rPr>
      </w:pPr>
      <w:r>
        <w:rPr>
          <w:rFonts w:ascii="宋体" w:eastAsia="宋体"/>
          <w:color w:val="000000"/>
          <w:sz w:val="28"/>
        </w:rPr>
        <w:t>语义提取准确率为89.41%，较关键词规则提高7.65个百分点，较多数类基线提高2.35个百分点。关键词规则精确率为94.44%、召回率为89.82%，正类F1为92.07%；语义提取精确率为87.50%、召回率为83.68%，正类F1为85.55%。语义提取在总体分类准确率上表现较好，关键词规则在直接请求的精确率、召回率及F1上具有较高表现，体现两类方法的不同特征。</w:t>
      </w:r>
    </w:p>
    <w:p w14:paraId="0E4CFFD4">
      <w:pPr>
        <w:widowControl/>
        <w:spacing w:after="120" w:line="360" w:lineRule="auto"/>
        <w:ind w:firstLine="560" w:firstLineChars="200"/>
        <w:rPr>
          <w:rFonts w:hint="eastAsia" w:ascii="宋体" w:hAnsi="宋体" w:eastAsia="宋体" w:cs="宋体"/>
          <w:b w:val="0"/>
          <w:color w:val="000000"/>
          <w:sz w:val="28"/>
          <w:szCs w:val="28"/>
        </w:rPr>
      </w:pPr>
      <w:r>
        <w:rPr>
          <w:rFonts w:ascii="宋体" w:eastAsia="宋体"/>
          <w:color w:val="000000"/>
          <w:sz w:val="28"/>
        </w:rPr>
        <w:t>直接请求的F1按表中精确率与召回率计算，为二者的调和平均。多数类基线正类F1为80.28%，语义提取高出5.27个百分点。结合准确率和直接请求指标，可从整体分类表现与目标请求识别质量两个角度评估反馈理解能力。</w:t>
      </w:r>
    </w:p>
    <w:p w14:paraId="79EEDC1D">
      <w:pPr>
        <w:pStyle w:val="4"/>
        <w:keepNext/>
        <w:widowControl/>
        <w:spacing w:before="140" w:after="140"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黑体" w:hAnsi="黑体" w:eastAsia="黑体" w:cs="黑体"/>
          <w:b/>
          <w:color w:val="000000"/>
          <w:sz w:val="28"/>
          <w:szCs w:val="28"/>
        </w:rPr>
        <w:t>8.2 SciFact科研结论核验结果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1890"/>
        <w:gridCol w:w="2226"/>
        <w:gridCol w:w="1361"/>
        <w:gridCol w:w="1417"/>
        <w:gridCol w:w="1417"/>
      </w:tblGrid>
      <w:tr w14:paraId="497ADA3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1890" w:type="dxa"/>
            <w:shd w:val="clear" w:color="auto" w:fill="DCE6F2" w:themeFill="accent1" w:themeFillTint="32"/>
            <w:vAlign w:val="center"/>
          </w:tcPr>
          <w:p w14:paraId="1F7511F6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8"/>
                <w:szCs w:val="28"/>
              </w:rPr>
              <w:t>方法</w:t>
            </w:r>
          </w:p>
        </w:tc>
        <w:tc>
          <w:tcPr>
            <w:tcW w:w="2226" w:type="dxa"/>
            <w:shd w:val="clear" w:color="auto" w:fill="DCE6F2" w:themeFill="accent1" w:themeFillTint="32"/>
            <w:vAlign w:val="center"/>
          </w:tcPr>
          <w:p w14:paraId="723BD373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8"/>
                <w:szCs w:val="28"/>
              </w:rPr>
              <w:t>标签准确率</w:t>
            </w:r>
          </w:p>
        </w:tc>
        <w:tc>
          <w:tcPr>
            <w:tcW w:w="1361" w:type="dxa"/>
            <w:shd w:val="clear" w:color="auto" w:fill="DCE6F2" w:themeFill="accent1" w:themeFillTint="32"/>
            <w:vAlign w:val="center"/>
          </w:tcPr>
          <w:p w14:paraId="3DD2C42E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8"/>
                <w:szCs w:val="28"/>
              </w:rPr>
              <w:t>Macro-F1</w:t>
            </w:r>
          </w:p>
        </w:tc>
        <w:tc>
          <w:tcPr>
            <w:tcW w:w="1417" w:type="dxa"/>
            <w:shd w:val="clear" w:color="auto" w:fill="DCE6F2" w:themeFill="accent1" w:themeFillTint="32"/>
            <w:vAlign w:val="center"/>
          </w:tcPr>
          <w:p w14:paraId="7474DB23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8"/>
                <w:szCs w:val="28"/>
              </w:rPr>
              <w:t>证据句F1</w:t>
            </w:r>
          </w:p>
        </w:tc>
        <w:tc>
          <w:tcPr>
            <w:tcW w:w="1417" w:type="dxa"/>
            <w:shd w:val="clear" w:color="auto" w:fill="DCE6F2" w:themeFill="accent1" w:themeFillTint="32"/>
            <w:vAlign w:val="center"/>
          </w:tcPr>
          <w:p w14:paraId="1DF60D76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8"/>
                <w:szCs w:val="28"/>
              </w:rPr>
              <w:t>合法格式</w:t>
            </w:r>
          </w:p>
        </w:tc>
      </w:tr>
      <w:tr w14:paraId="7923FAC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  <w:jc w:val="center"/>
        </w:trPr>
        <w:tc>
          <w:tcPr>
            <w:tcW w:w="1890" w:type="dxa"/>
            <w:vAlign w:val="center"/>
          </w:tcPr>
          <w:p w14:paraId="5F7B0D1B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原有组</w:t>
            </w:r>
          </w:p>
        </w:tc>
        <w:tc>
          <w:tcPr>
            <w:tcW w:w="2226" w:type="dxa"/>
            <w:vAlign w:val="center"/>
          </w:tcPr>
          <w:p w14:paraId="2C435371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70.00%</w:t>
            </w:r>
          </w:p>
        </w:tc>
        <w:tc>
          <w:tcPr>
            <w:tcW w:w="1361" w:type="dxa"/>
            <w:vAlign w:val="center"/>
          </w:tcPr>
          <w:p w14:paraId="37182252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70.37%</w:t>
            </w:r>
          </w:p>
        </w:tc>
        <w:tc>
          <w:tcPr>
            <w:tcW w:w="1417" w:type="dxa"/>
            <w:vAlign w:val="center"/>
          </w:tcPr>
          <w:p w14:paraId="02FAFF60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59.53%</w:t>
            </w:r>
          </w:p>
        </w:tc>
        <w:tc>
          <w:tcPr>
            <w:tcW w:w="1417" w:type="dxa"/>
            <w:vAlign w:val="center"/>
          </w:tcPr>
          <w:p w14:paraId="14013622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30/30</w:t>
            </w:r>
          </w:p>
        </w:tc>
      </w:tr>
      <w:tr w14:paraId="371F92E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  <w:jc w:val="center"/>
        </w:trPr>
        <w:tc>
          <w:tcPr>
            <w:tcW w:w="1890" w:type="dxa"/>
            <w:vAlign w:val="center"/>
          </w:tcPr>
          <w:p w14:paraId="2D51E163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受限组</w:t>
            </w:r>
          </w:p>
        </w:tc>
        <w:tc>
          <w:tcPr>
            <w:tcW w:w="2226" w:type="dxa"/>
            <w:vAlign w:val="center"/>
          </w:tcPr>
          <w:p w14:paraId="67E37476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80.00%</w:t>
            </w:r>
          </w:p>
        </w:tc>
        <w:tc>
          <w:tcPr>
            <w:tcW w:w="1361" w:type="dxa"/>
            <w:vAlign w:val="center"/>
          </w:tcPr>
          <w:p w14:paraId="1E11820A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80.12%</w:t>
            </w:r>
          </w:p>
        </w:tc>
        <w:tc>
          <w:tcPr>
            <w:tcW w:w="1417" w:type="dxa"/>
            <w:vAlign w:val="center"/>
          </w:tcPr>
          <w:p w14:paraId="16A086BB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63.62%</w:t>
            </w:r>
          </w:p>
        </w:tc>
        <w:tc>
          <w:tcPr>
            <w:tcW w:w="1417" w:type="dxa"/>
            <w:vAlign w:val="center"/>
          </w:tcPr>
          <w:p w14:paraId="3658C7AA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30/30</w:t>
            </w:r>
          </w:p>
        </w:tc>
      </w:tr>
      <w:tr w14:paraId="13B130B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  <w:jc w:val="center"/>
        </w:trPr>
        <w:tc>
          <w:tcPr>
            <w:tcW w:w="1890" w:type="dxa"/>
            <w:vAlign w:val="center"/>
          </w:tcPr>
          <w:p w14:paraId="65B3D1B8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完整组</w:t>
            </w:r>
          </w:p>
        </w:tc>
        <w:tc>
          <w:tcPr>
            <w:tcW w:w="2226" w:type="dxa"/>
            <w:vAlign w:val="center"/>
          </w:tcPr>
          <w:p w14:paraId="11987CFA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83.33%</w:t>
            </w:r>
          </w:p>
        </w:tc>
        <w:tc>
          <w:tcPr>
            <w:tcW w:w="1361" w:type="dxa"/>
            <w:vAlign w:val="center"/>
          </w:tcPr>
          <w:p w14:paraId="18BED8EB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87.38%</w:t>
            </w:r>
          </w:p>
        </w:tc>
        <w:tc>
          <w:tcPr>
            <w:tcW w:w="1417" w:type="dxa"/>
            <w:vAlign w:val="center"/>
          </w:tcPr>
          <w:p w14:paraId="435DF447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53.74%</w:t>
            </w:r>
          </w:p>
        </w:tc>
        <w:tc>
          <w:tcPr>
            <w:tcW w:w="1417" w:type="dxa"/>
            <w:vAlign w:val="center"/>
          </w:tcPr>
          <w:p w14:paraId="56DA8D54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26/30</w:t>
            </w:r>
          </w:p>
        </w:tc>
      </w:tr>
    </w:tbl>
    <w:p w14:paraId="280C9902">
      <w:pPr>
        <w:widowControl/>
        <w:spacing w:after="120" w:line="360" w:lineRule="auto"/>
        <w:ind w:firstLine="560" w:firstLineChars="200"/>
        <w:rPr>
          <w:rFonts w:hint="eastAsia" w:ascii="宋体" w:hAnsi="宋体" w:eastAsia="宋体" w:cs="宋体"/>
          <w:b w:val="0"/>
          <w:color w:val="000000"/>
          <w:sz w:val="28"/>
          <w:szCs w:val="28"/>
        </w:rPr>
      </w:pPr>
      <w:r>
        <w:rPr>
          <w:rFonts w:ascii="宋体" w:eastAsia="宋体"/>
          <w:color w:val="000000"/>
          <w:sz w:val="28"/>
        </w:rPr>
        <w:t>SciFact受限组准确率达到80.00%，较原有组提高10.00个百分点；完整组进一步达到83.33%，较原有组提高13.33个百分点。Macro-F1由原有组的70.37%提高至受限组的80.12%和完整组的87.38%，完整组提高17.01个百分点，表明其在三类结论识别上具有较好的综合表现。</w:t>
      </w:r>
    </w:p>
    <w:p w14:paraId="3AA5B062">
      <w:pPr>
        <w:widowControl/>
        <w:spacing w:after="120" w:line="360" w:lineRule="auto"/>
        <w:ind w:firstLine="560" w:firstLineChars="200"/>
        <w:rPr>
          <w:rFonts w:hint="eastAsia" w:ascii="宋体" w:hAnsi="宋体" w:eastAsia="宋体" w:cs="宋体"/>
          <w:b w:val="0"/>
          <w:color w:val="000000"/>
          <w:sz w:val="28"/>
          <w:szCs w:val="28"/>
        </w:rPr>
      </w:pPr>
      <w:r>
        <w:rPr>
          <w:rFonts w:ascii="宋体" w:eastAsia="宋体"/>
          <w:color w:val="000000"/>
          <w:sz w:val="28"/>
        </w:rPr>
        <w:t>证据句F1分别为59.53%、63.62%和53.74%。受限组较原有组提高4.09个百分点，完整组较原有组降低5.79个百分点。结论分类与证据选择呈现不同变化，说明标签判断的提升需要配合更完整的证据组织。三组合法格式分别为30/30、30/30和26/30，输出结构稳定性也是影响评测表现的因素。</w:t>
      </w:r>
    </w:p>
    <w:p w14:paraId="408FC50F">
      <w:pPr>
        <w:pStyle w:val="4"/>
        <w:keepNext/>
        <w:widowControl/>
        <w:spacing w:before="140" w:after="140" w:line="360" w:lineRule="auto"/>
        <w:rPr>
          <w:rFonts w:hint="eastAsia" w:ascii="黑体" w:hAnsi="黑体" w:eastAsia="黑体" w:cs="黑体"/>
          <w:b/>
          <w:color w:val="000000"/>
          <w:sz w:val="28"/>
          <w:szCs w:val="28"/>
        </w:rPr>
      </w:pPr>
      <w:r>
        <w:rPr>
          <w:rFonts w:hint="eastAsia" w:ascii="黑体" w:hAnsi="黑体" w:eastAsia="黑体" w:cs="黑体"/>
          <w:b/>
          <w:color w:val="000000"/>
          <w:sz w:val="28"/>
          <w:szCs w:val="28"/>
        </w:rPr>
        <w:t>8.3 QASPER论文问答结果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1759"/>
        <w:gridCol w:w="1747"/>
        <w:gridCol w:w="1976"/>
        <w:gridCol w:w="1247"/>
        <w:gridCol w:w="1474"/>
      </w:tblGrid>
      <w:tr w14:paraId="23428E7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1759" w:type="dxa"/>
            <w:shd w:val="clear" w:color="auto" w:fill="DCE6F2" w:themeFill="accent1" w:themeFillTint="32"/>
            <w:vAlign w:val="center"/>
          </w:tcPr>
          <w:p w14:paraId="4D95F75B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8"/>
                <w:szCs w:val="28"/>
              </w:rPr>
              <w:t>方法</w:t>
            </w:r>
          </w:p>
        </w:tc>
        <w:tc>
          <w:tcPr>
            <w:tcW w:w="1747" w:type="dxa"/>
            <w:shd w:val="clear" w:color="auto" w:fill="DCE6F2" w:themeFill="accent1" w:themeFillTint="32"/>
            <w:vAlign w:val="center"/>
          </w:tcPr>
          <w:p w14:paraId="5C5B8916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8"/>
                <w:szCs w:val="28"/>
              </w:rPr>
              <w:t>Answer F1</w:t>
            </w:r>
          </w:p>
        </w:tc>
        <w:tc>
          <w:tcPr>
            <w:tcW w:w="1976" w:type="dxa"/>
            <w:shd w:val="clear" w:color="auto" w:fill="DCE6F2" w:themeFill="accent1" w:themeFillTint="32"/>
            <w:vAlign w:val="center"/>
          </w:tcPr>
          <w:p w14:paraId="2E07069E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8"/>
                <w:szCs w:val="28"/>
              </w:rPr>
              <w:t>Evidence F1</w:t>
            </w:r>
          </w:p>
        </w:tc>
        <w:tc>
          <w:tcPr>
            <w:tcW w:w="1247" w:type="dxa"/>
            <w:shd w:val="clear" w:color="auto" w:fill="DCE6F2" w:themeFill="accent1" w:themeFillTint="32"/>
            <w:vAlign w:val="center"/>
          </w:tcPr>
          <w:p w14:paraId="6903C43F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8"/>
                <w:szCs w:val="28"/>
              </w:rPr>
              <w:t>EM</w:t>
            </w:r>
          </w:p>
        </w:tc>
        <w:tc>
          <w:tcPr>
            <w:tcW w:w="1474" w:type="dxa"/>
            <w:shd w:val="clear" w:color="auto" w:fill="DCE6F2" w:themeFill="accent1" w:themeFillTint="32"/>
            <w:vAlign w:val="center"/>
          </w:tcPr>
          <w:p w14:paraId="4040261B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8"/>
                <w:szCs w:val="28"/>
              </w:rPr>
              <w:t>可回答性</w:t>
            </w:r>
          </w:p>
        </w:tc>
      </w:tr>
      <w:tr w14:paraId="10F3B48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  <w:jc w:val="center"/>
        </w:trPr>
        <w:tc>
          <w:tcPr>
            <w:tcW w:w="1759" w:type="dxa"/>
            <w:vAlign w:val="center"/>
          </w:tcPr>
          <w:p w14:paraId="0DB31342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原有组</w:t>
            </w:r>
          </w:p>
        </w:tc>
        <w:tc>
          <w:tcPr>
            <w:tcW w:w="1747" w:type="dxa"/>
            <w:vAlign w:val="center"/>
          </w:tcPr>
          <w:p w14:paraId="599A9AA1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46.24%</w:t>
            </w:r>
          </w:p>
        </w:tc>
        <w:tc>
          <w:tcPr>
            <w:tcW w:w="1976" w:type="dxa"/>
            <w:vAlign w:val="center"/>
          </w:tcPr>
          <w:p w14:paraId="72868B31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40.44%</w:t>
            </w:r>
          </w:p>
        </w:tc>
        <w:tc>
          <w:tcPr>
            <w:tcW w:w="1247" w:type="dxa"/>
            <w:vAlign w:val="center"/>
          </w:tcPr>
          <w:p w14:paraId="62E90DB2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26.67%</w:t>
            </w:r>
          </w:p>
        </w:tc>
        <w:tc>
          <w:tcPr>
            <w:tcW w:w="1474" w:type="dxa"/>
            <w:vAlign w:val="center"/>
          </w:tcPr>
          <w:p w14:paraId="4AAF0093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70.00%</w:t>
            </w:r>
          </w:p>
        </w:tc>
      </w:tr>
      <w:tr w14:paraId="241BD65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  <w:jc w:val="center"/>
        </w:trPr>
        <w:tc>
          <w:tcPr>
            <w:tcW w:w="1759" w:type="dxa"/>
            <w:vAlign w:val="center"/>
          </w:tcPr>
          <w:p w14:paraId="7765213D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受限组</w:t>
            </w:r>
          </w:p>
        </w:tc>
        <w:tc>
          <w:tcPr>
            <w:tcW w:w="1747" w:type="dxa"/>
            <w:vAlign w:val="center"/>
          </w:tcPr>
          <w:p w14:paraId="7C5D97FF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76.13%</w:t>
            </w:r>
          </w:p>
        </w:tc>
        <w:tc>
          <w:tcPr>
            <w:tcW w:w="1976" w:type="dxa"/>
            <w:vAlign w:val="center"/>
          </w:tcPr>
          <w:p w14:paraId="254DDD85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45.00%</w:t>
            </w:r>
          </w:p>
        </w:tc>
        <w:tc>
          <w:tcPr>
            <w:tcW w:w="1247" w:type="dxa"/>
            <w:vAlign w:val="center"/>
          </w:tcPr>
          <w:p w14:paraId="3FFB3AEF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26.67%</w:t>
            </w:r>
          </w:p>
        </w:tc>
        <w:tc>
          <w:tcPr>
            <w:tcW w:w="1474" w:type="dxa"/>
            <w:vAlign w:val="center"/>
          </w:tcPr>
          <w:p w14:paraId="73CD79A5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66.67%</w:t>
            </w:r>
          </w:p>
        </w:tc>
      </w:tr>
      <w:tr w14:paraId="78164E3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  <w:jc w:val="center"/>
        </w:trPr>
        <w:tc>
          <w:tcPr>
            <w:tcW w:w="1759" w:type="dxa"/>
            <w:vAlign w:val="center"/>
          </w:tcPr>
          <w:p w14:paraId="44E97E85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完整组</w:t>
            </w:r>
          </w:p>
        </w:tc>
        <w:tc>
          <w:tcPr>
            <w:tcW w:w="1747" w:type="dxa"/>
            <w:vAlign w:val="center"/>
          </w:tcPr>
          <w:p w14:paraId="40013A29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87.39%</w:t>
            </w:r>
          </w:p>
        </w:tc>
        <w:tc>
          <w:tcPr>
            <w:tcW w:w="1976" w:type="dxa"/>
            <w:vAlign w:val="center"/>
          </w:tcPr>
          <w:p w14:paraId="48BFCD06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36.56%</w:t>
            </w:r>
          </w:p>
        </w:tc>
        <w:tc>
          <w:tcPr>
            <w:tcW w:w="1247" w:type="dxa"/>
            <w:vAlign w:val="center"/>
          </w:tcPr>
          <w:p w14:paraId="51A3AC62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23.33%</w:t>
            </w:r>
          </w:p>
        </w:tc>
        <w:tc>
          <w:tcPr>
            <w:tcW w:w="1474" w:type="dxa"/>
            <w:vAlign w:val="center"/>
          </w:tcPr>
          <w:p w14:paraId="04D1310A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60.00%</w:t>
            </w:r>
          </w:p>
        </w:tc>
      </w:tr>
    </w:tbl>
    <w:p w14:paraId="6DE40757">
      <w:pPr>
        <w:widowControl/>
        <w:spacing w:after="120" w:line="360" w:lineRule="auto"/>
        <w:ind w:firstLine="560" w:firstLineChars="200"/>
        <w:rPr>
          <w:rFonts w:hint="eastAsia" w:ascii="宋体" w:hAnsi="宋体" w:eastAsia="宋体" w:cs="宋体"/>
          <w:b w:val="0"/>
          <w:color w:val="000000"/>
          <w:sz w:val="28"/>
          <w:szCs w:val="28"/>
        </w:rPr>
      </w:pPr>
      <w:r>
        <w:rPr>
          <w:rFonts w:ascii="宋体" w:eastAsia="宋体"/>
          <w:color w:val="000000"/>
          <w:sz w:val="28"/>
        </w:rPr>
        <w:t>QASPER的Answer F1由原有组46.24%提高至受限组76.13%，完整组达到87.39%。受限组较原有组提高29.89个百分点，完整组提高41.15个百分点，较受限组进一步提高11.26个百分点，体现结构化约束与反馈经验在论文问答中的应用价值。</w:t>
      </w:r>
    </w:p>
    <w:p w14:paraId="56A37BEB">
      <w:pPr>
        <w:widowControl/>
        <w:spacing w:after="120" w:line="360" w:lineRule="auto"/>
        <w:ind w:firstLine="560" w:firstLineChars="200"/>
        <w:rPr>
          <w:rFonts w:hint="eastAsia" w:ascii="宋体" w:hAnsi="宋体" w:eastAsia="宋体" w:cs="宋体"/>
          <w:b w:val="0"/>
          <w:color w:val="000000"/>
          <w:sz w:val="28"/>
          <w:szCs w:val="28"/>
        </w:rPr>
      </w:pPr>
      <w:r>
        <w:rPr>
          <w:rFonts w:ascii="宋体" w:eastAsia="宋体"/>
          <w:color w:val="000000"/>
          <w:sz w:val="28"/>
        </w:rPr>
        <w:t>Evidence F1分别为40.44%、45.00%和36.56%，受限组较原有组提高4.56个百分点，完整组降低3.88个百分点。三组EM分别为26.67%、26.67%和23.33%，可回答性准确率分别为70.00%、66.67%和60.00%。答案F1与证据及完全匹配指标的差异表明，回答内容的匹配提升仍需要与出处组织和可回答性判断协调。</w:t>
      </w:r>
    </w:p>
    <w:p w14:paraId="7A400B6C">
      <w:pPr>
        <w:pStyle w:val="4"/>
        <w:keepNext/>
        <w:widowControl/>
        <w:spacing w:before="140" w:after="140" w:line="360" w:lineRule="auto"/>
        <w:rPr>
          <w:rFonts w:hint="eastAsia" w:ascii="黑体" w:hAnsi="黑体" w:eastAsia="黑体" w:cs="黑体"/>
          <w:b/>
          <w:color w:val="000000"/>
          <w:sz w:val="28"/>
          <w:szCs w:val="28"/>
        </w:rPr>
      </w:pPr>
      <w:r>
        <w:rPr>
          <w:rFonts w:hint="eastAsia" w:ascii="黑体" w:hAnsi="黑体" w:eastAsia="黑体" w:cs="黑体"/>
          <w:b/>
          <w:color w:val="000000"/>
          <w:sz w:val="28"/>
          <w:szCs w:val="28"/>
        </w:rPr>
        <w:t>8.4 运行成本与综合分析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2577"/>
        <w:gridCol w:w="2031"/>
        <w:gridCol w:w="2197"/>
        <w:gridCol w:w="1701"/>
      </w:tblGrid>
      <w:tr w14:paraId="076BBF4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2577" w:type="dxa"/>
            <w:shd w:val="clear" w:color="auto" w:fill="DCE6F2" w:themeFill="accent1" w:themeFillTint="32"/>
            <w:vAlign w:val="center"/>
          </w:tcPr>
          <w:p w14:paraId="555EA554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8"/>
                <w:szCs w:val="28"/>
              </w:rPr>
              <w:t>数据集与组别</w:t>
            </w:r>
          </w:p>
        </w:tc>
        <w:tc>
          <w:tcPr>
            <w:tcW w:w="2031" w:type="dxa"/>
            <w:shd w:val="clear" w:color="auto" w:fill="DCE6F2" w:themeFill="accent1" w:themeFillTint="32"/>
            <w:vAlign w:val="center"/>
          </w:tcPr>
          <w:p w14:paraId="4A89A6C4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8"/>
                <w:szCs w:val="28"/>
              </w:rPr>
              <w:t>平均生成调用</w:t>
            </w:r>
          </w:p>
        </w:tc>
        <w:tc>
          <w:tcPr>
            <w:tcW w:w="2197" w:type="dxa"/>
            <w:shd w:val="clear" w:color="auto" w:fill="DCE6F2" w:themeFill="accent1" w:themeFillTint="32"/>
            <w:vAlign w:val="center"/>
          </w:tcPr>
          <w:p w14:paraId="20ED3584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8"/>
                <w:szCs w:val="28"/>
              </w:rPr>
              <w:t>总tokens</w:t>
            </w:r>
          </w:p>
        </w:tc>
        <w:tc>
          <w:tcPr>
            <w:tcW w:w="1701" w:type="dxa"/>
            <w:shd w:val="clear" w:color="auto" w:fill="DCE6F2" w:themeFill="accent1" w:themeFillTint="32"/>
            <w:vAlign w:val="center"/>
          </w:tcPr>
          <w:p w14:paraId="779D7962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8"/>
                <w:szCs w:val="28"/>
              </w:rPr>
              <w:t>平均耗时</w:t>
            </w:r>
          </w:p>
        </w:tc>
      </w:tr>
      <w:tr w14:paraId="54E5DB5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  <w:jc w:val="center"/>
        </w:trPr>
        <w:tc>
          <w:tcPr>
            <w:tcW w:w="2577" w:type="dxa"/>
            <w:vAlign w:val="center"/>
          </w:tcPr>
          <w:p w14:paraId="5ABAB461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SciFact 原有组</w:t>
            </w:r>
          </w:p>
        </w:tc>
        <w:tc>
          <w:tcPr>
            <w:tcW w:w="2031" w:type="dxa"/>
            <w:vAlign w:val="center"/>
          </w:tcPr>
          <w:p w14:paraId="582636A9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1.00</w:t>
            </w:r>
          </w:p>
        </w:tc>
        <w:tc>
          <w:tcPr>
            <w:tcW w:w="2197" w:type="dxa"/>
            <w:vAlign w:val="center"/>
          </w:tcPr>
          <w:p w14:paraId="0E9C4B22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96,925</w:t>
            </w:r>
          </w:p>
        </w:tc>
        <w:tc>
          <w:tcPr>
            <w:tcW w:w="1701" w:type="dxa"/>
            <w:vAlign w:val="center"/>
          </w:tcPr>
          <w:p w14:paraId="3F5D9E3F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5.9秒</w:t>
            </w:r>
          </w:p>
        </w:tc>
      </w:tr>
      <w:tr w14:paraId="7E8A1DF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  <w:jc w:val="center"/>
        </w:trPr>
        <w:tc>
          <w:tcPr>
            <w:tcW w:w="2577" w:type="dxa"/>
            <w:vAlign w:val="center"/>
          </w:tcPr>
          <w:p w14:paraId="37AE2F8E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SciFact 受限组</w:t>
            </w:r>
          </w:p>
        </w:tc>
        <w:tc>
          <w:tcPr>
            <w:tcW w:w="2031" w:type="dxa"/>
            <w:vAlign w:val="center"/>
          </w:tcPr>
          <w:p w14:paraId="2711C75A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1.00</w:t>
            </w:r>
          </w:p>
        </w:tc>
        <w:tc>
          <w:tcPr>
            <w:tcW w:w="2197" w:type="dxa"/>
            <w:vAlign w:val="center"/>
          </w:tcPr>
          <w:p w14:paraId="0018577F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132,453</w:t>
            </w:r>
          </w:p>
        </w:tc>
        <w:tc>
          <w:tcPr>
            <w:tcW w:w="1701" w:type="dxa"/>
            <w:vAlign w:val="center"/>
          </w:tcPr>
          <w:p w14:paraId="47162B57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8.8秒</w:t>
            </w:r>
          </w:p>
        </w:tc>
      </w:tr>
      <w:tr w14:paraId="6F2F927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  <w:jc w:val="center"/>
        </w:trPr>
        <w:tc>
          <w:tcPr>
            <w:tcW w:w="2577" w:type="dxa"/>
            <w:vAlign w:val="center"/>
          </w:tcPr>
          <w:p w14:paraId="6B24B681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SciFact 完整组</w:t>
            </w:r>
          </w:p>
        </w:tc>
        <w:tc>
          <w:tcPr>
            <w:tcW w:w="2031" w:type="dxa"/>
            <w:vAlign w:val="center"/>
          </w:tcPr>
          <w:p w14:paraId="189E9977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1.00</w:t>
            </w:r>
          </w:p>
        </w:tc>
        <w:tc>
          <w:tcPr>
            <w:tcW w:w="2197" w:type="dxa"/>
            <w:vAlign w:val="center"/>
          </w:tcPr>
          <w:p w14:paraId="53C67B07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155,630</w:t>
            </w:r>
          </w:p>
        </w:tc>
        <w:tc>
          <w:tcPr>
            <w:tcW w:w="1701" w:type="dxa"/>
            <w:vAlign w:val="center"/>
          </w:tcPr>
          <w:p w14:paraId="3CC51152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9.0秒</w:t>
            </w:r>
          </w:p>
        </w:tc>
      </w:tr>
      <w:tr w14:paraId="19AF785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  <w:jc w:val="center"/>
        </w:trPr>
        <w:tc>
          <w:tcPr>
            <w:tcW w:w="2577" w:type="dxa"/>
            <w:vAlign w:val="center"/>
          </w:tcPr>
          <w:p w14:paraId="40B65068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QASPER 原有组</w:t>
            </w:r>
          </w:p>
        </w:tc>
        <w:tc>
          <w:tcPr>
            <w:tcW w:w="2031" w:type="dxa"/>
            <w:vAlign w:val="center"/>
          </w:tcPr>
          <w:p w14:paraId="1788E412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1.00</w:t>
            </w:r>
          </w:p>
        </w:tc>
        <w:tc>
          <w:tcPr>
            <w:tcW w:w="2197" w:type="dxa"/>
            <w:vAlign w:val="center"/>
          </w:tcPr>
          <w:p w14:paraId="53C62EEF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103,435</w:t>
            </w:r>
          </w:p>
        </w:tc>
        <w:tc>
          <w:tcPr>
            <w:tcW w:w="1701" w:type="dxa"/>
            <w:vAlign w:val="center"/>
          </w:tcPr>
          <w:p w14:paraId="5D88AC3A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5.1秒</w:t>
            </w:r>
          </w:p>
        </w:tc>
      </w:tr>
      <w:tr w14:paraId="37BAD51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  <w:jc w:val="center"/>
        </w:trPr>
        <w:tc>
          <w:tcPr>
            <w:tcW w:w="2577" w:type="dxa"/>
            <w:vAlign w:val="center"/>
          </w:tcPr>
          <w:p w14:paraId="3A3B54CE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QASPER 受限组</w:t>
            </w:r>
          </w:p>
        </w:tc>
        <w:tc>
          <w:tcPr>
            <w:tcW w:w="2031" w:type="dxa"/>
            <w:vAlign w:val="center"/>
          </w:tcPr>
          <w:p w14:paraId="19489ADB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1.10</w:t>
            </w:r>
          </w:p>
        </w:tc>
        <w:tc>
          <w:tcPr>
            <w:tcW w:w="2197" w:type="dxa"/>
            <w:vAlign w:val="center"/>
          </w:tcPr>
          <w:p w14:paraId="32C49F26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170,024</w:t>
            </w:r>
          </w:p>
        </w:tc>
        <w:tc>
          <w:tcPr>
            <w:tcW w:w="1701" w:type="dxa"/>
            <w:vAlign w:val="center"/>
          </w:tcPr>
          <w:p w14:paraId="5982D145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11.0秒</w:t>
            </w:r>
          </w:p>
        </w:tc>
      </w:tr>
      <w:tr w14:paraId="18962A7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  <w:jc w:val="center"/>
        </w:trPr>
        <w:tc>
          <w:tcPr>
            <w:tcW w:w="2577" w:type="dxa"/>
            <w:vAlign w:val="center"/>
          </w:tcPr>
          <w:p w14:paraId="44E3548F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QASPER 完整组</w:t>
            </w:r>
          </w:p>
        </w:tc>
        <w:tc>
          <w:tcPr>
            <w:tcW w:w="2031" w:type="dxa"/>
            <w:vAlign w:val="center"/>
          </w:tcPr>
          <w:p w14:paraId="11AD5492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1.17</w:t>
            </w:r>
          </w:p>
        </w:tc>
        <w:tc>
          <w:tcPr>
            <w:tcW w:w="2197" w:type="dxa"/>
            <w:vAlign w:val="center"/>
          </w:tcPr>
          <w:p w14:paraId="78FD77F2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211,020</w:t>
            </w:r>
          </w:p>
        </w:tc>
        <w:tc>
          <w:tcPr>
            <w:tcW w:w="1701" w:type="dxa"/>
            <w:vAlign w:val="center"/>
          </w:tcPr>
          <w:p w14:paraId="2B228AA2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12.0秒</w:t>
            </w:r>
          </w:p>
        </w:tc>
      </w:tr>
    </w:tbl>
    <w:p w14:paraId="5C848BF5">
      <w:pPr>
        <w:widowControl/>
        <w:spacing w:after="120" w:line="360" w:lineRule="auto"/>
        <w:ind w:firstLine="560" w:firstLineChars="200"/>
        <w:rPr>
          <w:rFonts w:hint="eastAsia" w:ascii="宋体" w:hAnsi="宋体" w:eastAsia="宋体" w:cs="宋体"/>
          <w:b w:val="0"/>
          <w:color w:val="000000"/>
          <w:sz w:val="28"/>
          <w:szCs w:val="28"/>
        </w:rPr>
      </w:pPr>
      <w:r>
        <w:rPr>
          <w:rFonts w:ascii="宋体" w:eastAsia="宋体"/>
          <w:color w:val="000000"/>
          <w:sz w:val="28"/>
        </w:rPr>
        <w:t>180条正式回答均完成接口调用。反馈预提取另记录2次调用、1716 tokens和9.4秒累计耗时。SciFact完整组取得较高结论分类准确率与Macro-F1，QASPER完整组取得较高Answer F1；受限组在两项任务的证据F1上均有提升。完整组的平均生成耗时高于原有组，后续可进一步协调回答质量、证据组织与调用效率。</w:t>
      </w:r>
    </w:p>
    <w:tbl>
      <w:tblPr>
        <w:tblStyle w:val="33"/>
        <w:tblW w:w="0" w:type="auto"/>
        <w:jc w:val="center"/>
        <w:tblBorders>
          <w:top w:val="single" w:color="A0AAB6" w:sz="4" w:space="0"/>
          <w:left w:val="single" w:color="A0AAB6" w:sz="4" w:space="0"/>
          <w:bottom w:val="single" w:color="A0AAB6" w:sz="4" w:space="0"/>
          <w:right w:val="single" w:color="A0AAB6" w:sz="4" w:space="0"/>
          <w:insideH w:val="single" w:color="A0AAB6" w:sz="4" w:space="0"/>
          <w:insideV w:val="single" w:color="A0AAB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80"/>
        <w:gridCol w:w="1480"/>
        <w:gridCol w:w="1480"/>
        <w:gridCol w:w="1480"/>
        <w:gridCol w:w="1480"/>
      </w:tblGrid>
      <w:tr w14:paraId="3F7DFE0D">
        <w:tblPrEx>
          <w:tblBorders>
            <w:top w:val="single" w:color="A0AAB6" w:sz="4" w:space="0"/>
            <w:left w:val="single" w:color="A0AAB6" w:sz="4" w:space="0"/>
            <w:bottom w:val="single" w:color="A0AAB6" w:sz="4" w:space="0"/>
            <w:right w:val="single" w:color="A0AAB6" w:sz="4" w:space="0"/>
            <w:insideH w:val="single" w:color="A0AAB6" w:sz="4" w:space="0"/>
            <w:insideV w:val="single" w:color="A0AAB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17" w:type="dxa"/>
            <w:shd w:val="clear" w:color="auto" w:fill="DCE6F2" w:themeFill="accent1" w:themeFillTint="3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8316B3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/>
                <w:bCs w:val="0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00"/>
                <w:sz w:val="28"/>
                <w:szCs w:val="28"/>
              </w:rPr>
              <w:t>组别</w:t>
            </w:r>
          </w:p>
        </w:tc>
        <w:tc>
          <w:tcPr>
            <w:tcW w:w="1480" w:type="dxa"/>
            <w:shd w:val="clear" w:color="auto" w:fill="DCE6F2" w:themeFill="accent1" w:themeFillTint="3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8AF0E4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/>
                <w:bCs w:val="0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00"/>
                <w:sz w:val="28"/>
                <w:szCs w:val="28"/>
              </w:rPr>
              <w:t>完成运行</w:t>
            </w:r>
          </w:p>
        </w:tc>
        <w:tc>
          <w:tcPr>
            <w:tcW w:w="1480" w:type="dxa"/>
            <w:shd w:val="clear" w:color="auto" w:fill="DCE6F2" w:themeFill="accent1" w:themeFillTint="3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530F26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/>
                <w:bCs w:val="0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00"/>
                <w:sz w:val="28"/>
                <w:szCs w:val="28"/>
              </w:rPr>
              <w:t>正常／补充输入</w:t>
            </w:r>
          </w:p>
        </w:tc>
        <w:tc>
          <w:tcPr>
            <w:tcW w:w="1480" w:type="dxa"/>
            <w:shd w:val="clear" w:color="auto" w:fill="DCE6F2" w:themeFill="accent1" w:themeFillTint="3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155314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/>
                <w:bCs w:val="0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00"/>
                <w:sz w:val="28"/>
                <w:szCs w:val="28"/>
              </w:rPr>
              <w:t>平均调用</w:t>
            </w:r>
          </w:p>
        </w:tc>
        <w:tc>
          <w:tcPr>
            <w:tcW w:w="1480" w:type="dxa"/>
            <w:shd w:val="clear" w:color="auto" w:fill="DCE6F2" w:themeFill="accent1" w:themeFillTint="3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892D34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/>
                <w:bCs w:val="0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00"/>
                <w:sz w:val="28"/>
                <w:szCs w:val="28"/>
              </w:rPr>
              <w:t>总tokens</w:t>
            </w:r>
          </w:p>
        </w:tc>
        <w:tc>
          <w:tcPr>
            <w:tcW w:w="1480" w:type="dxa"/>
            <w:shd w:val="clear" w:color="auto" w:fill="DCE6F2" w:themeFill="accent1" w:themeFillTint="3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C90F0C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/>
                <w:bCs w:val="0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00"/>
                <w:sz w:val="28"/>
                <w:szCs w:val="28"/>
              </w:rPr>
              <w:t>平均延迟</w:t>
            </w:r>
          </w:p>
        </w:tc>
      </w:tr>
      <w:tr w14:paraId="0582B95E">
        <w:tblPrEx>
          <w:tblBorders>
            <w:top w:val="single" w:color="A0AAB6" w:sz="4" w:space="0"/>
            <w:left w:val="single" w:color="A0AAB6" w:sz="4" w:space="0"/>
            <w:bottom w:val="single" w:color="A0AAB6" w:sz="4" w:space="0"/>
            <w:right w:val="single" w:color="A0AAB6" w:sz="4" w:space="0"/>
            <w:insideH w:val="single" w:color="A0AAB6" w:sz="4" w:space="0"/>
            <w:insideV w:val="single" w:color="A0AAB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F1B36E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原有Agent</w:t>
            </w:r>
          </w:p>
        </w:tc>
        <w:tc>
          <w:tcPr>
            <w:tcW w:w="1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470240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10/10</w:t>
            </w:r>
          </w:p>
        </w:tc>
        <w:tc>
          <w:tcPr>
            <w:tcW w:w="1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7D242C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10／0</w:t>
            </w:r>
          </w:p>
        </w:tc>
        <w:tc>
          <w:tcPr>
            <w:tcW w:w="1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DCB13B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1.0</w:t>
            </w:r>
          </w:p>
        </w:tc>
        <w:tc>
          <w:tcPr>
            <w:tcW w:w="1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F71C69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19,655</w:t>
            </w:r>
          </w:p>
        </w:tc>
        <w:tc>
          <w:tcPr>
            <w:tcW w:w="1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350C1B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11.9秒</w:t>
            </w:r>
          </w:p>
        </w:tc>
      </w:tr>
      <w:tr w14:paraId="00F623DA">
        <w:tblPrEx>
          <w:tblBorders>
            <w:top w:val="single" w:color="A0AAB6" w:sz="4" w:space="0"/>
            <w:left w:val="single" w:color="A0AAB6" w:sz="4" w:space="0"/>
            <w:bottom w:val="single" w:color="A0AAB6" w:sz="4" w:space="0"/>
            <w:right w:val="single" w:color="A0AAB6" w:sz="4" w:space="0"/>
            <w:insideH w:val="single" w:color="A0AAB6" w:sz="4" w:space="0"/>
            <w:insideV w:val="single" w:color="A0AAB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25122E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受限推理</w:t>
            </w:r>
          </w:p>
        </w:tc>
        <w:tc>
          <w:tcPr>
            <w:tcW w:w="1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157285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10/10</w:t>
            </w:r>
          </w:p>
        </w:tc>
        <w:tc>
          <w:tcPr>
            <w:tcW w:w="1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2E14D8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8／2</w:t>
            </w:r>
          </w:p>
        </w:tc>
        <w:tc>
          <w:tcPr>
            <w:tcW w:w="1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2333DC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1.2</w:t>
            </w:r>
          </w:p>
        </w:tc>
        <w:tc>
          <w:tcPr>
            <w:tcW w:w="1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174B19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31,309</w:t>
            </w:r>
          </w:p>
        </w:tc>
        <w:tc>
          <w:tcPr>
            <w:tcW w:w="1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64DFA1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16.7秒</w:t>
            </w:r>
          </w:p>
        </w:tc>
      </w:tr>
      <w:tr w14:paraId="4EDCA246">
        <w:tblPrEx>
          <w:tblBorders>
            <w:top w:val="single" w:color="A0AAB6" w:sz="4" w:space="0"/>
            <w:left w:val="single" w:color="A0AAB6" w:sz="4" w:space="0"/>
            <w:bottom w:val="single" w:color="A0AAB6" w:sz="4" w:space="0"/>
            <w:right w:val="single" w:color="A0AAB6" w:sz="4" w:space="0"/>
            <w:insideH w:val="single" w:color="A0AAB6" w:sz="4" w:space="0"/>
            <w:insideV w:val="single" w:color="A0AAB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D8DDAF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完整反馈学习</w:t>
            </w:r>
          </w:p>
        </w:tc>
        <w:tc>
          <w:tcPr>
            <w:tcW w:w="1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7BC152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10/10</w:t>
            </w:r>
          </w:p>
        </w:tc>
        <w:tc>
          <w:tcPr>
            <w:tcW w:w="1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837E14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8／2</w:t>
            </w:r>
          </w:p>
        </w:tc>
        <w:tc>
          <w:tcPr>
            <w:tcW w:w="1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4C6029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2.0</w:t>
            </w:r>
          </w:p>
        </w:tc>
        <w:tc>
          <w:tcPr>
            <w:tcW w:w="1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DC0139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38,416</w:t>
            </w:r>
          </w:p>
        </w:tc>
        <w:tc>
          <w:tcPr>
            <w:tcW w:w="1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BD2745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14.4秒</w:t>
            </w:r>
          </w:p>
        </w:tc>
      </w:tr>
    </w:tbl>
    <w:p w14:paraId="18035285">
      <w:pPr>
        <w:widowControl/>
        <w:spacing w:after="120" w:line="360" w:lineRule="auto"/>
        <w:ind w:firstLine="560" w:firstLineChars="200"/>
        <w:rPr>
          <w:rFonts w:hint="eastAsia" w:ascii="宋体" w:hAnsi="宋体" w:eastAsia="宋体" w:cs="宋体"/>
          <w:b w:val="0"/>
          <w:color w:val="000000"/>
          <w:sz w:val="28"/>
          <w:szCs w:val="28"/>
        </w:rPr>
      </w:pPr>
      <w:r>
        <w:rPr>
          <w:rFonts w:ascii="宋体" w:eastAsia="宋体"/>
          <w:color w:val="000000"/>
          <w:sz w:val="28"/>
        </w:rPr>
        <w:t>科研工作流三组均完成10次运行。受限组与完整组各有2次请求补充输入，分别涉及前置关联与循环依赖；后续依赖定向复测保存6条真实模型运行。工程记录显示Agent回归208项中198项通过、10项默认跳过，前端相关24项通过，后端相关集成与经验提取62项通过。</w:t>
      </w:r>
    </w:p>
    <w:p w14:paraId="13029E52">
      <w:pPr>
        <w:pStyle w:val="4"/>
        <w:keepNext/>
        <w:widowControl/>
        <w:spacing w:before="140" w:after="140" w:line="360" w:lineRule="auto"/>
        <w:rPr>
          <w:rFonts w:hint="eastAsia" w:ascii="黑体" w:hAnsi="黑体" w:eastAsia="黑体" w:cs="黑体"/>
          <w:b/>
          <w:color w:val="000000"/>
          <w:sz w:val="28"/>
          <w:szCs w:val="28"/>
        </w:rPr>
      </w:pPr>
      <w:r>
        <w:rPr>
          <w:rFonts w:hint="eastAsia" w:ascii="黑体" w:hAnsi="黑体" w:eastAsia="黑体" w:cs="黑体"/>
          <w:b/>
          <w:color w:val="000000"/>
          <w:sz w:val="28"/>
          <w:szCs w:val="28"/>
        </w:rPr>
        <w:t>8.5 真实科研方向案例</w:t>
      </w:r>
    </w:p>
    <w:p w14:paraId="102DE50D">
      <w:pPr>
        <w:widowControl/>
        <w:spacing w:after="120" w:line="360" w:lineRule="auto"/>
        <w:ind w:firstLine="560" w:firstLineChars="200"/>
        <w:rPr>
          <w:rFonts w:hint="eastAsia" w:ascii="宋体" w:hAnsi="宋体" w:eastAsia="宋体" w:cs="宋体"/>
          <w:b w:val="0"/>
          <w:color w:val="000000"/>
          <w:sz w:val="28"/>
          <w:szCs w:val="28"/>
        </w:rPr>
      </w:pPr>
      <w:r>
        <w:rPr>
          <w:rFonts w:ascii="宋体" w:eastAsia="宋体"/>
          <w:color w:val="000000"/>
          <w:sz w:val="28"/>
        </w:rPr>
        <w:t>十个真实科研方向取自实验室同学提供的</w:t>
      </w:r>
      <w:r>
        <w:rPr>
          <w:rFonts w:hint="eastAsia" w:ascii="宋体" w:eastAsia="宋体"/>
          <w:color w:val="000000"/>
          <w:sz w:val="28"/>
          <w:lang w:val="en-US" w:eastAsia="zh-CN"/>
        </w:rPr>
        <w:t>十份真实科研指导案例</w:t>
      </w:r>
      <w:r>
        <w:rPr>
          <w:rFonts w:ascii="宋体" w:eastAsia="宋体"/>
          <w:color w:val="000000"/>
          <w:sz w:val="28"/>
        </w:rPr>
        <w:t>。测试将原件文字按顺序转录为DOCX，上传研迹并完成资料解析，在独立导师与学生测试账号下发起科研问答。每个方向运行1条主用例和2条异常或边界变体，共30条；测试经业务后端、MySQL、MinIO、检索服务与独立Agent调用Qwen模型，逐条保存运行标识、回答和事件记录。十个方向的实际处理情况汇总如下</w:t>
      </w:r>
      <w:r>
        <w:rPr>
          <w:rFonts w:hint="eastAsia" w:ascii="宋体" w:eastAsia="宋体"/>
          <w:color w:val="000000"/>
          <w:sz w:val="28"/>
          <w:lang w:eastAsia="zh-CN"/>
        </w:rPr>
        <w:t>：</w:t>
      </w:r>
    </w:p>
    <w:tbl>
      <w:tblPr>
        <w:tblStyle w:val="33"/>
        <w:tblW w:w="9607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4"/>
        <w:gridCol w:w="2758"/>
        <w:gridCol w:w="3068"/>
        <w:gridCol w:w="1357"/>
      </w:tblGrid>
      <w:tr w14:paraId="42D2145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424" w:type="dxa"/>
            <w:shd w:val="clear" w:color="auto" w:fill="E7EDF3"/>
            <w:vAlign w:val="center"/>
          </w:tcPr>
          <w:p w14:paraId="11A1CA98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8"/>
                <w:szCs w:val="28"/>
              </w:rPr>
              <w:t>编号与科研方向</w:t>
            </w:r>
          </w:p>
        </w:tc>
        <w:tc>
          <w:tcPr>
            <w:tcW w:w="2758" w:type="dxa"/>
            <w:shd w:val="clear" w:color="auto" w:fill="E7EDF3"/>
            <w:vAlign w:val="center"/>
          </w:tcPr>
          <w:p w14:paraId="3F4A75B6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8"/>
                <w:szCs w:val="28"/>
              </w:rPr>
              <w:t>主用例实际处理</w:t>
            </w:r>
          </w:p>
        </w:tc>
        <w:tc>
          <w:tcPr>
            <w:tcW w:w="3068" w:type="dxa"/>
            <w:shd w:val="clear" w:color="auto" w:fill="E7EDF3"/>
            <w:vAlign w:val="center"/>
          </w:tcPr>
          <w:p w14:paraId="0B67BEC1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8"/>
                <w:szCs w:val="28"/>
              </w:rPr>
              <w:t>主／异常／边界结论</w:t>
            </w:r>
          </w:p>
        </w:tc>
        <w:tc>
          <w:tcPr>
            <w:tcW w:w="1357" w:type="dxa"/>
            <w:shd w:val="clear" w:color="auto" w:fill="E7EDF3"/>
            <w:vAlign w:val="center"/>
          </w:tcPr>
          <w:p w14:paraId="2624BAC9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8"/>
                <w:szCs w:val="28"/>
              </w:rPr>
              <w:t>主用例耗时（秒）</w:t>
            </w:r>
          </w:p>
        </w:tc>
      </w:tr>
      <w:tr w14:paraId="23114C3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24" w:type="dxa"/>
            <w:shd w:val="clear" w:color="auto" w:fill="FFFFFF"/>
            <w:vAlign w:val="center"/>
          </w:tcPr>
          <w:p w14:paraId="4C372658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TC-01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烧伤与瘢痕多任务建模</w:t>
            </w:r>
          </w:p>
        </w:tc>
        <w:tc>
          <w:tcPr>
            <w:tcW w:w="2758" w:type="dxa"/>
            <w:shd w:val="clear" w:color="auto" w:fill="FFFFFF"/>
            <w:vAlign w:val="center"/>
          </w:tcPr>
          <w:p w14:paraId="181EBF9A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确认冻结主干和独立分支，安排先固定划分与基线再消融；解释两种Dice分母，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  <w:lang w:val="en-US" w:eastAsia="zh-CN"/>
              </w:rPr>
              <w:t>成功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输出可采纳任务。</w:t>
            </w:r>
          </w:p>
        </w:tc>
        <w:tc>
          <w:tcPr>
            <w:tcW w:w="3068" w:type="dxa"/>
            <w:shd w:val="clear" w:color="auto" w:fill="FFFFFF"/>
            <w:vAlign w:val="center"/>
          </w:tcPr>
          <w:p w14:paraId="4035A208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通过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通过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通过</w:t>
            </w:r>
          </w:p>
        </w:tc>
        <w:tc>
          <w:tcPr>
            <w:tcW w:w="1357" w:type="dxa"/>
            <w:shd w:val="clear" w:color="auto" w:fill="FFFFFF"/>
            <w:vAlign w:val="center"/>
          </w:tcPr>
          <w:p w14:paraId="4E779A68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24.67</w:t>
            </w:r>
          </w:p>
        </w:tc>
      </w:tr>
      <w:tr w14:paraId="01E7C1E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24" w:type="dxa"/>
            <w:shd w:val="clear" w:color="auto" w:fill="F7F8FA"/>
            <w:vAlign w:val="center"/>
          </w:tcPr>
          <w:p w14:paraId="0A2C5B75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TC-02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CAD图纸自然语言理解</w:t>
            </w:r>
          </w:p>
        </w:tc>
        <w:tc>
          <w:tcPr>
            <w:tcW w:w="2758" w:type="dxa"/>
            <w:shd w:val="clear" w:color="auto" w:fill="F7F8FA"/>
            <w:vAlign w:val="center"/>
          </w:tcPr>
          <w:p w14:paraId="165B0A05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给出CIRCLE类型、圆心、半径、图层及中间表示校验；独立安排对象计数和空间关系评价。</w:t>
            </w:r>
          </w:p>
        </w:tc>
        <w:tc>
          <w:tcPr>
            <w:tcW w:w="3068" w:type="dxa"/>
            <w:shd w:val="clear" w:color="auto" w:fill="F7F8FA"/>
            <w:vAlign w:val="center"/>
          </w:tcPr>
          <w:p w14:paraId="50A5FD0B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通过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  <w:lang w:val="en-US" w:eastAsia="zh-CN"/>
              </w:rPr>
              <w:t>部分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通过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通过</w:t>
            </w:r>
          </w:p>
        </w:tc>
        <w:tc>
          <w:tcPr>
            <w:tcW w:w="1357" w:type="dxa"/>
            <w:shd w:val="clear" w:color="auto" w:fill="F7F8FA"/>
            <w:vAlign w:val="center"/>
          </w:tcPr>
          <w:p w14:paraId="3C152657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22.56</w:t>
            </w:r>
          </w:p>
        </w:tc>
      </w:tr>
      <w:tr w14:paraId="1D4DA4E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24" w:type="dxa"/>
            <w:shd w:val="clear" w:color="auto" w:fill="FFFFFF"/>
            <w:vAlign w:val="center"/>
          </w:tcPr>
          <w:p w14:paraId="32B03A4A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TC-03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边缘环境模型轻量化</w:t>
            </w:r>
          </w:p>
        </w:tc>
        <w:tc>
          <w:tcPr>
            <w:tcW w:w="2758" w:type="dxa"/>
            <w:shd w:val="clear" w:color="auto" w:fill="FFFFFF"/>
            <w:vAlign w:val="center"/>
          </w:tcPr>
          <w:p w14:paraId="12B8155A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区分FLOPs与端侧时延，要求设备、batch和输入尺寸并建议模块消融；回退检查与配置保存完整。</w:t>
            </w:r>
          </w:p>
        </w:tc>
        <w:tc>
          <w:tcPr>
            <w:tcW w:w="3068" w:type="dxa"/>
            <w:shd w:val="clear" w:color="auto" w:fill="FFFFFF"/>
            <w:vAlign w:val="center"/>
          </w:tcPr>
          <w:p w14:paraId="13A9F418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通过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通过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  <w:lang w:val="en-US" w:eastAsia="zh-CN"/>
              </w:rPr>
              <w:t>部分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通过</w:t>
            </w:r>
          </w:p>
        </w:tc>
        <w:tc>
          <w:tcPr>
            <w:tcW w:w="1357" w:type="dxa"/>
            <w:shd w:val="clear" w:color="auto" w:fill="FFFFFF"/>
            <w:vAlign w:val="center"/>
          </w:tcPr>
          <w:p w14:paraId="1BF6AF75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26.52</w:t>
            </w:r>
          </w:p>
        </w:tc>
      </w:tr>
      <w:tr w14:paraId="7273AA7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24" w:type="dxa"/>
            <w:shd w:val="clear" w:color="auto" w:fill="F7F8FA"/>
            <w:vAlign w:val="center"/>
          </w:tcPr>
          <w:p w14:paraId="0D4A5460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TC-04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边缘双目视觉量化部署</w:t>
            </w:r>
          </w:p>
        </w:tc>
        <w:tc>
          <w:tcPr>
            <w:tcW w:w="2758" w:type="dxa"/>
            <w:shd w:val="clear" w:color="auto" w:fill="F7F8FA"/>
            <w:vAlign w:val="center"/>
          </w:tcPr>
          <w:p w14:paraId="6B73BC49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准确复述FP16/INT8数据，安排精度、异常区域和回退验证；计算三项下降幅度。</w:t>
            </w:r>
          </w:p>
        </w:tc>
        <w:tc>
          <w:tcPr>
            <w:tcW w:w="3068" w:type="dxa"/>
            <w:shd w:val="clear" w:color="auto" w:fill="F7F8FA"/>
            <w:vAlign w:val="center"/>
          </w:tcPr>
          <w:p w14:paraId="34D14846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通过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通过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通过</w:t>
            </w:r>
          </w:p>
        </w:tc>
        <w:tc>
          <w:tcPr>
            <w:tcW w:w="1357" w:type="dxa"/>
            <w:shd w:val="clear" w:color="auto" w:fill="F7F8FA"/>
            <w:vAlign w:val="center"/>
          </w:tcPr>
          <w:p w14:paraId="20C7149F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22.47</w:t>
            </w:r>
          </w:p>
        </w:tc>
      </w:tr>
      <w:tr w14:paraId="57A382A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24" w:type="dxa"/>
            <w:shd w:val="clear" w:color="auto" w:fill="FFFFFF"/>
            <w:vAlign w:val="center"/>
          </w:tcPr>
          <w:p w14:paraId="6A2EBEA8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TC-05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场景图生成</w:t>
            </w:r>
          </w:p>
        </w:tc>
        <w:tc>
          <w:tcPr>
            <w:tcW w:w="2758" w:type="dxa"/>
            <w:shd w:val="clear" w:color="auto" w:fill="FFFFFF"/>
            <w:vAlign w:val="center"/>
          </w:tcPr>
          <w:p w14:paraId="26FDD5C1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解释三种任务输入条件，给出基线、关系频次和长尾分析；完整分离检测与关系误差。</w:t>
            </w:r>
          </w:p>
        </w:tc>
        <w:tc>
          <w:tcPr>
            <w:tcW w:w="3068" w:type="dxa"/>
            <w:shd w:val="clear" w:color="auto" w:fill="FFFFFF"/>
            <w:vAlign w:val="center"/>
          </w:tcPr>
          <w:p w14:paraId="427F6CF7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通过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通过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通过</w:t>
            </w:r>
          </w:p>
        </w:tc>
        <w:tc>
          <w:tcPr>
            <w:tcW w:w="1357" w:type="dxa"/>
            <w:shd w:val="clear" w:color="auto" w:fill="FFFFFF"/>
            <w:vAlign w:val="center"/>
          </w:tcPr>
          <w:p w14:paraId="3FFB0B46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18.31</w:t>
            </w:r>
          </w:p>
        </w:tc>
      </w:tr>
      <w:tr w14:paraId="4DB5C0D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24" w:type="dxa"/>
            <w:shd w:val="clear" w:color="auto" w:fill="F7F8FA"/>
            <w:vAlign w:val="center"/>
          </w:tcPr>
          <w:p w14:paraId="0182E216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TC-06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工程造价领域知识增强决策</w:t>
            </w:r>
          </w:p>
        </w:tc>
        <w:tc>
          <w:tcPr>
            <w:tcW w:w="2758" w:type="dxa"/>
            <w:shd w:val="clear" w:color="auto" w:fill="F7F8FA"/>
            <w:vAlign w:val="center"/>
          </w:tcPr>
          <w:p w14:paraId="4FA606ED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识别地区、年份和定额版本缺口并要求补充；展开规则、检索、经验三组对照。</w:t>
            </w:r>
          </w:p>
        </w:tc>
        <w:tc>
          <w:tcPr>
            <w:tcW w:w="3068" w:type="dxa"/>
            <w:shd w:val="clear" w:color="auto" w:fill="F7F8FA"/>
            <w:vAlign w:val="center"/>
          </w:tcPr>
          <w:p w14:paraId="6FB5DEDF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通过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通过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通过</w:t>
            </w:r>
          </w:p>
        </w:tc>
        <w:tc>
          <w:tcPr>
            <w:tcW w:w="1357" w:type="dxa"/>
            <w:shd w:val="clear" w:color="auto" w:fill="F7F8FA"/>
            <w:vAlign w:val="center"/>
          </w:tcPr>
          <w:p w14:paraId="3DE6257E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16.28</w:t>
            </w:r>
          </w:p>
        </w:tc>
      </w:tr>
      <w:tr w14:paraId="3689865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24" w:type="dxa"/>
            <w:shd w:val="clear" w:color="auto" w:fill="FFFFFF"/>
            <w:vAlign w:val="center"/>
          </w:tcPr>
          <w:p w14:paraId="2AEBA69A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TC-07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星际争霸多智能体强化学习</w:t>
            </w:r>
          </w:p>
        </w:tc>
        <w:tc>
          <w:tcPr>
            <w:tcW w:w="2758" w:type="dxa"/>
            <w:shd w:val="clear" w:color="auto" w:fill="FFFFFF"/>
            <w:vAlign w:val="center"/>
          </w:tcPr>
          <w:p w14:paraId="524BC9D0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提出QMIX等基线、多种子、胜率与对手迁移分析；明确统一预算及训练/执行信息边界。</w:t>
            </w:r>
          </w:p>
        </w:tc>
        <w:tc>
          <w:tcPr>
            <w:tcW w:w="3068" w:type="dxa"/>
            <w:shd w:val="clear" w:color="auto" w:fill="FFFFFF"/>
            <w:vAlign w:val="center"/>
          </w:tcPr>
          <w:p w14:paraId="6C28047B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部分通过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通过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通过</w:t>
            </w:r>
          </w:p>
        </w:tc>
        <w:tc>
          <w:tcPr>
            <w:tcW w:w="1357" w:type="dxa"/>
            <w:shd w:val="clear" w:color="auto" w:fill="FFFFFF"/>
            <w:vAlign w:val="center"/>
          </w:tcPr>
          <w:p w14:paraId="742B5A4F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18.25</w:t>
            </w:r>
          </w:p>
        </w:tc>
      </w:tr>
      <w:tr w14:paraId="5702CFF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24" w:type="dxa"/>
            <w:shd w:val="clear" w:color="auto" w:fill="F7F8FA"/>
            <w:vAlign w:val="center"/>
          </w:tcPr>
          <w:p w14:paraId="6AB6BFD5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TC-08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说话人验证</w:t>
            </w:r>
          </w:p>
        </w:tc>
        <w:tc>
          <w:tcPr>
            <w:tcW w:w="2758" w:type="dxa"/>
            <w:shd w:val="clear" w:color="auto" w:fill="F7F8FA"/>
            <w:vAlign w:val="center"/>
          </w:tcPr>
          <w:p w14:paraId="0CF9DBC1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区分验证与识别，提出开发集校准、独立测试与信道/时长分组；阈值冻结及记录归档完整。</w:t>
            </w:r>
          </w:p>
        </w:tc>
        <w:tc>
          <w:tcPr>
            <w:tcW w:w="3068" w:type="dxa"/>
            <w:shd w:val="clear" w:color="auto" w:fill="F7F8FA"/>
            <w:vAlign w:val="center"/>
          </w:tcPr>
          <w:p w14:paraId="0AD16F53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通过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  <w:lang w:val="en-US" w:eastAsia="zh-CN"/>
              </w:rPr>
              <w:t>未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通过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通过</w:t>
            </w:r>
          </w:p>
        </w:tc>
        <w:tc>
          <w:tcPr>
            <w:tcW w:w="1357" w:type="dxa"/>
            <w:shd w:val="clear" w:color="auto" w:fill="F7F8FA"/>
            <w:vAlign w:val="center"/>
          </w:tcPr>
          <w:p w14:paraId="6FABFE18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28.61</w:t>
            </w:r>
          </w:p>
        </w:tc>
      </w:tr>
      <w:tr w14:paraId="36505D7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24" w:type="dxa"/>
            <w:shd w:val="clear" w:color="auto" w:fill="FFFFFF"/>
            <w:vAlign w:val="center"/>
          </w:tcPr>
          <w:p w14:paraId="1A11F1D1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TC-09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微服务资源调度与根因分析</w:t>
            </w:r>
          </w:p>
        </w:tc>
        <w:tc>
          <w:tcPr>
            <w:tcW w:w="2758" w:type="dxa"/>
            <w:shd w:val="clear" w:color="auto" w:fill="FFFFFF"/>
            <w:vAlign w:val="center"/>
          </w:tcPr>
          <w:p w14:paraId="40676FDF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区分检测、分类与定位并要求日志和追踪；时间对齐、成本及人工确认项完整。</w:t>
            </w:r>
          </w:p>
        </w:tc>
        <w:tc>
          <w:tcPr>
            <w:tcW w:w="3068" w:type="dxa"/>
            <w:shd w:val="clear" w:color="auto" w:fill="FFFFFF"/>
            <w:vAlign w:val="center"/>
          </w:tcPr>
          <w:p w14:paraId="4312624F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通过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通过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通过</w:t>
            </w:r>
          </w:p>
        </w:tc>
        <w:tc>
          <w:tcPr>
            <w:tcW w:w="1357" w:type="dxa"/>
            <w:shd w:val="clear" w:color="auto" w:fill="FFFFFF"/>
            <w:vAlign w:val="center"/>
          </w:tcPr>
          <w:p w14:paraId="68C59F0D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16.42</w:t>
            </w:r>
          </w:p>
        </w:tc>
      </w:tr>
      <w:tr w14:paraId="429F9F1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24" w:type="dxa"/>
            <w:shd w:val="clear" w:color="auto" w:fill="F7F8FA"/>
            <w:vAlign w:val="center"/>
          </w:tcPr>
          <w:p w14:paraId="54967BF1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TC-10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云计算智能服务控制</w:t>
            </w:r>
          </w:p>
        </w:tc>
        <w:tc>
          <w:tcPr>
            <w:tcW w:w="2758" w:type="dxa"/>
            <w:shd w:val="clear" w:color="auto" w:fill="F7F8FA"/>
            <w:vAlign w:val="center"/>
          </w:tcPr>
          <w:p w14:paraId="7FC264B9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确认Kubernetes/RL/LLM分工，要求SLO与成本口径；输出有顺序的可采纳任务。</w:t>
            </w:r>
          </w:p>
        </w:tc>
        <w:tc>
          <w:tcPr>
            <w:tcW w:w="3068" w:type="dxa"/>
            <w:shd w:val="clear" w:color="auto" w:fill="F7F8FA"/>
            <w:vAlign w:val="center"/>
          </w:tcPr>
          <w:p w14:paraId="58EA6F37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通过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通过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通过</w:t>
            </w:r>
          </w:p>
        </w:tc>
        <w:tc>
          <w:tcPr>
            <w:tcW w:w="1357" w:type="dxa"/>
            <w:shd w:val="clear" w:color="auto" w:fill="F7F8FA"/>
            <w:vAlign w:val="center"/>
          </w:tcPr>
          <w:p w14:paraId="612B2967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8"/>
                <w:szCs w:val="28"/>
              </w:rPr>
              <w:t>10.17</w:t>
            </w:r>
          </w:p>
        </w:tc>
      </w:tr>
    </w:tbl>
    <w:p w14:paraId="2C32244B">
      <w:pPr>
        <w:widowControl/>
        <w:spacing w:after="120" w:line="360" w:lineRule="auto"/>
        <w:ind w:firstLine="480" w:firstLineChars="200"/>
        <w:rPr>
          <w:rFonts w:hint="eastAsia" w:ascii="宋体" w:hAnsi="宋体" w:eastAsia="宋体" w:cs="宋体"/>
          <w:b w:val="0"/>
          <w:color w:val="000000"/>
          <w:sz w:val="28"/>
          <w:szCs w:val="28"/>
        </w:rPr>
      </w:pPr>
      <w:r>
        <w:rPr>
          <w:rFonts w:ascii="宋体" w:hAnsi="宋体" w:eastAsia="宋体"/>
          <w:sz w:val="24"/>
        </w:rPr>
        <w:t>30条任务均成功返回，完成率为100%；按预期结果复核为</w:t>
      </w:r>
      <w:r>
        <w:rPr>
          <w:rFonts w:hint="eastAsia" w:ascii="宋体" w:hAnsi="宋体" w:eastAsia="宋体"/>
          <w:sz w:val="24"/>
          <w:lang w:val="en-US" w:eastAsia="zh-CN"/>
        </w:rPr>
        <w:t>26</w:t>
      </w:r>
      <w:r>
        <w:rPr>
          <w:rFonts w:ascii="宋体" w:hAnsi="宋体" w:eastAsia="宋体"/>
          <w:sz w:val="24"/>
        </w:rPr>
        <w:t>条通过、</w:t>
      </w:r>
      <w:r>
        <w:rPr>
          <w:rFonts w:hint="eastAsia" w:ascii="宋体" w:hAnsi="宋体" w:eastAsia="宋体"/>
          <w:sz w:val="24"/>
          <w:lang w:val="en-US" w:eastAsia="zh-CN"/>
        </w:rPr>
        <w:t>3</w:t>
      </w:r>
      <w:r>
        <w:rPr>
          <w:rFonts w:ascii="宋体" w:hAnsi="宋体" w:eastAsia="宋体"/>
          <w:sz w:val="24"/>
        </w:rPr>
        <w:t>条部分通过、</w:t>
      </w:r>
      <w:r>
        <w:rPr>
          <w:rFonts w:hint="eastAsia" w:ascii="宋体" w:hAnsi="宋体" w:eastAsia="宋体"/>
          <w:sz w:val="24"/>
          <w:lang w:val="en-US" w:eastAsia="zh-CN"/>
        </w:rPr>
        <w:t>1</w:t>
      </w:r>
      <w:r>
        <w:rPr>
          <w:rFonts w:ascii="宋体" w:hAnsi="宋体" w:eastAsia="宋体"/>
          <w:sz w:val="24"/>
        </w:rPr>
        <w:t>条未通过，完全通过比例为</w:t>
      </w:r>
      <w:r>
        <w:rPr>
          <w:rFonts w:hint="eastAsia" w:ascii="宋体" w:hAnsi="宋体" w:eastAsia="宋体"/>
          <w:sz w:val="24"/>
          <w:lang w:val="en-US" w:eastAsia="zh-CN"/>
        </w:rPr>
        <w:t>8</w:t>
      </w:r>
      <w:r>
        <w:rPr>
          <w:rFonts w:ascii="宋体" w:hAnsi="宋体" w:eastAsia="宋体"/>
          <w:sz w:val="24"/>
        </w:rPr>
        <w:t>6.67%。端到端耗时包含排队、检索和模型生成，平均17.97秒，中位数18.28秒，范围10.16—28.61秒。</w:t>
      </w:r>
    </w:p>
    <w:p w14:paraId="53D07FBB">
      <w:pPr>
        <w:pStyle w:val="3"/>
        <w:keepNext/>
        <w:widowControl/>
        <w:spacing w:before="200" w:after="140" w:line="360" w:lineRule="auto"/>
        <w:rPr>
          <w:rFonts w:hint="default" w:ascii="黑体" w:hAnsi="黑体" w:eastAsia="微软雅黑" w:cs="黑体"/>
          <w:sz w:val="28"/>
          <w:szCs w:val="28"/>
          <w:lang w:val="en-US" w:eastAsia="zh-CN"/>
        </w:rPr>
      </w:pPr>
      <w:r>
        <w:rPr>
          <w:rFonts w:ascii="Calibri" w:hAnsi="Calibri" w:eastAsia="黑体"/>
          <w:b/>
          <w:color w:val="000000"/>
          <w:sz w:val="28"/>
        </w:rPr>
        <w:t>九、软件部署与运行</w:t>
      </w:r>
    </w:p>
    <w:p w14:paraId="252213CC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560" w:firstLineChars="200"/>
        <w:textAlignment w:val="auto"/>
        <w:rPr>
          <w:rFonts w:hint="eastAsia" w:ascii="宋体" w:hAnsi="宋体" w:eastAsia="宋体" w:cs="宋体"/>
          <w:b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</w:rPr>
        <w:t>研迹采用电脑服务端与 Android 手机客户端配合运行的方式。使用者从 GitHub 获取源码，在自己的电脑上安装数据库、文件存储、业务后端和 AI Agent，再构建并安装手机客户端。本章说明完整的软件安装流程，具体命令与仓库 README 及 deploy 目录中的脚本保持一致。</w:t>
      </w:r>
      <w:bookmarkStart w:id="0" w:name="_GoBack"/>
      <w:bookmarkEnd w:id="0"/>
    </w:p>
    <w:p w14:paraId="11774319">
      <w:pPr>
        <w:pStyle w:val="4"/>
        <w:keepNext/>
        <w:widowControl/>
        <w:spacing w:before="140" w:after="140" w:line="360" w:lineRule="auto"/>
        <w:rPr>
          <w:rFonts w:hint="eastAsia" w:ascii="黑体" w:hAnsi="黑体" w:eastAsia="黑体" w:cs="黑体"/>
          <w:b/>
          <w:color w:val="000000"/>
          <w:sz w:val="28"/>
          <w:szCs w:val="28"/>
        </w:rPr>
      </w:pPr>
      <w:r>
        <w:rPr>
          <w:rFonts w:hint="eastAsia" w:ascii="黑体" w:hAnsi="黑体" w:eastAsia="黑体" w:cs="黑体"/>
          <w:b/>
          <w:color w:val="000000"/>
          <w:sz w:val="28"/>
        </w:rPr>
        <w:t>9.1 部署环境与源码获取</w:t>
      </w:r>
    </w:p>
    <w:p w14:paraId="075AF344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560" w:firstLineChars="200"/>
        <w:textAlignment w:val="auto"/>
        <w:rPr>
          <w:rFonts w:hint="eastAsia" w:ascii="宋体" w:hAnsi="宋体" w:eastAsia="宋体" w:cs="宋体"/>
          <w:b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</w:rPr>
        <w:t>电脑端使用 Windows 10/11 64 位系统，安装 Git、JDK 21 或更高版本、Maven 3.9 或更高版本、MySQL 8.4 LTS 和 MinIO。编译 Android 客户端还需安装 Flutter stable、Android Studio 与 Android SDK，并通过 flutter doctor 和 Android 许可检查。AI 功能使用阿里云百炼模型接口，需要使用者配置自己的 API Key 和模型额度。</w:t>
      </w:r>
    </w:p>
    <w:p w14:paraId="4AC3F6D8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560" w:firstLineChars="200"/>
        <w:textAlignment w:val="auto"/>
        <w:rPr>
          <w:rFonts w:hint="eastAsia" w:ascii="宋体" w:hAnsi="宋体" w:eastAsia="宋体" w:cs="宋体"/>
          <w:b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</w:rPr>
        <w:t>源码仓库为 https://github.com/abcElla/yanji_code。业务后端、Agent 和客户端分别位于 backend-java、agent-java 与 frontend-flutter 分支。使用 git clone --single-branch --branch 分支名 仓库地址 目录名，分别将三个分支克隆为同一父目录下的 backend-java、agent-java 和 frontend-flutter。部署脚本根据自身位置定位各工程，使用者可以选择自己的安装目录。</w:t>
      </w:r>
    </w:p>
    <w:p w14:paraId="14366D21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560" w:firstLineChars="200"/>
        <w:textAlignment w:val="auto"/>
        <w:rPr>
          <w:rFonts w:hint="eastAsia" w:ascii="宋体" w:hAnsi="宋体" w:eastAsia="宋体" w:cs="宋体"/>
          <w:b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</w:rPr>
        <w:t>MinIO 可使用 Go 1.24 或更高版本执行 go install github.com/minio/minio@RELEASE.2025-09-07T16-13-09Z 安装，默认程序位于用户目录的 go/bin/minio.exe。数据库和文件存储均由使用者在本机运行；手机只访问业务后端的 API。</w:t>
      </w:r>
    </w:p>
    <w:p w14:paraId="606A82D9">
      <w:pPr>
        <w:pStyle w:val="4"/>
        <w:keepNext/>
        <w:widowControl/>
        <w:spacing w:before="140" w:after="140" w:line="360" w:lineRule="auto"/>
        <w:rPr>
          <w:rFonts w:hint="eastAsia" w:ascii="黑体" w:hAnsi="黑体" w:eastAsia="黑体" w:cs="黑体"/>
          <w:b/>
          <w:color w:val="000000"/>
          <w:sz w:val="28"/>
          <w:szCs w:val="28"/>
        </w:rPr>
      </w:pPr>
      <w:r>
        <w:rPr>
          <w:rFonts w:hint="eastAsia" w:ascii="黑体" w:hAnsi="黑体" w:eastAsia="黑体" w:cs="黑体"/>
          <w:b/>
          <w:color w:val="000000"/>
          <w:sz w:val="28"/>
        </w:rPr>
        <w:t>9.2 运行配置与数据库初始化</w:t>
      </w:r>
    </w:p>
    <w:p w14:paraId="3CE2CDF7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560" w:firstLineChars="200"/>
        <w:textAlignment w:val="auto"/>
        <w:rPr>
          <w:rFonts w:hint="eastAsia" w:ascii="宋体" w:hAnsi="宋体" w:eastAsia="宋体" w:cs="宋体"/>
          <w:b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</w:rPr>
        <w:t>进入 backend-java 源码根目录，在 PowerShell 中执行 deploy/setup.ps1。按提示填写 JDK、MySQL 客户端与 MinIO 程序路径，设置数据库应用账号密码并输入模型 API Key。脚本自动生成 MinIO 密码、后端内部服务密钥和 Agent 接收密钥，保存为 deploy/deployment.local.json。两个 Java 服务从这一份本地配置读取地址和通信密钥。该文件包含私有配置，已被 Git 忽略。</w:t>
      </w:r>
    </w:p>
    <w:p w14:paraId="0B0F46EE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560" w:firstLineChars="200"/>
        <w:textAlignment w:val="auto"/>
        <w:rPr>
          <w:rFonts w:hint="eastAsia" w:ascii="宋体" w:hAnsi="宋体" w:eastAsia="宋体" w:cs="宋体"/>
          <w:b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</w:rPr>
        <w:t>确认 MySQL 服务运行后执行 deploy/init-database.ps1 -WithDemo，并输入 MySQL 管理员密码。脚本创建业务数据库和应用账号，在空数据库中导入 sql/000_current_schema_mysql.sql 的完整表结构，再执行论文、科研跟进、经验记录与周报约束等增量迁移。应用账号只获得业务数据库权限，业务服务不使用 root 账号。数据库已有表时，脚本跳过完整表结构初始化。</w:t>
      </w:r>
    </w:p>
    <w:p w14:paraId="60B1AD09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560" w:firstLineChars="200"/>
        <w:textAlignment w:val="auto"/>
        <w:rPr>
          <w:rFonts w:hint="eastAsia" w:ascii="宋体" w:hAnsi="宋体" w:eastAsia="宋体" w:cs="宋体"/>
          <w:b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</w:rPr>
        <w:t>GitHub 同时提供 deploy/data/demo.sql 和 deploy/import-data.ps1，用于导入公开演示数据，包括导师、学生、课题组、导师关系、阶段和任务。演示账号为 demo_mentor 与 demo_student，初始密码均为 YanjiDemo2026!，正常使用前应修改密码。该数据集不依赖附件对象，可用于安装后的登录和业务页面验证。省略 -WithDemo 时仅创建表结构，使用者可自行注册并录入业务数据。</w:t>
      </w:r>
    </w:p>
    <w:p w14:paraId="2F29546D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560" w:firstLineChars="200"/>
        <w:textAlignment w:val="auto"/>
        <w:rPr>
          <w:rFonts w:hint="eastAsia" w:ascii="宋体" w:hAnsi="宋体" w:eastAsia="宋体" w:cs="宋体"/>
          <w:b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</w:rPr>
        <w:t>后续数据库升级执行 deploy/migrate-database.ps1。脚本按顺序执行迁移，并记录文件名、SHA-256 和执行时间；已执行的同版本迁移自动跳过，已执行文件内容改变时停止并提示。演示数据重复导入不会覆盖已有演示记录。使用者也可通过 import-data.ps1 -SqlFile 指定与当前表结构兼容的 SQL 文件；涉及附件时，还须同时恢复对应的 MinIO 对象。</w:t>
      </w:r>
    </w:p>
    <w:p w14:paraId="6E3226AE">
      <w:pPr>
        <w:pStyle w:val="4"/>
        <w:keepNext/>
        <w:widowControl/>
        <w:spacing w:before="140" w:after="140" w:line="360" w:lineRule="auto"/>
        <w:rPr>
          <w:rFonts w:hint="eastAsia" w:ascii="黑体" w:hAnsi="黑体" w:eastAsia="黑体" w:cs="黑体"/>
          <w:b/>
          <w:color w:val="000000"/>
          <w:sz w:val="28"/>
          <w:szCs w:val="28"/>
        </w:rPr>
      </w:pPr>
      <w:r>
        <w:rPr>
          <w:rFonts w:hint="eastAsia" w:ascii="黑体" w:hAnsi="黑体" w:eastAsia="黑体" w:cs="黑体"/>
          <w:b/>
          <w:color w:val="000000"/>
          <w:sz w:val="28"/>
        </w:rPr>
        <w:t>9.3 电脑端服务编译与启动</w:t>
      </w:r>
    </w:p>
    <w:p w14:paraId="6ECED7A0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560" w:firstLineChars="200"/>
        <w:textAlignment w:val="auto"/>
        <w:rPr>
          <w:rFonts w:hint="eastAsia" w:ascii="宋体" w:hAnsi="宋体" w:eastAsia="宋体" w:cs="宋体"/>
          <w:b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</w:rPr>
        <w:t>执行 deploy/build.ps1 编译业务后端与 Agent。两个 Maven 工程构建成功后，在三个独立 PowerShell 窗口分别运行服务。第一个窗口执行 deploy/start-minio.ps1；第二个窗口先执行 deploy/init-storage.ps1 创建私有存储桶 yanji-files，再执行 deploy/start-backend.ps1；第三个窗口执行 deploy/start-agent.ps1。各窗口需保持运行。</w:t>
      </w:r>
    </w:p>
    <w:p w14:paraId="14D05F88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560" w:firstLineChars="200"/>
        <w:textAlignment w:val="auto"/>
        <w:rPr>
          <w:rFonts w:hint="eastAsia" w:ascii="宋体" w:hAnsi="宋体" w:eastAsia="宋体" w:cs="宋体"/>
          <w:b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</w:rPr>
        <w:t>默认业务后端端口为 8000，监听电脑网络接口；Agent 端口为 8091，仅供本机后端调用；MinIO API 和控制台分别为 9000 和 9001，仅供本机存储访问和管理。脚本自动设置完整 Agent 任务接收路径 /internal/v1/tasks，并启用后端 mysql profile。默认部署使用关键词检索，无需 Redis 或向量服务；启用混合检索时需要另行部署嵌入服务并设置相应参数。</w:t>
      </w:r>
    </w:p>
    <w:p w14:paraId="1E744B75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560" w:firstLineChars="200"/>
        <w:textAlignment w:val="auto"/>
        <w:rPr>
          <w:rFonts w:hint="eastAsia" w:ascii="宋体" w:hAnsi="宋体" w:eastAsia="宋体" w:cs="宋体"/>
          <w:b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</w:rPr>
        <w:t>启动后，MySQL 保存结构化业务数据，MinIO 的 deploy/runtime/minio-data 目录保存附件对象。停止服务时在对应窗口按 Ctrl+C；再次使用时启动 MySQL、MinIO、业务后端和 Agent 即可，无需重新初始化数据库。电脑应保持开机、联网，避免休眠导致手机无法连接。</w:t>
      </w:r>
    </w:p>
    <w:p w14:paraId="1D550EF4">
      <w:pPr>
        <w:pStyle w:val="4"/>
        <w:keepNext/>
        <w:widowControl/>
        <w:spacing w:before="140" w:after="140" w:line="360" w:lineRule="auto"/>
        <w:rPr>
          <w:rFonts w:hint="eastAsia" w:ascii="黑体" w:hAnsi="黑体" w:eastAsia="黑体" w:cs="黑体"/>
          <w:b/>
          <w:color w:val="000000"/>
          <w:sz w:val="28"/>
          <w:szCs w:val="28"/>
        </w:rPr>
      </w:pPr>
      <w:r>
        <w:rPr>
          <w:rFonts w:hint="eastAsia" w:ascii="黑体" w:hAnsi="黑体" w:eastAsia="黑体" w:cs="黑体"/>
          <w:b/>
          <w:color w:val="000000"/>
          <w:sz w:val="28"/>
        </w:rPr>
        <w:t>9.4 Android 手机安装与网络连接</w:t>
      </w:r>
    </w:p>
    <w:p w14:paraId="00FF44AD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560" w:firstLineChars="200"/>
        <w:textAlignment w:val="auto"/>
        <w:rPr>
          <w:rFonts w:hint="eastAsia" w:ascii="宋体" w:hAnsi="宋体" w:eastAsia="宋体" w:cs="宋体"/>
          <w:b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</w:rPr>
        <w:t>电脑与手机连接同一 Wi-Fi。使用 ipconfig 查询电脑实际局域网 IPv4，在 Windows 专用网络防火墙中允许业务后端端口的入站访问，并将范围限制为本地子网。手机访问地址应填写电脑局域网 IP，不应填写 localhost 或 127.0.0.1。MySQL、Agent 和 MinIO 端口无需对手机开放。</w:t>
      </w:r>
    </w:p>
    <w:p w14:paraId="4EB414E2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560" w:firstLineChars="200"/>
        <w:textAlignment w:val="auto"/>
        <w:rPr>
          <w:rFonts w:hint="eastAsia" w:ascii="宋体" w:hAnsi="宋体" w:eastAsia="宋体" w:cs="宋体"/>
          <w:b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</w:rPr>
        <w:t>先在手机浏览器访问 http://电脑IP:8000/health/live，确认网络可达，再执行 deploy/build-mobile.ps1 -ApiBaseUrl "http://电脑IP:8000"。脚本获取 Flutter 依赖并生成支持局域网 HTTP 调试的 Android APK，输出位于 frontend-flutter/frontend/apps/mobile/build/app/outputs/flutter-apk/app-debug.apk。将 APK 传到手机并允许相应来源安装，或连接已开启 USB 调试并完成授权的手机，在构建命令后增加 -Install 直接安装。</w:t>
      </w:r>
    </w:p>
    <w:p w14:paraId="7C627E69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560" w:firstLineChars="200"/>
        <w:textAlignment w:val="auto"/>
        <w:rPr>
          <w:rFonts w:hint="eastAsia" w:ascii="宋体" w:hAnsi="宋体" w:eastAsia="宋体" w:cs="宋体"/>
          <w:b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</w:rPr>
        <w:t>手机 API 地址在构建 APK 时写入。电脑 IP 或后端端口改变后，应使用新的 ApiBaseUrl 重新构建并安装客户端。Android 模拟器访问宿主电脑时可使用 http://10.0.2.2:8000；本章的真机部署使用电脑实际局域网 IP。当前安装流程面向 Android，iOS 需另行完成 macOS、Xcode 和签名配置。</w:t>
      </w:r>
    </w:p>
    <w:p w14:paraId="3CB00E5D">
      <w:pPr>
        <w:pStyle w:val="4"/>
        <w:keepNext/>
        <w:widowControl/>
        <w:spacing w:before="140" w:after="140" w:line="360" w:lineRule="auto"/>
        <w:rPr>
          <w:rFonts w:hint="eastAsia" w:ascii="黑体" w:hAnsi="黑体" w:eastAsia="黑体" w:cs="黑体"/>
          <w:b/>
          <w:color w:val="000000"/>
          <w:sz w:val="28"/>
          <w:szCs w:val="28"/>
        </w:rPr>
      </w:pPr>
      <w:r>
        <w:rPr>
          <w:rFonts w:ascii="Calibri" w:hAnsi="Calibri" w:eastAsia="黑体"/>
          <w:b/>
          <w:color w:val="000000"/>
          <w:sz w:val="28"/>
        </w:rPr>
        <w:t>9.5 部署验收与运行维护</w:t>
      </w:r>
    </w:p>
    <w:p w14:paraId="2461BF39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560" w:firstLineChars="200"/>
        <w:textAlignment w:val="auto"/>
        <w:rPr>
          <w:rFonts w:hint="eastAsia" w:ascii="宋体" w:hAnsi="宋体" w:eastAsia="宋体" w:cs="宋体"/>
          <w:b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</w:rPr>
        <w:t>执行 deploy/check-deployment.ps1 -DemoLogin，检查业务后端存活、数据库就绪、Agent 与 MinIO 存活，以及两个演示账号的登录和个人信息读取。未导入演示数据时省略 -DemoLogin。随后在手机中确认学生能查看演示阶段和任务、导师能查看演示学生，并完成一次科研问答及一次附件上传和读取。健康接口只验证服务状态，实际科研问答用于进一步确认模型 Key、额度、网络与服务间调用。</w:t>
      </w:r>
    </w:p>
    <w:p w14:paraId="523CD6C4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560" w:firstLineChars="200"/>
        <w:textAlignment w:val="auto"/>
        <w:rPr>
          <w:rFonts w:hint="eastAsia" w:ascii="宋体" w:hAnsi="宋体" w:eastAsia="宋体" w:cs="宋体"/>
          <w:b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</w:rPr>
        <w:t>停止并重新启动业务后端后，应能再次登录并读取已有业务数据。更新软件时先备份数据库与附件，拉取三个分支的代码，停止 Java 服务，执行数据库增量迁移和重新编译，再启动服务；客户端变化时重新构建并安装 APK。数据库备份可使用 mysqldump 的 --single-transaction 和 --result-file 参数；MinIO 文件目录应在停止存储服务后复制备份，同时保存本机私有配置。</w:t>
      </w:r>
    </w:p>
    <w:p w14:paraId="7A6B9FBE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560" w:firstLineChars="200"/>
        <w:textAlignment w:val="auto"/>
        <w:rPr>
          <w:rFonts w:hint="eastAsia" w:ascii="宋体" w:hAnsi="宋体" w:eastAsia="宋体" w:cs="宋体"/>
          <w:b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</w:rPr>
        <w:t>后端日志位于业务工程的 logs 目录，MinIO 与 Agent 日志显示在各自启动窗口。连接失败时依次检查服务是否运行、实际 IP、端口、防火墙及 APK 编译地址；模型调用失败时检查 Agent 配置、百炼 Key、模型额度和互联网访问。README 提供逐条命令、配置字段、数据导入与常见问题处理，使用者可据此完成部署和日常运行。</w:t>
      </w:r>
    </w:p>
    <w:p w14:paraId="07E48CA8">
      <w:pPr>
        <w:pStyle w:val="3"/>
        <w:keepNext/>
        <w:widowControl/>
        <w:spacing w:before="200" w:after="140" w:line="360" w:lineRule="auto"/>
        <w:rPr>
          <w:rFonts w:hint="eastAsia" w:ascii="黑体" w:hAnsi="黑体" w:eastAsia="黑体" w:cs="黑体"/>
          <w:sz w:val="28"/>
          <w:szCs w:val="28"/>
          <w:lang w:eastAsia="zh-CN"/>
        </w:rPr>
      </w:pPr>
      <w:r>
        <w:rPr>
          <w:rFonts w:hint="eastAsia" w:ascii="黑体" w:hAnsi="黑体" w:eastAsia="黑体" w:cs="黑体"/>
          <w:b/>
          <w:color w:val="000000"/>
          <w:sz w:val="32"/>
        </w:rPr>
        <w:t>十、不足分析与改进计划</w:t>
      </w:r>
    </w:p>
    <w:p w14:paraId="0E1968E3">
      <w:pPr>
        <w:pStyle w:val="4"/>
        <w:keepNext/>
        <w:widowControl/>
        <w:spacing w:before="140" w:after="140" w:line="360" w:lineRule="auto"/>
        <w:rPr>
          <w:rFonts w:hint="eastAsia" w:ascii="黑体" w:hAnsi="黑体" w:eastAsia="黑体" w:cs="黑体"/>
          <w:b/>
          <w:color w:val="000000"/>
          <w:sz w:val="28"/>
          <w:szCs w:val="28"/>
        </w:rPr>
      </w:pPr>
      <w:r>
        <w:rPr>
          <w:rFonts w:hint="eastAsia" w:ascii="黑体" w:hAnsi="黑体" w:eastAsia="黑体" w:cs="黑体"/>
          <w:b/>
          <w:color w:val="000000"/>
          <w:sz w:val="28"/>
          <w:szCs w:val="28"/>
        </w:rPr>
        <w:t>10.1 当前不足</w:t>
      </w:r>
    </w:p>
    <w:p w14:paraId="0E4F8C8B">
      <w:pPr>
        <w:widowControl/>
        <w:spacing w:after="120" w:line="360" w:lineRule="auto"/>
        <w:ind w:firstLine="560" w:firstLineChars="200"/>
        <w:rPr>
          <w:rFonts w:hint="eastAsia" w:ascii="宋体" w:hAnsi="宋体" w:eastAsia="宋体" w:cs="宋体"/>
          <w:b w:val="0"/>
          <w:color w:val="000000"/>
          <w:sz w:val="28"/>
          <w:szCs w:val="28"/>
        </w:rPr>
      </w:pPr>
      <w:r>
        <w:rPr>
          <w:rFonts w:ascii="宋体" w:eastAsia="宋体"/>
          <w:color w:val="000000"/>
          <w:sz w:val="28"/>
        </w:rPr>
        <w:t>实验表明，系统在反馈理解、科研结论核验与论文问答中取得了较好表现；不同任务的证据组织、输出稳定性和调用效率仍有提升空间。后续将结合更多科研场景与师生评价持续完善。</w:t>
      </w:r>
    </w:p>
    <w:p w14:paraId="583B1E0F">
      <w:pPr>
        <w:pStyle w:val="4"/>
        <w:keepNext/>
        <w:widowControl/>
        <w:spacing w:before="140" w:after="140" w:line="360" w:lineRule="auto"/>
        <w:rPr>
          <w:rFonts w:hint="eastAsia" w:ascii="黑体" w:hAnsi="黑体" w:eastAsia="黑体" w:cs="黑体"/>
          <w:b/>
          <w:color w:val="000000"/>
          <w:sz w:val="28"/>
          <w:szCs w:val="28"/>
        </w:rPr>
      </w:pPr>
      <w:r>
        <w:rPr>
          <w:rFonts w:hint="eastAsia" w:ascii="黑体" w:hAnsi="黑体" w:eastAsia="黑体" w:cs="黑体"/>
          <w:b/>
          <w:color w:val="000000"/>
          <w:sz w:val="28"/>
          <w:szCs w:val="28"/>
        </w:rPr>
        <w:t>10.2 后续改进</w:t>
      </w:r>
    </w:p>
    <w:p w14:paraId="2480160A">
      <w:pPr>
        <w:widowControl/>
        <w:spacing w:after="120" w:line="360" w:lineRule="auto"/>
        <w:ind w:firstLine="560" w:firstLineChars="200"/>
        <w:rPr>
          <w:rFonts w:hint="eastAsia" w:ascii="宋体" w:hAnsi="宋体" w:eastAsia="宋体" w:cs="宋体"/>
          <w:b w:val="0"/>
          <w:color w:val="000000"/>
          <w:sz w:val="28"/>
          <w:szCs w:val="28"/>
        </w:rPr>
      </w:pPr>
      <w:r>
        <w:rPr>
          <w:rFonts w:ascii="宋体" w:eastAsia="宋体"/>
          <w:color w:val="000000"/>
          <w:sz w:val="28"/>
        </w:rPr>
        <w:t>进一步扩展科研任务与评测规模，优化资料检索、反馈组织和研究规划，提升回答的稳定性与可追溯性；结合实验室使用反馈完善跨场景经验复用和移动端交互，持续改善指导质量与运行效率。</w:t>
      </w:r>
    </w:p>
    <w:p w14:paraId="3071872D">
      <w:pPr>
        <w:pStyle w:val="3"/>
        <w:keepNext/>
        <w:widowControl/>
        <w:spacing w:before="140" w:after="140" w:line="360" w:lineRule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b/>
          <w:color w:val="000000"/>
          <w:sz w:val="28"/>
          <w:szCs w:val="28"/>
        </w:rPr>
        <w:t>参考文献</w:t>
      </w:r>
    </w:p>
    <w:p w14:paraId="31E527D1">
      <w:pPr>
        <w:widowControl/>
        <w:spacing w:after="120"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[1] D’Arcy M, et al. ARIES: A Corpus of Scientific Paper Edits Made in Response to Peer Reviews. ACL, 2024. https://aclanthology.org/2024.acl-long.377/</w:t>
      </w:r>
    </w:p>
    <w:p w14:paraId="34A7D416">
      <w:pPr>
        <w:widowControl/>
        <w:spacing w:after="120"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[2] Shinn N, et al. Reflexion: Language Agents with Verbal Reinforcement Learning. NeurIPS, 2023. https://arxiv.org/abs/2303.11366</w:t>
      </w:r>
    </w:p>
    <w:p w14:paraId="0DA5D02F">
      <w:pPr>
        <w:widowControl/>
        <w:spacing w:after="120"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[3] Asai A, et al. Self-RAG: Learning to Retrieve, Generate, and Critique through Self-Reflection. ICLR, 2024. https://arxiv.org/abs/2310.11511</w:t>
      </w:r>
    </w:p>
    <w:p w14:paraId="01550463">
      <w:pPr>
        <w:widowControl/>
        <w:spacing w:after="120"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[4] Gundawar A, Valmeekam K, Verma M, Kambhampati S. Robust Planning with Compound LLM Architectures: An LLM-Modulo Approach. arXiv:2411.14484, 2024. https://arxiv.org/abs/2411.14484</w:t>
      </w:r>
    </w:p>
    <w:p w14:paraId="226610B5">
      <w:pPr>
        <w:widowControl/>
        <w:spacing w:after="120"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[5] Wadden D, et al. Fact or Fiction: Verifying Scientific Claims. EMNLP, 2020: 7534–7550. https://aclanthology.org/2020.emnlp-main.609/</w:t>
      </w:r>
    </w:p>
    <w:p w14:paraId="50898421">
      <w:pPr>
        <w:widowControl/>
        <w:spacing w:after="120"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 w:val="0"/>
          <w:color w:val="000000"/>
          <w:sz w:val="28"/>
          <w:szCs w:val="28"/>
        </w:rPr>
        <w:t>[6] Dasigi P, Lo K, Beltagy I, Cohan A, Smith N A, Gardner M. A Dataset of Information-Seeking Questions and Answers Anchored in Research Papers. NAACL, 2021: 4599–4610. https://aclanthology.org/2021.naacl-main.365/</w:t>
      </w:r>
    </w:p>
    <w:p w14:paraId="4753D90F">
      <w:pPr>
        <w:pStyle w:val="3"/>
        <w:spacing w:line="360" w:lineRule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b/>
          <w:color w:val="000000"/>
          <w:sz w:val="28"/>
          <w:szCs w:val="28"/>
        </w:rPr>
        <w:t>附录A 参考文献与实现对应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2318"/>
        <w:gridCol w:w="3508"/>
        <w:gridCol w:w="2572"/>
      </w:tblGrid>
      <w:tr w14:paraId="079A84D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2318" w:type="dxa"/>
            <w:shd w:val="clear" w:color="auto" w:fill="E8EEF5"/>
            <w:vAlign w:val="center"/>
          </w:tcPr>
          <w:p w14:paraId="7B600F2E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8"/>
                <w:szCs w:val="28"/>
              </w:rPr>
              <w:t>文献与思路</w:t>
            </w:r>
          </w:p>
        </w:tc>
        <w:tc>
          <w:tcPr>
            <w:tcW w:w="3508" w:type="dxa"/>
            <w:shd w:val="clear" w:color="auto" w:fill="E8EEF5"/>
            <w:vAlign w:val="center"/>
          </w:tcPr>
          <w:p w14:paraId="4745314F">
            <w:pPr>
              <w:spacing w:before="60" w:after="60" w:line="360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8"/>
                <w:szCs w:val="28"/>
              </w:rPr>
              <w:t>本项目实际对应</w:t>
            </w:r>
          </w:p>
        </w:tc>
        <w:tc>
          <w:tcPr>
            <w:tcW w:w="2572" w:type="dxa"/>
            <w:shd w:val="clear" w:color="auto" w:fill="E8EEF5"/>
            <w:vAlign w:val="center"/>
          </w:tcPr>
          <w:p w14:paraId="413F9395">
            <w:pPr>
              <w:spacing w:before="60" w:after="60" w:line="360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8"/>
                <w:szCs w:val="28"/>
              </w:rPr>
              <w:t>实现范围</w:t>
            </w:r>
          </w:p>
        </w:tc>
      </w:tr>
      <w:tr w14:paraId="0EE2E1A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  <w:jc w:val="center"/>
        </w:trPr>
        <w:tc>
          <w:tcPr>
            <w:tcW w:w="2318" w:type="dxa"/>
            <w:vAlign w:val="center"/>
          </w:tcPr>
          <w:p w14:paraId="1DC4047D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8"/>
                <w:szCs w:val="28"/>
              </w:rPr>
              <w:t>[1] ARIES</w:t>
            </w:r>
          </w:p>
        </w:tc>
        <w:tc>
          <w:tcPr>
            <w:tcW w:w="3508" w:type="dxa"/>
            <w:vAlign w:val="center"/>
          </w:tcPr>
          <w:p w14:paraId="5D9C2FA0">
            <w:pPr>
              <w:spacing w:before="60" w:after="60" w:line="360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8"/>
                <w:szCs w:val="28"/>
              </w:rPr>
              <w:t>反馈语义识别与85条专家标注诊断</w:t>
            </w:r>
          </w:p>
        </w:tc>
        <w:tc>
          <w:tcPr>
            <w:tcW w:w="2572" w:type="dxa"/>
            <w:vAlign w:val="center"/>
          </w:tcPr>
          <w:p w14:paraId="6669988C">
            <w:pPr>
              <w:spacing w:before="60" w:after="60" w:line="360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8"/>
                <w:szCs w:val="28"/>
              </w:rPr>
              <w:t>只使用直接请求识别子任务</w:t>
            </w:r>
          </w:p>
        </w:tc>
      </w:tr>
      <w:tr w14:paraId="1F70B94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  <w:jc w:val="center"/>
        </w:trPr>
        <w:tc>
          <w:tcPr>
            <w:tcW w:w="2318" w:type="dxa"/>
            <w:vAlign w:val="center"/>
          </w:tcPr>
          <w:p w14:paraId="4CACE5A2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8"/>
                <w:szCs w:val="28"/>
              </w:rPr>
              <w:t>[2] Reflexion</w:t>
            </w:r>
          </w:p>
        </w:tc>
        <w:tc>
          <w:tcPr>
            <w:tcW w:w="3508" w:type="dxa"/>
            <w:vAlign w:val="center"/>
          </w:tcPr>
          <w:p w14:paraId="30276765">
            <w:pPr>
              <w:spacing w:before="60" w:after="60" w:line="360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8"/>
                <w:szCs w:val="28"/>
              </w:rPr>
              <w:t>反馈与修改理由形成指导记忆</w:t>
            </w:r>
          </w:p>
        </w:tc>
        <w:tc>
          <w:tcPr>
            <w:tcW w:w="2572" w:type="dxa"/>
            <w:vAlign w:val="center"/>
          </w:tcPr>
          <w:p w14:paraId="34378F96">
            <w:pPr>
              <w:spacing w:before="60" w:after="60" w:line="360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8"/>
                <w:szCs w:val="28"/>
              </w:rPr>
              <w:t>语言经验复用，未训练底座权重</w:t>
            </w:r>
          </w:p>
        </w:tc>
      </w:tr>
      <w:tr w14:paraId="0E9B852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  <w:jc w:val="center"/>
        </w:trPr>
        <w:tc>
          <w:tcPr>
            <w:tcW w:w="2318" w:type="dxa"/>
            <w:vAlign w:val="center"/>
          </w:tcPr>
          <w:p w14:paraId="716159BD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8"/>
                <w:szCs w:val="28"/>
              </w:rPr>
              <w:t>[3] Self-RAG</w:t>
            </w:r>
          </w:p>
        </w:tc>
        <w:tc>
          <w:tcPr>
            <w:tcW w:w="3508" w:type="dxa"/>
            <w:vAlign w:val="center"/>
          </w:tcPr>
          <w:p w14:paraId="548BDE6B">
            <w:pPr>
              <w:spacing w:before="60" w:after="60" w:line="360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8"/>
                <w:szCs w:val="28"/>
              </w:rPr>
              <w:t>授权检索、原文锚点及依据核对</w:t>
            </w:r>
          </w:p>
        </w:tc>
        <w:tc>
          <w:tcPr>
            <w:tcW w:w="2572" w:type="dxa"/>
            <w:vAlign w:val="center"/>
          </w:tcPr>
          <w:p w14:paraId="233DD268">
            <w:pPr>
              <w:spacing w:before="60" w:after="60" w:line="360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8"/>
                <w:szCs w:val="28"/>
              </w:rPr>
              <w:t>未训练反思token或完整复现其模型</w:t>
            </w:r>
          </w:p>
        </w:tc>
      </w:tr>
      <w:tr w14:paraId="062147C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  <w:jc w:val="center"/>
        </w:trPr>
        <w:tc>
          <w:tcPr>
            <w:tcW w:w="2318" w:type="dxa"/>
            <w:vAlign w:val="center"/>
          </w:tcPr>
          <w:p w14:paraId="7A745142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8"/>
                <w:szCs w:val="28"/>
              </w:rPr>
              <w:t>[4] LLM-Modulo</w:t>
            </w:r>
          </w:p>
        </w:tc>
        <w:tc>
          <w:tcPr>
            <w:tcW w:w="3508" w:type="dxa"/>
            <w:vAlign w:val="center"/>
          </w:tcPr>
          <w:p w14:paraId="66121C1A">
            <w:pPr>
              <w:spacing w:before="60" w:after="60" w:line="360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8"/>
                <w:szCs w:val="28"/>
              </w:rPr>
              <w:t>约束规划、依赖检查与有限修正</w:t>
            </w:r>
          </w:p>
        </w:tc>
        <w:tc>
          <w:tcPr>
            <w:tcW w:w="2572" w:type="dxa"/>
            <w:vAlign w:val="center"/>
          </w:tcPr>
          <w:p w14:paraId="0AEDB07E">
            <w:pPr>
              <w:spacing w:before="60" w:after="60" w:line="360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8"/>
                <w:szCs w:val="28"/>
              </w:rPr>
              <w:t>业务范围检查，非完备形式化保证</w:t>
            </w:r>
          </w:p>
        </w:tc>
      </w:tr>
      <w:tr w14:paraId="2BF74D0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  <w:jc w:val="center"/>
        </w:trPr>
        <w:tc>
          <w:tcPr>
            <w:tcW w:w="2318" w:type="dxa"/>
            <w:vAlign w:val="center"/>
          </w:tcPr>
          <w:p w14:paraId="6ECE4958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8"/>
                <w:szCs w:val="28"/>
              </w:rPr>
              <w:t>[5] SciFact</w:t>
            </w:r>
          </w:p>
        </w:tc>
        <w:tc>
          <w:tcPr>
            <w:tcW w:w="3508" w:type="dxa"/>
            <w:vAlign w:val="center"/>
          </w:tcPr>
          <w:p w14:paraId="0BC849D5">
            <w:pPr>
              <w:spacing w:before="60" w:after="60" w:line="360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8"/>
                <w:szCs w:val="28"/>
              </w:rPr>
              <w:t>公开摘要下的结论标签及证据句测试</w:t>
            </w:r>
          </w:p>
        </w:tc>
        <w:tc>
          <w:tcPr>
            <w:tcW w:w="2572" w:type="dxa"/>
            <w:vAlign w:val="center"/>
          </w:tcPr>
          <w:p w14:paraId="0D047BB6">
            <w:pPr>
              <w:spacing w:before="60" w:after="60" w:line="360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8"/>
                <w:szCs w:val="28"/>
              </w:rPr>
              <w:t>固定30条，不含全库证据检索</w:t>
            </w:r>
          </w:p>
        </w:tc>
      </w:tr>
      <w:tr w14:paraId="0F69741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  <w:jc w:val="center"/>
        </w:trPr>
        <w:tc>
          <w:tcPr>
            <w:tcW w:w="2318" w:type="dxa"/>
            <w:vAlign w:val="center"/>
          </w:tcPr>
          <w:p w14:paraId="00ED50C0">
            <w:pPr>
              <w:spacing w:before="60" w:after="60" w:line="360" w:lineRule="auto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8"/>
                <w:szCs w:val="28"/>
              </w:rPr>
              <w:t>[6] QASPER</w:t>
            </w:r>
          </w:p>
        </w:tc>
        <w:tc>
          <w:tcPr>
            <w:tcW w:w="3508" w:type="dxa"/>
            <w:vAlign w:val="center"/>
          </w:tcPr>
          <w:p w14:paraId="0BEF1C4E">
            <w:pPr>
              <w:spacing w:before="60" w:after="60" w:line="360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8"/>
                <w:szCs w:val="28"/>
              </w:rPr>
              <w:t>论文段落检索、回答与证据评分</w:t>
            </w:r>
          </w:p>
        </w:tc>
        <w:tc>
          <w:tcPr>
            <w:tcW w:w="2572" w:type="dxa"/>
            <w:vAlign w:val="center"/>
          </w:tcPr>
          <w:p w14:paraId="76D7ECC9">
            <w:pPr>
              <w:spacing w:before="60" w:after="60" w:line="360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8"/>
                <w:szCs w:val="28"/>
              </w:rPr>
              <w:t>固定30问，使用官方评价脚本</w:t>
            </w:r>
          </w:p>
        </w:tc>
      </w:tr>
    </w:tbl>
    <w:p w14:paraId="609443C5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17" w:right="1531" w:bottom="1417" w:left="153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988557844"/>
      <w:docPartObj>
        <w:docPartGallery w:val="autotext"/>
      </w:docPartObj>
    </w:sdtPr>
    <w:sdtContent>
      <w:p w14:paraId="354C2441">
        <w:pPr>
          <w:pStyle w:val="25"/>
          <w:jc w:val="center"/>
          <w:rPr>
            <w:rFonts w:hint="eastAsia"/>
          </w:rPr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5771DD6">
    <w:pPr>
      <w:pStyle w:val="25"/>
      <w:spacing w:line="264" w:lineRule="auto"/>
      <w:jc w:val="center"/>
      <w:rPr>
        <w:lang w:eastAsia="zh-C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A64735">
    <w:pPr>
      <w:pStyle w:val="2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D89F86">
    <w:pPr>
      <w:pStyle w:val="2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9758BF">
    <w:pPr>
      <w:pStyle w:val="2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9B0F7A">
    <w:pPr>
      <w:pStyle w:val="2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236F1E">
    <w:pPr>
      <w:pStyle w:val="2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27F1"/>
    <w:rsid w:val="00034616"/>
    <w:rsid w:val="0006063C"/>
    <w:rsid w:val="000A54F4"/>
    <w:rsid w:val="0015074B"/>
    <w:rsid w:val="00262DC6"/>
    <w:rsid w:val="0029639D"/>
    <w:rsid w:val="002B2AD3"/>
    <w:rsid w:val="00326F90"/>
    <w:rsid w:val="003C3FAB"/>
    <w:rsid w:val="003D508D"/>
    <w:rsid w:val="005C3DE3"/>
    <w:rsid w:val="00624D35"/>
    <w:rsid w:val="00663A25"/>
    <w:rsid w:val="007006EF"/>
    <w:rsid w:val="007B241D"/>
    <w:rsid w:val="007E1AFD"/>
    <w:rsid w:val="009016FD"/>
    <w:rsid w:val="009142DE"/>
    <w:rsid w:val="00AA1D8D"/>
    <w:rsid w:val="00AE6703"/>
    <w:rsid w:val="00B47730"/>
    <w:rsid w:val="00C364B5"/>
    <w:rsid w:val="00C63573"/>
    <w:rsid w:val="00CB0664"/>
    <w:rsid w:val="00E16473"/>
    <w:rsid w:val="00FC693F"/>
    <w:rsid w:val="015F7080"/>
    <w:rsid w:val="025C04FD"/>
    <w:rsid w:val="03B47E70"/>
    <w:rsid w:val="043714DA"/>
    <w:rsid w:val="070337A0"/>
    <w:rsid w:val="07BA0AFE"/>
    <w:rsid w:val="080B1FB8"/>
    <w:rsid w:val="093669A0"/>
    <w:rsid w:val="09C94946"/>
    <w:rsid w:val="0A065A57"/>
    <w:rsid w:val="0A244784"/>
    <w:rsid w:val="0A902A92"/>
    <w:rsid w:val="0B36251A"/>
    <w:rsid w:val="0C54476A"/>
    <w:rsid w:val="0CC87042"/>
    <w:rsid w:val="0EF010F3"/>
    <w:rsid w:val="0EFF5B18"/>
    <w:rsid w:val="0F79253F"/>
    <w:rsid w:val="0FE21F6E"/>
    <w:rsid w:val="0FF47AFA"/>
    <w:rsid w:val="12F91006"/>
    <w:rsid w:val="13C75F88"/>
    <w:rsid w:val="148D183E"/>
    <w:rsid w:val="16F91D73"/>
    <w:rsid w:val="187A1D9E"/>
    <w:rsid w:val="18E762A1"/>
    <w:rsid w:val="198507CD"/>
    <w:rsid w:val="1BF048CA"/>
    <w:rsid w:val="1C4C1465"/>
    <w:rsid w:val="1D5510F4"/>
    <w:rsid w:val="1E902C84"/>
    <w:rsid w:val="1F385BCE"/>
    <w:rsid w:val="1F3E55BE"/>
    <w:rsid w:val="1F6317DE"/>
    <w:rsid w:val="1FA051F1"/>
    <w:rsid w:val="20EB41BF"/>
    <w:rsid w:val="216148F7"/>
    <w:rsid w:val="22A64014"/>
    <w:rsid w:val="22E47D76"/>
    <w:rsid w:val="23AD4FAC"/>
    <w:rsid w:val="24CC095D"/>
    <w:rsid w:val="253549DC"/>
    <w:rsid w:val="273242F8"/>
    <w:rsid w:val="297B5976"/>
    <w:rsid w:val="299C5AE8"/>
    <w:rsid w:val="2A0F5C38"/>
    <w:rsid w:val="2A4D7312"/>
    <w:rsid w:val="2A5C57A7"/>
    <w:rsid w:val="2CC46733"/>
    <w:rsid w:val="2D1A62EC"/>
    <w:rsid w:val="2E9F5C62"/>
    <w:rsid w:val="2FCF5B04"/>
    <w:rsid w:val="31374E78"/>
    <w:rsid w:val="32673AB6"/>
    <w:rsid w:val="326C0DDA"/>
    <w:rsid w:val="32BD7CF9"/>
    <w:rsid w:val="35BC2540"/>
    <w:rsid w:val="361849C0"/>
    <w:rsid w:val="3690682E"/>
    <w:rsid w:val="36F6044D"/>
    <w:rsid w:val="399C7BB9"/>
    <w:rsid w:val="3A9E358F"/>
    <w:rsid w:val="3EA16C79"/>
    <w:rsid w:val="3ED15FEF"/>
    <w:rsid w:val="3F095550"/>
    <w:rsid w:val="3F350918"/>
    <w:rsid w:val="41C54F60"/>
    <w:rsid w:val="42F73568"/>
    <w:rsid w:val="432F1B9E"/>
    <w:rsid w:val="434A043B"/>
    <w:rsid w:val="438F5D12"/>
    <w:rsid w:val="44BA1D13"/>
    <w:rsid w:val="454456B2"/>
    <w:rsid w:val="45FF375F"/>
    <w:rsid w:val="47555600"/>
    <w:rsid w:val="479334FB"/>
    <w:rsid w:val="491620E0"/>
    <w:rsid w:val="49447335"/>
    <w:rsid w:val="4A071B65"/>
    <w:rsid w:val="4AC9433B"/>
    <w:rsid w:val="4D4B04E1"/>
    <w:rsid w:val="4D6166FD"/>
    <w:rsid w:val="4F130D0F"/>
    <w:rsid w:val="506A5CF6"/>
    <w:rsid w:val="5079410E"/>
    <w:rsid w:val="513A59AB"/>
    <w:rsid w:val="52E57475"/>
    <w:rsid w:val="53DD5D66"/>
    <w:rsid w:val="55212E9C"/>
    <w:rsid w:val="55B6463C"/>
    <w:rsid w:val="5B052060"/>
    <w:rsid w:val="5C6854B4"/>
    <w:rsid w:val="5CBF10FA"/>
    <w:rsid w:val="5CC74AEA"/>
    <w:rsid w:val="5D9E448E"/>
    <w:rsid w:val="5E1B1BA1"/>
    <w:rsid w:val="5ECC76A2"/>
    <w:rsid w:val="5F181C77"/>
    <w:rsid w:val="62A920D8"/>
    <w:rsid w:val="63184CF0"/>
    <w:rsid w:val="64143CF3"/>
    <w:rsid w:val="64E159D6"/>
    <w:rsid w:val="65B37C6A"/>
    <w:rsid w:val="66723681"/>
    <w:rsid w:val="677C7158"/>
    <w:rsid w:val="68973B56"/>
    <w:rsid w:val="68C76C42"/>
    <w:rsid w:val="69DD52B6"/>
    <w:rsid w:val="6A742635"/>
    <w:rsid w:val="6ACC2863"/>
    <w:rsid w:val="6BC14706"/>
    <w:rsid w:val="6DB2302C"/>
    <w:rsid w:val="6DEC1F6B"/>
    <w:rsid w:val="6F4C4A2C"/>
    <w:rsid w:val="70665F1E"/>
    <w:rsid w:val="72D43A5B"/>
    <w:rsid w:val="7974794C"/>
    <w:rsid w:val="7ABC486F"/>
    <w:rsid w:val="7B894650"/>
    <w:rsid w:val="7C6F4083"/>
    <w:rsid w:val="7CB204D8"/>
    <w:rsid w:val="7D002BE5"/>
    <w:rsid w:val="7D767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Calibri" w:hAnsi="Calibri" w:eastAsia="微软雅黑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28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annotation text"/>
    <w:basedOn w:val="1"/>
    <w:semiHidden/>
    <w:unhideWhenUsed/>
    <w:uiPriority w:val="99"/>
    <w:pPr>
      <w:jc w:val="left"/>
    </w:pPr>
  </w:style>
  <w:style w:type="paragraph" w:styleId="18">
    <w:name w:val="Body Text 3"/>
    <w:basedOn w:val="1"/>
    <w:link w:val="147"/>
    <w:unhideWhenUsed/>
    <w:qFormat/>
    <w:uiPriority w:val="99"/>
    <w:rPr>
      <w:sz w:val="16"/>
      <w:szCs w:val="16"/>
    </w:rPr>
  </w:style>
  <w:style w:type="paragraph" w:styleId="19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5"/>
    <w:unhideWhenUsed/>
    <w:uiPriority w:val="99"/>
  </w:style>
  <w:style w:type="paragraph" w:styleId="21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qFormat/>
    <w:uiPriority w:val="99"/>
    <w:pPr>
      <w:ind w:left="360"/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uiPriority w:val="99"/>
    <w:pPr>
      <w:spacing w:line="480" w:lineRule="auto"/>
    </w:pPr>
  </w:style>
  <w:style w:type="paragraph" w:styleId="30">
    <w:name w:val="List Continue 2"/>
    <w:basedOn w:val="1"/>
    <w:unhideWhenUsed/>
    <w:uiPriority w:val="99"/>
    <w:pPr>
      <w:ind w:left="720"/>
      <w:contextualSpacing/>
    </w:pPr>
  </w:style>
  <w:style w:type="paragraph" w:styleId="31">
    <w:name w:val="List Continue 3"/>
    <w:basedOn w:val="1"/>
    <w:unhideWhenUsed/>
    <w:uiPriority w:val="99"/>
    <w:pPr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页眉 字符"/>
    <w:basedOn w:val="133"/>
    <w:link w:val="26"/>
    <w:qFormat/>
    <w:uiPriority w:val="99"/>
  </w:style>
  <w:style w:type="character" w:customStyle="1" w:styleId="137">
    <w:name w:val="页脚 字符"/>
    <w:basedOn w:val="133"/>
    <w:link w:val="25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标题 1 字符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标题 2 字符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标题 3 字符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标题 字符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副标题 字符"/>
    <w:basedOn w:val="133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正文文本 字符"/>
    <w:basedOn w:val="133"/>
    <w:link w:val="20"/>
    <w:qFormat/>
    <w:uiPriority w:val="99"/>
  </w:style>
  <w:style w:type="character" w:customStyle="1" w:styleId="146">
    <w:name w:val="正文文本 2 字符"/>
    <w:basedOn w:val="133"/>
    <w:link w:val="29"/>
    <w:qFormat/>
    <w:uiPriority w:val="99"/>
  </w:style>
  <w:style w:type="character" w:customStyle="1" w:styleId="147">
    <w:name w:val="正文文本 3 字符"/>
    <w:basedOn w:val="133"/>
    <w:link w:val="18"/>
    <w:uiPriority w:val="99"/>
    <w:rPr>
      <w:sz w:val="16"/>
      <w:szCs w:val="16"/>
    </w:rPr>
  </w:style>
  <w:style w:type="character" w:customStyle="1" w:styleId="148">
    <w:name w:val="宏文本 字符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引用 字符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标题 4 字符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标题 5 字符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标题 6 字符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标题 7 字符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标题 8 字符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标题 9 字符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明显引用 字符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numbering" Target="numbering.xml"/><Relationship Id="rId21" Type="http://schemas.openxmlformats.org/officeDocument/2006/relationships/image" Target="media/image10.jpe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jpe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jpeg"/><Relationship Id="rId14" Type="http://schemas.openxmlformats.org/officeDocument/2006/relationships/image" Target="media/image3.jpeg"/><Relationship Id="rId13" Type="http://schemas.openxmlformats.org/officeDocument/2006/relationships/image" Target="media/image2.jpeg"/><Relationship Id="rId12" Type="http://schemas.openxmlformats.org/officeDocument/2006/relationships/image" Target="media/image1.jpe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10821</Words>
  <Characters>15067</Characters>
  <Lines>26</Lines>
  <Paragraphs>43</Paragraphs>
  <TotalTime>18</TotalTime>
  <ScaleCrop>false</ScaleCrop>
  <LinksUpToDate>false</LinksUpToDate>
  <CharactersWithSpaces>15496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微信用户</cp:lastModifiedBy>
  <dcterms:modified xsi:type="dcterms:W3CDTF">2026-10-10T17:42:09Z</dcterms:modified>
  <dc:subject>科研培养Agent的实现与评测</dc:subject>
  <dc:title>研迹技术报告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E9CA9EAF20BD4CF98FC4A73E65A74A0C_13</vt:lpwstr>
  </property>
  <property fmtid="{D5CDD505-2E9C-101B-9397-08002B2CF9AE}" pid="4" name="KSOTemplateDocerSaveRecord">
    <vt:lpwstr>eyJoZGlkIjoiMDU4NzNhYjU4Y2I4NGJjOGQ1MzkzZGVmMTBjY2NmMTMiLCJ1c2VySWQiOiIxMjU1MjgzMTk2In0=</vt:lpwstr>
  </property>
</Properties>
</file>