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D5CA5"/>
          <w:sz w:val="52"/>
          <w:szCs w:val="52"/>
        </w:rPr>
        <w:t xml:space="preserve">Email Voice Guide</w:t>
      </w:r>
    </w:p>
    <w:p>
      <w:pPr>
        <w:pBdr>
          <w:bottom w:val="single" w:color="1D5CA5" w:sz="8" w:space="8"/>
        </w:pBdr>
        <w:spacing w:after="400" w:before="0"/>
      </w:pPr>
      <w:r>
        <w:rPr>
          <w:rFonts w:ascii="Arial" w:cs="Arial" w:eastAsia="Arial" w:hAnsi="Arial"/>
          <w:color w:val="888888"/>
          <w:sz w:val="20"/>
          <w:szCs w:val="20"/>
        </w:rPr>
        <w:t xml:space="preserve">Andrew Cause  ·  Built from sent email corpus  ·  April 2026</w:t>
      </w:r>
    </w:p>
    <w:p>
      <w:pPr>
        <w:pBdr>
          <w:bottom w:val="single" w:color="1D5CA5" w:sz="6" w:space="6"/>
        </w:pBdr>
        <w:spacing w:after="160" w:before="360"/>
      </w:pPr>
      <w:r>
        <w:rPr>
          <w:rFonts w:ascii="Arial" w:cs="Arial" w:eastAsia="Arial" w:hAnsi="Arial"/>
          <w:b/>
          <w:bCs/>
          <w:color w:val="1D5CA5"/>
          <w:sz w:val="28"/>
          <w:szCs w:val="28"/>
        </w:rPr>
        <w:t xml:space="preserve">1. Core Identity</w:t>
      </w:r>
    </w:p>
    <w:p>
      <w:pPr>
        <w:spacing w:after="80" w:before="80"/>
      </w:pPr>
      <w:r>
        <w:rPr>
          <w:rFonts w:ascii="Arial" w:cs="Arial" w:eastAsia="Arial" w:hAnsi="Arial"/>
          <w:color w:val="1A1A1A"/>
          <w:sz w:val="20"/>
          <w:szCs w:val="20"/>
        </w:rPr>
        <w:t xml:space="preserve">Four operational beliefs that shape every email. Not personality traits — assumptions about what the writer owes the reader and what email is for.</w:t>
      </w:r>
    </w:p>
    <w:p>
      <w:pPr>
        <w:spacing w:after="80" w:before="120"/>
      </w:pPr>
      <w:r>
        <w:rPr>
          <w:rFonts w:ascii="Arial" w:cs="Arial" w:eastAsia="Arial" w:hAnsi="Arial"/>
          <w:b/>
          <w:bCs/>
          <w:color w:val="1A1A1A"/>
          <w:sz w:val="20"/>
          <w:szCs w:val="20"/>
        </w:rPr>
        <w:t xml:space="preserve">Email delivers intelligence, not just information. </w:t>
      </w:r>
      <w:r>
        <w:rPr>
          <w:rFonts w:ascii="Arial" w:cs="Arial" w:eastAsia="Arial" w:hAnsi="Arial"/>
          <w:color w:val="1A1A1A"/>
          <w:sz w:val="20"/>
          <w:szCs w:val="20"/>
        </w:rPr>
        <w:t xml:space="preserve">Every substantive email contains something the reader didn't have before — analysis, a named framework, a scenario comparison with numbers. The act of sending is also an act of demonstrating expertise. The ATT bill email doesn't just relay costs; it builds a full decision matrix. The Kiana resume email doesn't just list changes; it names the strategic problem being solved.</w:t>
      </w:r>
    </w:p>
    <w:p>
      <w:pPr>
        <w:spacing w:after="80" w:before="80"/>
      </w:pPr>
      <w:r>
        <w:rPr>
          <w:rFonts w:ascii="Arial" w:cs="Arial" w:eastAsia="Arial" w:hAnsi="Arial"/>
          <w:b/>
          <w:bCs/>
          <w:color w:val="1A1A1A"/>
          <w:sz w:val="20"/>
          <w:szCs w:val="20"/>
        </w:rPr>
        <w:t xml:space="preserve">The reader has a decision or action waiting. </w:t>
      </w:r>
      <w:r>
        <w:rPr>
          <w:rFonts w:ascii="Arial" w:cs="Arial" w:eastAsia="Arial" w:hAnsi="Arial"/>
          <w:color w:val="1A1A1A"/>
          <w:sz w:val="20"/>
          <w:szCs w:val="20"/>
        </w:rPr>
        <w:t xml:space="preserve">The default structure is: context → options → who can act. Every advisory email separates what the reader can do alone from what requires others. Information without an action path is unfinished work.</w:t>
      </w:r>
    </w:p>
    <w:p>
      <w:pPr>
        <w:spacing w:after="80" w:before="80"/>
      </w:pPr>
      <w:r>
        <w:rPr>
          <w:rFonts w:ascii="Arial" w:cs="Arial" w:eastAsia="Arial" w:hAnsi="Arial"/>
          <w:b/>
          <w:bCs/>
          <w:color w:val="1A1A1A"/>
          <w:sz w:val="20"/>
          <w:szCs w:val="20"/>
        </w:rPr>
        <w:t xml:space="preserve">Specificity is a form of respect. </w:t>
      </w:r>
      <w:r>
        <w:rPr>
          <w:rFonts w:ascii="Arial" w:cs="Arial" w:eastAsia="Arial" w:hAnsi="Arial"/>
          <w:color w:val="1A1A1A"/>
          <w:sz w:val="20"/>
          <w:szCs w:val="20"/>
        </w:rPr>
        <w:t xml:space="preserve">Vague emails create follow-up questions, which waste time. Naming the plan tier ($34.74/month), the exact certification (CSPO), the framework label ('Elevated Technical Authority') — that precision is the product, not a flourish.</w:t>
      </w:r>
    </w:p>
    <w:p>
      <w:pPr>
        <w:spacing w:after="120" w:before="80"/>
      </w:pPr>
      <w:r>
        <w:rPr>
          <w:rFonts w:ascii="Arial" w:cs="Arial" w:eastAsia="Arial" w:hAnsi="Arial"/>
          <w:b/>
          <w:bCs/>
          <w:color w:val="1A1A1A"/>
          <w:sz w:val="20"/>
          <w:szCs w:val="20"/>
        </w:rPr>
        <w:t xml:space="preserve">Professional relationships are mutual resource exchanges. </w:t>
      </w:r>
      <w:r>
        <w:rPr>
          <w:rFonts w:ascii="Arial" w:cs="Arial" w:eastAsia="Arial" w:hAnsi="Arial"/>
          <w:color w:val="1A1A1A"/>
          <w:sz w:val="20"/>
          <w:szCs w:val="20"/>
        </w:rPr>
        <w:t xml:space="preserve">Outreach always leads with what you can offer. 'I'm a big believer in mutual intelligence' is a stated philosophy, not a platitude. Value transfer comes structurally before any ask.</w:t>
      </w:r>
    </w:p>
    <w:p>
      <w:pPr>
        <w:pBdr>
          <w:bottom w:val="single" w:color="1D5CA5" w:sz="6" w:space="6"/>
        </w:pBdr>
        <w:spacing w:after="160" w:before="360"/>
      </w:pPr>
      <w:r>
        <w:rPr>
          <w:rFonts w:ascii="Arial" w:cs="Arial" w:eastAsia="Arial" w:hAnsi="Arial"/>
          <w:b/>
          <w:bCs/>
          <w:color w:val="1D5CA5"/>
          <w:sz w:val="28"/>
          <w:szCs w:val="28"/>
        </w:rPr>
        <w:t xml:space="preserve">2. Registers</w:t>
      </w:r>
    </w:p>
    <w:p>
      <w:pPr>
        <w:spacing w:after="80" w:before="200"/>
      </w:pPr>
      <w:r>
        <w:rPr>
          <w:rFonts w:ascii="Arial" w:cs="Arial" w:eastAsia="Arial" w:hAnsi="Arial"/>
          <w:b/>
          <w:bCs/>
          <w:color w:val="1A1A1A"/>
          <w:sz w:val="22"/>
          <w:szCs w:val="22"/>
        </w:rPr>
        <w:t xml:space="preserve">Cold / Warm Outreach</w:t>
      </w:r>
    </w:p>
    <w:p>
      <w:pPr>
        <w:spacing w:after="80" w:before="80"/>
      </w:pPr>
      <w:r>
        <w:rPr>
          <w:rFonts w:ascii="Arial" w:cs="Arial" w:eastAsia="Arial" w:hAnsi="Arial"/>
          <w:color w:val="1A1A1A"/>
          <w:sz w:val="20"/>
          <w:szCs w:val="20"/>
        </w:rPr>
        <w:t xml:space="preserve">Structured and two-sided. Opens by naming the real moment of connection — not 'I wanted to follow up' but the actual place and conversation. Subject lines are institutional and compound. Lists what you bring before stating what you want. Warmth is genuine but never sentimental.</w:t>
      </w:r>
    </w:p>
    <w:p>
      <w:pPr>
        <w:pBdr>
          <w:left w:val="single" w:color="1D5CA5" w:sz="10" w:space="12"/>
        </w:pBdr>
        <w:spacing w:after="120" w:before="120"/>
        <w:ind w:left="720"/>
      </w:pPr>
      <w:r>
        <w:rPr>
          <w:rFonts w:ascii="Arial" w:cs="Arial" w:eastAsia="Arial" w:hAnsi="Arial"/>
          <w:color w:val="555555"/>
          <w:sz w:val="20"/>
          <w:szCs w:val="20"/>
        </w:rPr>
        <w:t xml:space="preserve">"I value the perspective you both bring to the market and would love to have a quarterly coffee or lunch just to share insights as things evolve. I'm a big believer in 'mutual intelligence,' and I think there are a few ways I can be a resource for you."</w:t>
      </w:r>
    </w:p>
    <w:p>
      <w:pPr>
        <w:spacing w:after="80" w:before="200"/>
      </w:pPr>
      <w:r>
        <w:rPr>
          <w:rFonts w:ascii="Arial" w:cs="Arial" w:eastAsia="Arial" w:hAnsi="Arial"/>
          <w:b/>
          <w:bCs/>
          <w:color w:val="1A1A1A"/>
          <w:sz w:val="22"/>
          <w:szCs w:val="22"/>
        </w:rPr>
        <w:t xml:space="preserve">Client Deliverables</w:t>
      </w:r>
    </w:p>
    <w:p>
      <w:pPr>
        <w:spacing w:after="80" w:before="80"/>
      </w:pPr>
      <w:r>
        <w:rPr>
          <w:rFonts w:ascii="Arial" w:cs="Arial" w:eastAsia="Arial" w:hAnsi="Arial"/>
          <w:color w:val="1A1A1A"/>
          <w:sz w:val="20"/>
          <w:szCs w:val="20"/>
        </w:rPr>
        <w:t xml:space="preserve">Confident and authoritative. Leads with a positioning statement about what was accomplished, then explains the 'why' behind each choice using named, bolded frameworks. No hedging about the quality of the work. Closes with logistics and a review/referral ask.</w:t>
      </w:r>
    </w:p>
    <w:p>
      <w:pPr>
        <w:pBdr>
          <w:left w:val="single" w:color="1D5CA5" w:sz="10" w:space="12"/>
        </w:pBdr>
        <w:spacing w:after="120" w:before="120"/>
        <w:ind w:left="720"/>
      </w:pPr>
      <w:r>
        <w:rPr>
          <w:rFonts w:ascii="Arial" w:cs="Arial" w:eastAsia="Arial" w:hAnsi="Arial"/>
          <w:color w:val="555555"/>
          <w:sz w:val="20"/>
          <w:szCs w:val="20"/>
        </w:rPr>
        <w:t xml:space="preserve">"The following three strategic shifts were implemented to ensure this version outperforms your previous drafts: Elevated Technical Authority... Strategic '0-to-1' Positioning... Operational Moat for SpaceX."</w:t>
      </w:r>
    </w:p>
    <w:p>
      <w:pPr>
        <w:spacing w:after="80" w:before="200"/>
      </w:pPr>
      <w:r>
        <w:rPr>
          <w:rFonts w:ascii="Arial" w:cs="Arial" w:eastAsia="Arial" w:hAnsi="Arial"/>
          <w:b/>
          <w:bCs/>
          <w:color w:val="1A1A1A"/>
          <w:sz w:val="22"/>
          <w:szCs w:val="22"/>
        </w:rPr>
        <w:t xml:space="preserve">Feedback / Internal Updates</w:t>
      </w:r>
    </w:p>
    <w:p>
      <w:pPr>
        <w:spacing w:after="80" w:before="80"/>
      </w:pPr>
      <w:r>
        <w:rPr>
          <w:rFonts w:ascii="Arial" w:cs="Arial" w:eastAsia="Arial" w:hAnsi="Arial"/>
          <w:color w:val="1A1A1A"/>
          <w:sz w:val="20"/>
          <w:szCs w:val="20"/>
        </w:rPr>
        <w:t xml:space="preserve">Short and direct. Brief appreciation, immediate pivot to a concrete suggestion presented as two options. No preamble about how things went before the recommendation lands.</w:t>
      </w:r>
    </w:p>
    <w:p>
      <w:pPr>
        <w:pBdr>
          <w:left w:val="single" w:color="1D5CA5" w:sz="10" w:space="12"/>
        </w:pBdr>
        <w:spacing w:after="120" w:before="120"/>
        <w:ind w:left="720"/>
      </w:pPr>
      <w:r>
        <w:rPr>
          <w:rFonts w:ascii="Arial" w:cs="Arial" w:eastAsia="Arial" w:hAnsi="Arial"/>
          <w:color w:val="555555"/>
          <w:sz w:val="20"/>
          <w:szCs w:val="20"/>
        </w:rPr>
        <w:t xml:space="preserve">"Lindsay and I had a suggestion to help elevate the experience for participants: Instead of all three coaches preparing for every question, each of us could claim the questions we're best positioned to answer — with one or two answered collectively."</w:t>
      </w:r>
    </w:p>
    <w:p>
      <w:pPr>
        <w:spacing w:after="80" w:before="200"/>
      </w:pPr>
      <w:r>
        <w:rPr>
          <w:rFonts w:ascii="Arial" w:cs="Arial" w:eastAsia="Arial" w:hAnsi="Arial"/>
          <w:b/>
          <w:bCs/>
          <w:color w:val="1A1A1A"/>
          <w:sz w:val="22"/>
          <w:szCs w:val="22"/>
        </w:rPr>
        <w:t xml:space="preserve">Follow-ups / Confirmations</w:t>
      </w:r>
    </w:p>
    <w:p>
      <w:pPr>
        <w:spacing w:after="80" w:before="80"/>
      </w:pPr>
      <w:r>
        <w:rPr>
          <w:rFonts w:ascii="Arial" w:cs="Arial" w:eastAsia="Arial" w:hAnsi="Arial"/>
          <w:color w:val="1A1A1A"/>
          <w:sz w:val="20"/>
          <w:szCs w:val="20"/>
        </w:rPr>
        <w:t xml:space="preserve">Minimal. One to three sentences. Confirms the action, names the next step, leaves the door open. Acknowledgments are intentional fragments: 'Great catch.' 'Fantastic.' 'Of course!'</w:t>
      </w:r>
    </w:p>
    <w:p>
      <w:pPr>
        <w:pBdr>
          <w:left w:val="single" w:color="1D5CA5" w:sz="10" w:space="12"/>
        </w:pBdr>
        <w:spacing w:after="120" w:before="120"/>
        <w:ind w:left="720"/>
      </w:pPr>
      <w:r>
        <w:rPr>
          <w:rFonts w:ascii="Arial" w:cs="Arial" w:eastAsia="Arial" w:hAnsi="Arial"/>
          <w:color w:val="555555"/>
          <w:sz w:val="20"/>
          <w:szCs w:val="20"/>
        </w:rPr>
        <w:t xml:space="preserve">"Sorry for the delay, Jithen. I've made the requested revision. Are you happy with the changes? Is one of these formats acceptable?"</w:t>
      </w:r>
    </w:p>
    <w:p>
      <w:pPr>
        <w:spacing w:after="80" w:before="200"/>
      </w:pPr>
      <w:r>
        <w:rPr>
          <w:rFonts w:ascii="Arial" w:cs="Arial" w:eastAsia="Arial" w:hAnsi="Arial"/>
          <w:b/>
          <w:bCs/>
          <w:color w:val="1A1A1A"/>
          <w:sz w:val="22"/>
          <w:szCs w:val="22"/>
        </w:rPr>
        <w:t xml:space="preserve">Casual Advisory (peer / family)</w:t>
      </w:r>
    </w:p>
    <w:p>
      <w:pPr>
        <w:spacing w:after="80" w:before="80"/>
      </w:pPr>
      <w:r>
        <w:rPr>
          <w:rFonts w:ascii="Arial" w:cs="Arial" w:eastAsia="Arial" w:hAnsi="Arial"/>
          <w:color w:val="1A1A1A"/>
          <w:sz w:val="20"/>
          <w:szCs w:val="20"/>
        </w:rPr>
        <w:t xml:space="preserve">Opens conversationally ('Hey Aaron, I did some digging...'), then pivots quickly to organized structure with ALL-CAPS section headers and a bottom-line summary. Tone is warmer but analytical rigor is unchanged — the Mesquite CofC email contains as much structured data as any client deliverable.</w:t>
      </w:r>
    </w:p>
    <w:p>
      <w:pPr>
        <w:pBdr>
          <w:left w:val="single" w:color="1D5CA5" w:sz="10" w:space="12"/>
        </w:pBdr>
        <w:spacing w:after="120" w:before="120"/>
        <w:ind w:left="720"/>
      </w:pPr>
      <w:r>
        <w:rPr>
          <w:rFonts w:ascii="Arial" w:cs="Arial" w:eastAsia="Arial" w:hAnsi="Arial"/>
          <w:color w:val="555555"/>
          <w:sz w:val="20"/>
          <w:szCs w:val="20"/>
        </w:rPr>
        <w:t xml:space="preserve">"I did some digging on Mesquite CofC's digital presence and wanted to share what I found. Some of this might be worth bringing up with leadership, especially since it touches directly on your lane with AV, social, and slides."</w:t>
      </w:r>
    </w:p>
    <w:p>
      <w:pPr>
        <w:spacing w:after="80" w:before="200"/>
      </w:pPr>
      <w:r>
        <w:rPr>
          <w:rFonts w:ascii="Arial" w:cs="Arial" w:eastAsia="Arial" w:hAnsi="Arial"/>
          <w:b/>
          <w:bCs/>
          <w:color w:val="1A1A1A"/>
          <w:sz w:val="22"/>
          <w:szCs w:val="22"/>
        </w:rPr>
        <w:t xml:space="preserve">Service / Admin</w:t>
      </w:r>
    </w:p>
    <w:p>
      <w:pPr>
        <w:spacing w:after="80" w:before="80"/>
      </w:pPr>
      <w:r>
        <w:rPr>
          <w:rFonts w:ascii="Arial" w:cs="Arial" w:eastAsia="Arial" w:hAnsi="Arial"/>
          <w:color w:val="1A1A1A"/>
          <w:sz w:val="20"/>
          <w:szCs w:val="20"/>
        </w:rPr>
        <w:t xml:space="preserve">Opens with 'Good morning!' One specific ask per email, stated directly. Polite but no padding. When an issue arises (billing, payment failure), addresses it factually with a direct resolution offer.</w:t>
      </w:r>
    </w:p>
    <w:p>
      <w:pPr>
        <w:pBdr>
          <w:left w:val="single" w:color="1D5CA5" w:sz="10" w:space="12"/>
        </w:pBdr>
        <w:spacing w:after="120" w:before="120"/>
        <w:ind w:left="720"/>
      </w:pPr>
      <w:r>
        <w:rPr>
          <w:rFonts w:ascii="Arial" w:cs="Arial" w:eastAsia="Arial" w:hAnsi="Arial"/>
          <w:color w:val="555555"/>
          <w:sz w:val="20"/>
          <w:szCs w:val="20"/>
        </w:rPr>
        <w:t xml:space="preserve">"Good morning! Can you please come out to treat the wasp nests that are starting to form in the front and back? Warm weather seems to be bringing them out."</w:t>
      </w:r>
    </w:p>
    <w:p>
      <w:pPr>
        <w:pBdr>
          <w:bottom w:val="single" w:color="1D5CA5" w:sz="6" w:space="6"/>
        </w:pBdr>
        <w:spacing w:after="160" w:before="360"/>
      </w:pPr>
      <w:r>
        <w:rPr>
          <w:rFonts w:ascii="Arial" w:cs="Arial" w:eastAsia="Arial" w:hAnsi="Arial"/>
          <w:b/>
          <w:bCs/>
          <w:color w:val="1D5CA5"/>
          <w:sz w:val="28"/>
          <w:szCs w:val="28"/>
        </w:rPr>
        <w:t xml:space="preserve">3. Sentence-Level Patterns</w:t>
      </w:r>
    </w:p>
    <w:p>
      <w:pPr>
        <w:spacing w:after="80" w:before="80"/>
      </w:pPr>
      <w:r>
        <w:rPr>
          <w:rFonts w:ascii="Arial" w:cs="Arial" w:eastAsia="Arial" w:hAnsi="Arial"/>
          <w:b/>
          <w:bCs/>
          <w:color w:val="1A1A1A"/>
          <w:sz w:val="20"/>
          <w:szCs w:val="20"/>
        </w:rPr>
        <w:t xml:space="preserve">Default length: </w:t>
      </w:r>
      <w:r>
        <w:rPr>
          <w:rFonts w:ascii="Arial" w:cs="Arial" w:eastAsia="Arial" w:hAnsi="Arial"/>
          <w:color w:val="1A1A1A"/>
          <w:sz w:val="20"/>
          <w:szCs w:val="20"/>
        </w:rPr>
        <w:t xml:space="preserve">Medium declarative sentences in analytical sections (15–25 words). In quick replies, one or two short sentences or a deliberate fragment stands alone as its own paragraph.</w:t>
      </w:r>
    </w:p>
    <w:p>
      <w:pPr>
        <w:spacing w:after="80" w:before="80"/>
      </w:pPr>
      <w:r>
        <w:rPr>
          <w:rFonts w:ascii="Arial" w:cs="Arial" w:eastAsia="Arial" w:hAnsi="Arial"/>
          <w:b/>
          <w:bCs/>
          <w:color w:val="1A1A1A"/>
          <w:sz w:val="20"/>
          <w:szCs w:val="20"/>
        </w:rPr>
        <w:t xml:space="preserve">Fragments: </w:t>
      </w:r>
      <w:r>
        <w:rPr>
          <w:rFonts w:ascii="Arial" w:cs="Arial" w:eastAsia="Arial" w:hAnsi="Arial"/>
          <w:color w:val="1A1A1A"/>
          <w:sz w:val="20"/>
          <w:szCs w:val="20"/>
        </w:rPr>
        <w:t xml:space="preserve">Used intentionally for emphasis and acknowledgment. 'Great catch.' 'Fantastic.' 'Works great. Thank you.' These are not errors — they're rhetorical micro-moments that carry warmth or finality without padding.</w:t>
      </w:r>
    </w:p>
    <w:p>
      <w:pPr>
        <w:spacing w:after="80" w:before="80"/>
      </w:pPr>
      <w:r>
        <w:rPr>
          <w:rFonts w:ascii="Arial" w:cs="Arial" w:eastAsia="Arial" w:hAnsi="Arial"/>
          <w:b/>
          <w:bCs/>
          <w:color w:val="1A1A1A"/>
          <w:sz w:val="20"/>
          <w:szCs w:val="20"/>
        </w:rPr>
        <w:t xml:space="preserve">Paragraph structure: </w:t>
      </w:r>
      <w:r>
        <w:rPr>
          <w:rFonts w:ascii="Arial" w:cs="Arial" w:eastAsia="Arial" w:hAnsi="Arial"/>
          <w:color w:val="1A1A1A"/>
          <w:sz w:val="20"/>
          <w:szCs w:val="20"/>
        </w:rPr>
        <w:t xml:space="preserve">Each bullet or numbered item is a discrete thought — no compound bullets. In quick replies, one idea per paragraph. Long explanatory paragraphs appear only in analytical advisory emails.</w:t>
      </w:r>
    </w:p>
    <w:p>
      <w:pPr>
        <w:spacing w:after="80" w:before="80"/>
      </w:pPr>
      <w:r>
        <w:rPr>
          <w:rFonts w:ascii="Arial" w:cs="Arial" w:eastAsia="Arial" w:hAnsi="Arial"/>
          <w:b/>
          <w:bCs/>
          <w:color w:val="1A1A1A"/>
          <w:sz w:val="20"/>
          <w:szCs w:val="20"/>
        </w:rPr>
        <w:t xml:space="preserve">Em-dashes: </w:t>
      </w:r>
      <w:r>
        <w:rPr>
          <w:rFonts w:ascii="Arial" w:cs="Arial" w:eastAsia="Arial" w:hAnsi="Arial"/>
          <w:color w:val="1A1A1A"/>
          <w:sz w:val="20"/>
          <w:szCs w:val="20"/>
        </w:rPr>
        <w:t xml:space="preserve">Used to tuck in a qualifier or pivot a thought mid-sentence. 'it was a great session — please keep me in mind for future ones.' Appears when a trailing clause flows naturally from the main point.</w:t>
      </w:r>
    </w:p>
    <w:p>
      <w:pPr>
        <w:spacing w:after="80" w:before="80"/>
      </w:pPr>
      <w:r>
        <w:rPr>
          <w:rFonts w:ascii="Arial" w:cs="Arial" w:eastAsia="Arial" w:hAnsi="Arial"/>
          <w:b/>
          <w:bCs/>
          <w:color w:val="1A1A1A"/>
          <w:sz w:val="20"/>
          <w:szCs w:val="20"/>
        </w:rPr>
        <w:t xml:space="preserve">Section headers: </w:t>
      </w:r>
      <w:r>
        <w:rPr>
          <w:rFonts w:ascii="Arial" w:cs="Arial" w:eastAsia="Arial" w:hAnsi="Arial"/>
          <w:color w:val="1A1A1A"/>
          <w:sz w:val="20"/>
          <w:szCs w:val="20"/>
        </w:rPr>
        <w:t xml:space="preserve">ALL-CAPS in casual advisory emails (WEBSITE, SERMON LIBRARY, SOCIAL MEDIA). Bold strategic labels in client deliverables. No decorative formatting in any other context.</w:t>
      </w:r>
    </w:p>
    <w:p>
      <w:pPr>
        <w:spacing w:after="80" w:before="80"/>
      </w:pPr>
      <w:r>
        <w:rPr>
          <w:rFonts w:ascii="Arial" w:cs="Arial" w:eastAsia="Arial" w:hAnsi="Arial"/>
          <w:b/>
          <w:bCs/>
          <w:color w:val="1A1A1A"/>
          <w:sz w:val="20"/>
          <w:szCs w:val="20"/>
        </w:rPr>
        <w:t xml:space="preserve">Lists vs. prose: </w:t>
      </w:r>
      <w:r>
        <w:rPr>
          <w:rFonts w:ascii="Arial" w:cs="Arial" w:eastAsia="Arial" w:hAnsi="Arial"/>
          <w:color w:val="1A1A1A"/>
          <w:sz w:val="20"/>
          <w:szCs w:val="20"/>
        </w:rPr>
        <w:t xml:space="preserve">Three or more discrete items always become a bullet or numbered list — never run into a paragraph. Scenario comparisons use inline tables (ATT bill). Two items may stay in prose.</w:t>
      </w:r>
    </w:p>
    <w:p>
      <w:pPr>
        <w:pBdr>
          <w:bottom w:val="single" w:color="1D5CA5" w:sz="6" w:space="6"/>
        </w:pBdr>
        <w:spacing w:after="160" w:before="360"/>
      </w:pPr>
      <w:r>
        <w:rPr>
          <w:rFonts w:ascii="Arial" w:cs="Arial" w:eastAsia="Arial" w:hAnsi="Arial"/>
          <w:b/>
          <w:bCs/>
          <w:color w:val="1D5CA5"/>
          <w:sz w:val="28"/>
          <w:szCs w:val="28"/>
        </w:rPr>
        <w:t xml:space="preserve">4. Rhetorical Moves</w:t>
      </w:r>
    </w:p>
    <w:p>
      <w:pPr>
        <w:pStyle w:val="ListParagraph"/>
        <w:numPr>
          <w:ilvl w:val="0"/>
          <w:numId w:val="2"/>
        </w:numPr>
        <w:spacing w:after="80" w:before="80"/>
      </w:pPr>
      <w:r>
        <w:rPr>
          <w:rFonts w:ascii="Arial" w:cs="Arial" w:eastAsia="Arial" w:hAnsi="Arial"/>
          <w:b/>
          <w:bCs/>
          <w:color w:val="1A1A1A"/>
          <w:sz w:val="20"/>
          <w:szCs w:val="20"/>
        </w:rPr>
        <w:t xml:space="preserve">Anchor in a shared moment. </w:t>
      </w:r>
      <w:r>
        <w:rPr>
          <w:rFonts w:ascii="Arial" w:cs="Arial" w:eastAsia="Arial" w:hAnsi="Arial"/>
          <w:color w:val="1A1A1A"/>
          <w:sz w:val="20"/>
          <w:szCs w:val="20"/>
        </w:rPr>
        <w:t xml:space="preserve">Don't cold-open with what you want. Open by naming a real interaction, place, or context. 'It was truly a pleasure meeting you both at Mexican Sugar yesterday' — not 'I wanted to follow up on our meeting.' The specificity (restaurant name, date) signals attentiveness.</w:t>
      </w:r>
    </w:p>
    <w:p>
      <w:pPr>
        <w:pStyle w:val="ListParagraph"/>
        <w:numPr>
          <w:ilvl w:val="0"/>
          <w:numId w:val="2"/>
        </w:numPr>
        <w:spacing w:after="80" w:before="80"/>
      </w:pPr>
      <w:r>
        <w:rPr>
          <w:rFonts w:ascii="Arial" w:cs="Arial" w:eastAsia="Arial" w:hAnsi="Arial"/>
          <w:b/>
          <w:bCs/>
          <w:color w:val="1A1A1A"/>
          <w:sz w:val="20"/>
          <w:szCs w:val="20"/>
        </w:rPr>
        <w:t xml:space="preserve">Name the problem before naming the solution. </w:t>
      </w:r>
      <w:r>
        <w:rPr>
          <w:rFonts w:ascii="Arial" w:cs="Arial" w:eastAsia="Arial" w:hAnsi="Arial"/>
          <w:color w:val="1A1A1A"/>
          <w:sz w:val="20"/>
          <w:szCs w:val="20"/>
        </w:rPr>
        <w:t xml:space="preserve">The ATT bill email opens with 'What's Normal vs. One-Time' before any recommendations. The Kiana email names the 'Discovery Gap' before describing how the resume closes it. The problem frame makes the expertise legible.</w:t>
      </w:r>
    </w:p>
    <w:p>
      <w:pPr>
        <w:pStyle w:val="ListParagraph"/>
        <w:numPr>
          <w:ilvl w:val="0"/>
          <w:numId w:val="2"/>
        </w:numPr>
        <w:spacing w:after="80" w:before="80"/>
      </w:pPr>
      <w:r>
        <w:rPr>
          <w:rFonts w:ascii="Arial" w:cs="Arial" w:eastAsia="Arial" w:hAnsi="Arial"/>
          <w:b/>
          <w:bCs/>
          <w:color w:val="1A1A1A"/>
          <w:sz w:val="20"/>
          <w:szCs w:val="20"/>
        </w:rPr>
        <w:t xml:space="preserve">Separate decisions by ownership. </w:t>
      </w:r>
      <w:r>
        <w:rPr>
          <w:rFonts w:ascii="Arial" w:cs="Arial" w:eastAsia="Arial" w:hAnsi="Arial"/>
          <w:color w:val="1A1A1A"/>
          <w:sz w:val="20"/>
          <w:szCs w:val="20"/>
        </w:rPr>
        <w:t xml:space="preserve">A recurring structural move: 'You can act on these yourself' / 'Bring these to the group.' Used in the ATT bill email, every coaching deliverable, and the school billing thread. It shows the writer has thought about the reader's actual authority.</w:t>
      </w:r>
    </w:p>
    <w:p>
      <w:pPr>
        <w:pStyle w:val="ListParagraph"/>
        <w:numPr>
          <w:ilvl w:val="0"/>
          <w:numId w:val="2"/>
        </w:numPr>
        <w:spacing w:after="80" w:before="80"/>
      </w:pPr>
      <w:r>
        <w:rPr>
          <w:rFonts w:ascii="Arial" w:cs="Arial" w:eastAsia="Arial" w:hAnsi="Arial"/>
          <w:b/>
          <w:bCs/>
          <w:color w:val="1A1A1A"/>
          <w:sz w:val="20"/>
          <w:szCs w:val="20"/>
        </w:rPr>
        <w:t xml:space="preserve">Brand the strategic move. </w:t>
      </w:r>
      <w:r>
        <w:rPr>
          <w:rFonts w:ascii="Arial" w:cs="Arial" w:eastAsia="Arial" w:hAnsi="Arial"/>
          <w:color w:val="1A1A1A"/>
          <w:sz w:val="20"/>
          <w:szCs w:val="20"/>
        </w:rPr>
        <w:t xml:space="preserve">Named frameworks give the work a sense of craft: 'Elevated Technical Authority,' 'Operational Moat for SpaceX,' 'Discovery Gap,' 'Promotion Stack,' '0-to-1 Positioning.' Each name has a specific decision behind it explained in the body — not buzzwords dropped without context.</w:t>
      </w:r>
    </w:p>
    <w:p>
      <w:pPr>
        <w:pStyle w:val="ListParagraph"/>
        <w:numPr>
          <w:ilvl w:val="0"/>
          <w:numId w:val="2"/>
        </w:numPr>
        <w:spacing w:after="80" w:before="80"/>
      </w:pPr>
      <w:r>
        <w:rPr>
          <w:rFonts w:ascii="Arial" w:cs="Arial" w:eastAsia="Arial" w:hAnsi="Arial"/>
          <w:b/>
          <w:bCs/>
          <w:color w:val="1A1A1A"/>
          <w:sz w:val="20"/>
          <w:szCs w:val="20"/>
        </w:rPr>
        <w:t xml:space="preserve">Position as resource, not vendor. </w:t>
      </w:r>
      <w:r>
        <w:rPr>
          <w:rFonts w:ascii="Arial" w:cs="Arial" w:eastAsia="Arial" w:hAnsi="Arial"/>
          <w:color w:val="1A1A1A"/>
          <w:sz w:val="20"/>
          <w:szCs w:val="20"/>
        </w:rPr>
        <w:t xml:space="preserve">In outreach, list what you offer (Market Intelligence, Talent Pipeline, Coaching) before stating what you want. The Spectraforce email has three bulleted offer items before any ask. This is structural, not rhetorical flourish.</w:t>
      </w:r>
    </w:p>
    <w:p>
      <w:pPr>
        <w:pStyle w:val="ListParagraph"/>
        <w:numPr>
          <w:ilvl w:val="0"/>
          <w:numId w:val="2"/>
        </w:numPr>
        <w:spacing w:after="80" w:before="80"/>
      </w:pPr>
      <w:r>
        <w:rPr>
          <w:rFonts w:ascii="Arial" w:cs="Arial" w:eastAsia="Arial" w:hAnsi="Arial"/>
          <w:b/>
          <w:bCs/>
          <w:color w:val="1A1A1A"/>
          <w:sz w:val="20"/>
          <w:szCs w:val="20"/>
        </w:rPr>
        <w:t xml:space="preserve">Close with an open door plus a specific action. </w:t>
      </w:r>
      <w:r>
        <w:rPr>
          <w:rFonts w:ascii="Arial" w:cs="Arial" w:eastAsia="Arial" w:hAnsi="Arial"/>
          <w:color w:val="1A1A1A"/>
          <w:sz w:val="20"/>
          <w:szCs w:val="20"/>
        </w:rPr>
        <w:t xml:space="preserve">'Let me know if you have questions' is never filler — it's paired with a clear action. 'Go ahead and schedule in Leland. If you have trouble finding a spot, let me know.' The door is open; the reader knows what to do next.</w:t>
      </w:r>
    </w:p>
    <w:p>
      <w:pPr>
        <w:pBdr>
          <w:bottom w:val="single" w:color="1D5CA5" w:sz="6" w:space="6"/>
        </w:pBdr>
        <w:spacing w:after="160" w:before="360"/>
      </w:pPr>
      <w:r>
        <w:rPr>
          <w:rFonts w:ascii="Arial" w:cs="Arial" w:eastAsia="Arial" w:hAnsi="Arial"/>
          <w:b/>
          <w:bCs/>
          <w:color w:val="1D5CA5"/>
          <w:sz w:val="28"/>
          <w:szCs w:val="28"/>
        </w:rPr>
        <w:t xml:space="preserve">5. Emotional Register &amp; Boundaries</w:t>
      </w:r>
    </w:p>
    <w:p>
      <w:pPr>
        <w:spacing w:after="80" w:before="80"/>
      </w:pPr>
      <w:r>
        <w:rPr>
          <w:rFonts w:ascii="Arial" w:cs="Arial" w:eastAsia="Arial" w:hAnsi="Arial"/>
          <w:color w:val="1A1A1A"/>
          <w:sz w:val="20"/>
          <w:szCs w:val="20"/>
        </w:rPr>
        <w:t xml:space="preserve">Warmth is calibrated to relationship: abundant with family and close contacts, present but measured with clients, nearly absent with service providers. It doesn't drift into sentimentality or excessive positivity.</w:t>
      </w:r>
    </w:p>
    <w:p>
      <w:pPr>
        <w:spacing w:after="80" w:before="80"/>
      </w:pPr>
      <w:r>
        <w:rPr>
          <w:rFonts w:ascii="Arial" w:cs="Arial" w:eastAsia="Arial" w:hAnsi="Arial"/>
          <w:b/>
          <w:bCs/>
          <w:color w:val="1A1A1A"/>
          <w:sz w:val="20"/>
          <w:szCs w:val="20"/>
        </w:rPr>
        <w:t xml:space="preserve">Where warmth lives: </w:t>
      </w:r>
      <w:r>
        <w:rPr>
          <w:rFonts w:ascii="Arial" w:cs="Arial" w:eastAsia="Arial" w:hAnsi="Arial"/>
          <w:color w:val="1A1A1A"/>
          <w:sz w:val="20"/>
          <w:szCs w:val="20"/>
        </w:rPr>
        <w:t xml:space="preserve">Post-session client emails ('Thank you again for your time yesterday, Abi! We made great progress.'), family emails ('I'm very proud of you, Aaron.'), and post-event notes ('it was a great session — please keep me in mind for future ones').</w:t>
      </w:r>
    </w:p>
    <w:p>
      <w:pPr>
        <w:spacing w:after="80" w:before="80"/>
      </w:pPr>
      <w:r>
        <w:rPr>
          <w:rFonts w:ascii="Arial" w:cs="Arial" w:eastAsia="Arial" w:hAnsi="Arial"/>
          <w:b/>
          <w:bCs/>
          <w:color w:val="1A1A1A"/>
          <w:sz w:val="20"/>
          <w:szCs w:val="20"/>
        </w:rPr>
        <w:t xml:space="preserve">Where humor lives: </w:t>
      </w:r>
      <w:r>
        <w:rPr>
          <w:rFonts w:ascii="Arial" w:cs="Arial" w:eastAsia="Arial" w:hAnsi="Arial"/>
          <w:color w:val="1A1A1A"/>
          <w:sz w:val="20"/>
          <w:szCs w:val="20"/>
        </w:rPr>
        <w:t xml:space="preserve">Absent from this corpus. The voice is warm but not playful. The closest thing to personality disclosure is the fan identity surfacing briefly in a consumer email: 'As a long-time MFFL since the Nash, Dirk, and Finley era.' Confined to one relevant moment, not a recurring device.</w:t>
      </w:r>
    </w:p>
    <w:p>
      <w:pPr>
        <w:spacing w:after="80" w:before="80"/>
      </w:pPr>
      <w:r>
        <w:rPr>
          <w:rFonts w:ascii="Arial" w:cs="Arial" w:eastAsia="Arial" w:hAnsi="Arial"/>
          <w:b/>
          <w:bCs/>
          <w:color w:val="1A1A1A"/>
          <w:sz w:val="20"/>
          <w:szCs w:val="20"/>
        </w:rPr>
        <w:t xml:space="preserve">What he's earnest about: </w:t>
      </w:r>
      <w:r>
        <w:rPr>
          <w:rFonts w:ascii="Arial" w:cs="Arial" w:eastAsia="Arial" w:hAnsi="Arial"/>
          <w:color w:val="1A1A1A"/>
          <w:sz w:val="20"/>
          <w:szCs w:val="20"/>
        </w:rPr>
        <w:t xml:space="preserve">The value of his coaching work, AI upskilling as a genuine professional edge, and mutual intelligence as a framework for professional relationships. These appear across multiple emails without irony or hedging.</w:t>
      </w:r>
    </w:p>
    <w:p>
      <w:pPr>
        <w:spacing w:after="80" w:before="80"/>
      </w:pPr>
      <w:r>
        <w:rPr>
          <w:rFonts w:ascii="Arial" w:cs="Arial" w:eastAsia="Arial" w:hAnsi="Arial"/>
          <w:b/>
          <w:bCs/>
          <w:color w:val="1A1A1A"/>
          <w:sz w:val="20"/>
          <w:szCs w:val="20"/>
        </w:rPr>
        <w:t xml:space="preserve">The professional/personal boundary: </w:t>
      </w:r>
      <w:r>
        <w:rPr>
          <w:rFonts w:ascii="Arial" w:cs="Arial" w:eastAsia="Arial" w:hAnsi="Arial"/>
          <w:color w:val="1A1A1A"/>
          <w:sz w:val="20"/>
          <w:szCs w:val="20"/>
        </w:rPr>
        <w:t xml:space="preserve">Family life (wife, two kids at Schoolhouse 226, summer trip to San Antonio) surfaces only in admin threads and is kept separate from professional chains. When it appears near professional content, it's incidental and brief — not deployed as a relationship-building strategy.</w:t>
      </w:r>
    </w:p>
    <w:p>
      <w:pPr>
        <w:pBdr>
          <w:bottom w:val="single" w:color="1D5CA5" w:sz="6" w:space="6"/>
        </w:pBdr>
        <w:spacing w:after="160" w:before="360"/>
      </w:pPr>
      <w:r>
        <w:rPr>
          <w:rFonts w:ascii="Arial" w:cs="Arial" w:eastAsia="Arial" w:hAnsi="Arial"/>
          <w:b/>
          <w:bCs/>
          <w:color w:val="1D5CA5"/>
          <w:sz w:val="28"/>
          <w:szCs w:val="28"/>
        </w:rPr>
        <w:t xml:space="preserve">6. Do's and Don'ts</w:t>
      </w:r>
    </w:p>
    <w:p>
      <w:pPr>
        <w:spacing w:after="80" w:before="200"/>
      </w:pPr>
      <w:r>
        <w:rPr>
          <w:rFonts w:ascii="Arial" w:cs="Arial" w:eastAsia="Arial" w:hAnsi="Arial"/>
          <w:b/>
          <w:bCs/>
          <w:color w:val="1A1A1A"/>
          <w:sz w:val="22"/>
          <w:szCs w:val="22"/>
        </w:rPr>
        <w:t xml:space="preserve">Do</w:t>
      </w:r>
    </w:p>
    <w:p>
      <w:pPr>
        <w:pStyle w:val="ListParagraph"/>
        <w:numPr>
          <w:ilvl w:val="0"/>
          <w:numId w:val="3"/>
        </w:numPr>
        <w:spacing w:after="60" w:before="60"/>
      </w:pPr>
      <w:r>
        <w:rPr>
          <w:rFonts w:ascii="Arial" w:cs="Arial" w:eastAsia="Arial" w:hAnsi="Arial"/>
          <w:b/>
          <w:bCs/>
          <w:color w:val="1A1A1A"/>
          <w:sz w:val="20"/>
          <w:szCs w:val="20"/>
        </w:rPr>
        <w:t xml:space="preserve">Name strategic moves in client deliverables. </w:t>
      </w:r>
      <w:r>
        <w:rPr>
          <w:rFonts w:ascii="Arial" w:cs="Arial" w:eastAsia="Arial" w:hAnsi="Arial"/>
          <w:color w:val="1A1A1A"/>
          <w:sz w:val="20"/>
          <w:szCs w:val="20"/>
        </w:rPr>
        <w:t xml:space="preserve">'Elevated Technical Authority' not 'we strengthened your technical framing.' Every client email has at least two named, bolded labels that describe what changed and the logic behind it.</w:t>
      </w:r>
    </w:p>
    <w:p>
      <w:pPr>
        <w:pStyle w:val="ListParagraph"/>
        <w:numPr>
          <w:ilvl w:val="0"/>
          <w:numId w:val="3"/>
        </w:numPr>
        <w:spacing w:after="60" w:before="60"/>
      </w:pPr>
      <w:r>
        <w:rPr>
          <w:rFonts w:ascii="Arial" w:cs="Arial" w:eastAsia="Arial" w:hAnsi="Arial"/>
          <w:b/>
          <w:bCs/>
          <w:color w:val="1A1A1A"/>
          <w:sz w:val="20"/>
          <w:szCs w:val="20"/>
        </w:rPr>
        <w:t xml:space="preserve">Lead with value before any ask in outreach. </w:t>
      </w:r>
      <w:r>
        <w:rPr>
          <w:rFonts w:ascii="Arial" w:cs="Arial" w:eastAsia="Arial" w:hAnsi="Arial"/>
          <w:color w:val="1A1A1A"/>
          <w:sz w:val="20"/>
          <w:szCs w:val="20"/>
        </w:rPr>
        <w:t xml:space="preserve">List what you offer in bullets before stating what you want. This is structural, not rhetorical.</w:t>
      </w:r>
    </w:p>
    <w:p>
      <w:pPr>
        <w:pStyle w:val="ListParagraph"/>
        <w:numPr>
          <w:ilvl w:val="0"/>
          <w:numId w:val="3"/>
        </w:numPr>
        <w:spacing w:after="60" w:before="60"/>
      </w:pPr>
      <w:r>
        <w:rPr>
          <w:rFonts w:ascii="Arial" w:cs="Arial" w:eastAsia="Arial" w:hAnsi="Arial"/>
          <w:b/>
          <w:bCs/>
          <w:color w:val="1A1A1A"/>
          <w:sz w:val="20"/>
          <w:szCs w:val="20"/>
        </w:rPr>
        <w:t xml:space="preserve">Use section headers for 3+ distinct topics. </w:t>
      </w:r>
      <w:r>
        <w:rPr>
          <w:rFonts w:ascii="Arial" w:cs="Arial" w:eastAsia="Arial" w:hAnsi="Arial"/>
          <w:color w:val="1A1A1A"/>
          <w:sz w:val="20"/>
          <w:szCs w:val="20"/>
        </w:rPr>
        <w:t xml:space="preserve">ALL-CAPS in casual advisory emails; bold strategic labels in client work. Never run three distinct topics into one block of prose.</w:t>
      </w:r>
    </w:p>
    <w:p>
      <w:pPr>
        <w:pStyle w:val="ListParagraph"/>
        <w:numPr>
          <w:ilvl w:val="0"/>
          <w:numId w:val="3"/>
        </w:numPr>
        <w:spacing w:after="60" w:before="60"/>
      </w:pPr>
      <w:r>
        <w:rPr>
          <w:rFonts w:ascii="Arial" w:cs="Arial" w:eastAsia="Arial" w:hAnsi="Arial"/>
          <w:b/>
          <w:bCs/>
          <w:color w:val="1A1A1A"/>
          <w:sz w:val="20"/>
          <w:szCs w:val="20"/>
        </w:rPr>
        <w:t xml:space="preserve">Let fragments carry emotional weight. </w:t>
      </w:r>
      <w:r>
        <w:rPr>
          <w:rFonts w:ascii="Arial" w:cs="Arial" w:eastAsia="Arial" w:hAnsi="Arial"/>
          <w:color w:val="1A1A1A"/>
          <w:sz w:val="20"/>
          <w:szCs w:val="20"/>
        </w:rPr>
        <w:t xml:space="preserve">'Fantastic.' 'Great catch.' 'Of course!' are punchy and intentional. Don't expand them with filler appreciation.</w:t>
      </w:r>
    </w:p>
    <w:p>
      <w:pPr>
        <w:pStyle w:val="ListParagraph"/>
        <w:numPr>
          <w:ilvl w:val="0"/>
          <w:numId w:val="3"/>
        </w:numPr>
        <w:spacing w:after="60" w:before="60"/>
      </w:pPr>
      <w:r>
        <w:rPr>
          <w:rFonts w:ascii="Arial" w:cs="Arial" w:eastAsia="Arial" w:hAnsi="Arial"/>
          <w:b/>
          <w:bCs/>
          <w:color w:val="1A1A1A"/>
          <w:sz w:val="20"/>
          <w:szCs w:val="20"/>
        </w:rPr>
        <w:t xml:space="preserve">Separate decisions by who can make them. </w:t>
      </w:r>
      <w:r>
        <w:rPr>
          <w:rFonts w:ascii="Arial" w:cs="Arial" w:eastAsia="Arial" w:hAnsi="Arial"/>
          <w:color w:val="1A1A1A"/>
          <w:sz w:val="20"/>
          <w:szCs w:val="20"/>
        </w:rPr>
        <w:t xml:space="preserve">When advising someone who doesn't control the full decision, explicitly label what they can do now vs. what requires others.</w:t>
      </w:r>
    </w:p>
    <w:p>
      <w:pPr>
        <w:pStyle w:val="ListParagraph"/>
        <w:numPr>
          <w:ilvl w:val="0"/>
          <w:numId w:val="3"/>
        </w:numPr>
        <w:spacing w:after="60" w:before="60"/>
      </w:pPr>
      <w:r>
        <w:rPr>
          <w:rFonts w:ascii="Arial" w:cs="Arial" w:eastAsia="Arial" w:hAnsi="Arial"/>
          <w:b/>
          <w:bCs/>
          <w:color w:val="1A1A1A"/>
          <w:sz w:val="20"/>
          <w:szCs w:val="20"/>
        </w:rPr>
        <w:t xml:space="preserve">Use specific, compound subject lines. </w:t>
      </w:r>
      <w:r>
        <w:rPr>
          <w:rFonts w:ascii="Arial" w:cs="Arial" w:eastAsia="Arial" w:hAnsi="Arial"/>
          <w:color w:val="1A1A1A"/>
          <w:sz w:val="20"/>
          <w:szCs w:val="20"/>
        </w:rPr>
        <w:t xml:space="preserve">'JPMorganChase / Leland / Spectraforce: Dallas Trends, Partnership &amp; AI Upskilling' — not 'Following up on our meeting.' Subject lines telegraph the full scope.</w:t>
      </w:r>
    </w:p>
    <w:p>
      <w:pPr>
        <w:spacing w:after="80" w:before="200"/>
      </w:pPr>
      <w:r>
        <w:rPr>
          <w:rFonts w:ascii="Arial" w:cs="Arial" w:eastAsia="Arial" w:hAnsi="Arial"/>
          <w:b/>
          <w:bCs/>
          <w:color w:val="1A1A1A"/>
          <w:sz w:val="22"/>
          <w:szCs w:val="22"/>
        </w:rPr>
        <w:t xml:space="preserve">Don't</w:t>
      </w:r>
    </w:p>
    <w:p>
      <w:pPr>
        <w:pStyle w:val="ListParagraph"/>
        <w:numPr>
          <w:ilvl w:val="0"/>
          <w:numId w:val="3"/>
        </w:numPr>
        <w:spacing w:after="60" w:before="60"/>
      </w:pPr>
      <w:r>
        <w:rPr>
          <w:rFonts w:ascii="Arial" w:cs="Arial" w:eastAsia="Arial" w:hAnsi="Arial"/>
          <w:b/>
          <w:bCs/>
          <w:color w:val="1A1A1A"/>
          <w:sz w:val="20"/>
          <w:szCs w:val="20"/>
        </w:rPr>
        <w:t xml:space="preserve">Don't pad acknowledgments. </w:t>
      </w:r>
      <w:r>
        <w:rPr>
          <w:rFonts w:ascii="Arial" w:cs="Arial" w:eastAsia="Arial" w:hAnsi="Arial"/>
          <w:color w:val="1A1A1A"/>
          <w:sz w:val="20"/>
          <w:szCs w:val="20"/>
        </w:rPr>
        <w:t xml:space="preserve">'Great catch' is the complete response — not 'Great catch, thank you so much for flagging that, I really appreciate your attention to detail.'</w:t>
      </w:r>
    </w:p>
    <w:p>
      <w:pPr>
        <w:pStyle w:val="ListParagraph"/>
        <w:numPr>
          <w:ilvl w:val="0"/>
          <w:numId w:val="3"/>
        </w:numPr>
        <w:spacing w:after="60" w:before="60"/>
      </w:pPr>
      <w:r>
        <w:rPr>
          <w:rFonts w:ascii="Arial" w:cs="Arial" w:eastAsia="Arial" w:hAnsi="Arial"/>
          <w:b/>
          <w:bCs/>
          <w:color w:val="1A1A1A"/>
          <w:sz w:val="20"/>
          <w:szCs w:val="20"/>
        </w:rPr>
        <w:t xml:space="preserve">Don't open with filler. </w:t>
      </w:r>
      <w:r>
        <w:rPr>
          <w:rFonts w:ascii="Arial" w:cs="Arial" w:eastAsia="Arial" w:hAnsi="Arial"/>
          <w:color w:val="1A1A1A"/>
          <w:sz w:val="20"/>
          <w:szCs w:val="20"/>
        </w:rPr>
        <w:t xml:space="preserve">Never 'I hope this email finds you well' or 'Just wanted to circle back.' Openings anchor in a real moment or get directly to the subject.</w:t>
      </w:r>
    </w:p>
    <w:p>
      <w:pPr>
        <w:pStyle w:val="ListParagraph"/>
        <w:numPr>
          <w:ilvl w:val="0"/>
          <w:numId w:val="3"/>
        </w:numPr>
        <w:spacing w:after="60" w:before="60"/>
      </w:pPr>
      <w:r>
        <w:rPr>
          <w:rFonts w:ascii="Arial" w:cs="Arial" w:eastAsia="Arial" w:hAnsi="Arial"/>
          <w:b/>
          <w:bCs/>
          <w:color w:val="1A1A1A"/>
          <w:sz w:val="20"/>
          <w:szCs w:val="20"/>
        </w:rPr>
        <w:t xml:space="preserve">Don't editorialize when presenting options. </w:t>
      </w:r>
      <w:r>
        <w:rPr>
          <w:rFonts w:ascii="Arial" w:cs="Arial" w:eastAsia="Arial" w:hAnsi="Arial"/>
          <w:color w:val="1A1A1A"/>
          <w:sz w:val="20"/>
          <w:szCs w:val="20"/>
        </w:rPr>
        <w:t xml:space="preserve">The ATT bill email lays out three scenarios with full numbers — it doesn't tell Dad which one is obviously correct. Analysis provides the frame; the reader decides.</w:t>
      </w:r>
    </w:p>
    <w:p>
      <w:pPr>
        <w:pStyle w:val="ListParagraph"/>
        <w:numPr>
          <w:ilvl w:val="0"/>
          <w:numId w:val="3"/>
        </w:numPr>
        <w:spacing w:after="60" w:before="60"/>
      </w:pPr>
      <w:r>
        <w:rPr>
          <w:rFonts w:ascii="Arial" w:cs="Arial" w:eastAsia="Arial" w:hAnsi="Arial"/>
          <w:b/>
          <w:bCs/>
          <w:color w:val="1A1A1A"/>
          <w:sz w:val="20"/>
          <w:szCs w:val="20"/>
        </w:rPr>
        <w:t xml:space="preserve">Don't use 'Dear' as a salutation. </w:t>
      </w:r>
      <w:r>
        <w:rPr>
          <w:rFonts w:ascii="Arial" w:cs="Arial" w:eastAsia="Arial" w:hAnsi="Arial"/>
          <w:color w:val="1A1A1A"/>
          <w:sz w:val="20"/>
          <w:szCs w:val="20"/>
        </w:rPr>
        <w:t xml:space="preserve">'Hi [Name],' for professional/semi-formal; 'Hey [Name],' for peers and casual; first name alone ('Jithen,') for clients. 'Dear' does not appear in the corpus.</w:t>
      </w:r>
    </w:p>
    <w:p>
      <w:pPr>
        <w:pStyle w:val="ListParagraph"/>
        <w:numPr>
          <w:ilvl w:val="0"/>
          <w:numId w:val="3"/>
        </w:numPr>
        <w:spacing w:after="60" w:before="60"/>
      </w:pPr>
      <w:r>
        <w:rPr>
          <w:rFonts w:ascii="Arial" w:cs="Arial" w:eastAsia="Arial" w:hAnsi="Arial"/>
          <w:b/>
          <w:bCs/>
          <w:color w:val="1A1A1A"/>
          <w:sz w:val="20"/>
          <w:szCs w:val="20"/>
        </w:rPr>
        <w:t xml:space="preserve">Don't bury next steps inside a paragraph. </w:t>
      </w:r>
      <w:r>
        <w:rPr>
          <w:rFonts w:ascii="Arial" w:cs="Arial" w:eastAsia="Arial" w:hAnsi="Arial"/>
          <w:color w:val="1A1A1A"/>
          <w:sz w:val="20"/>
          <w:szCs w:val="20"/>
        </w:rPr>
        <w:t xml:space="preserve">'Go ahead and schedule in Leland. If you have trouble finding a spot, let me know.' — a standalone sentence. Never embedded mid-paragraph.</w:t>
      </w:r>
    </w:p>
    <w:p>
      <w:pPr>
        <w:pStyle w:val="ListParagraph"/>
        <w:numPr>
          <w:ilvl w:val="0"/>
          <w:numId w:val="3"/>
        </w:numPr>
        <w:spacing w:after="60" w:before="60"/>
      </w:pPr>
      <w:r>
        <w:rPr>
          <w:rFonts w:ascii="Arial" w:cs="Arial" w:eastAsia="Arial" w:hAnsi="Arial"/>
          <w:b/>
          <w:bCs/>
          <w:color w:val="1A1A1A"/>
          <w:sz w:val="20"/>
          <w:szCs w:val="20"/>
        </w:rPr>
        <w:t xml:space="preserve">Don't write generic subject lines for substantive emails. </w:t>
      </w:r>
      <w:r>
        <w:rPr>
          <w:rFonts w:ascii="Arial" w:cs="Arial" w:eastAsia="Arial" w:hAnsi="Arial"/>
          <w:color w:val="1A1A1A"/>
          <w:sz w:val="20"/>
          <w:szCs w:val="20"/>
        </w:rPr>
        <w:t xml:space="preserve">'Zoom Link' is acceptable for a one-liner. 'Following up' is not acceptable for a deliverable, an analysis, or a partnership email.</w:t>
      </w:r>
    </w:p>
    <w:p>
      <w:pPr>
        <w:pBdr>
          <w:bottom w:val="single" w:color="1D5CA5" w:sz="6" w:space="6"/>
        </w:pBdr>
        <w:spacing w:after="160" w:before="360"/>
      </w:pPr>
      <w:r>
        <w:rPr>
          <w:rFonts w:ascii="Arial" w:cs="Arial" w:eastAsia="Arial" w:hAnsi="Arial"/>
          <w:b/>
          <w:bCs/>
          <w:color w:val="1D5CA5"/>
          <w:sz w:val="28"/>
          <w:szCs w:val="28"/>
        </w:rPr>
        <w:t xml:space="preserve">7. Register Quick Reference</w:t>
      </w:r>
    </w:p>
    <w:p>
      <w:pPr>
        <w:spacing w:after="0" w:before="160"/>
      </w:pPr>
      <w:r>
        <w:rPr>
          <w:rFonts w:ascii="Arial" w:cs="Arial" w:eastAsia="Arial" w:hAnsi="Arial"/>
          <w:color w:val="1A1A1A"/>
          <w:sz w:val="20"/>
          <w:szCs w:val="20"/>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80"/>
        <w:gridCol w:w="1580"/>
        <w:gridCol w:w="1260"/>
        <w:gridCol w:w="1260"/>
        <w:gridCol w:w="1800"/>
        <w:gridCol w:w="1800"/>
        <w:gridCol w:w="1520"/>
      </w:tblGrid>
      <w:tr>
        <w:trPr>
          <w:tblHeader/>
        </w:trPr>
        <w:tc>
          <w:tcPr>
            <w:tcW w:type="dxa" w:w="1580"/>
            <w:tcBorders>
              <w:top w:val="single" w:color="CCCCCC" w:sz="1"/>
              <w:left w:val="single" w:color="CCCCCC" w:sz="1"/>
              <w:bottom w:val="single" w:color="CCCCCC" w:sz="1"/>
              <w:right w:val="single" w:color="CCCCCC" w:sz="1"/>
            </w:tcBorders>
            <w:shd w:fill="1D5CA5" w:val="clear"/>
            <w:tcMar>
              <w:top w:type="dxa" w:w="60"/>
              <w:left w:type="dxa" w:w="90"/>
              <w:bottom w:type="dxa" w:w="60"/>
              <w:right w:type="dxa" w:w="90"/>
            </w:tcMar>
          </w:tcPr>
          <w:p>
            <w:r>
              <w:rPr>
                <w:rFonts w:ascii="Arial" w:cs="Arial" w:eastAsia="Arial" w:hAnsi="Arial"/>
                <w:b/>
                <w:bCs/>
                <w:color w:val="FFFFFF"/>
                <w:sz w:val="15"/>
                <w:szCs w:val="15"/>
              </w:rPr>
              <w:t xml:space="preserve">Email Type</w:t>
            </w:r>
          </w:p>
        </w:tc>
        <w:tc>
          <w:tcPr>
            <w:tcW w:type="dxa" w:w="1580"/>
            <w:tcBorders>
              <w:top w:val="single" w:color="CCCCCC" w:sz="1"/>
              <w:left w:val="single" w:color="CCCCCC" w:sz="1"/>
              <w:bottom w:val="single" w:color="CCCCCC" w:sz="1"/>
              <w:right w:val="single" w:color="CCCCCC" w:sz="1"/>
            </w:tcBorders>
            <w:shd w:fill="1D5CA5" w:val="clear"/>
            <w:tcMar>
              <w:top w:type="dxa" w:w="60"/>
              <w:left w:type="dxa" w:w="90"/>
              <w:bottom w:type="dxa" w:w="60"/>
              <w:right w:type="dxa" w:w="90"/>
            </w:tcMar>
          </w:tcPr>
          <w:p>
            <w:r>
              <w:rPr>
                <w:rFonts w:ascii="Arial" w:cs="Arial" w:eastAsia="Arial" w:hAnsi="Arial"/>
                <w:b/>
                <w:bCs/>
                <w:color w:val="FFFFFF"/>
                <w:sz w:val="15"/>
                <w:szCs w:val="15"/>
              </w:rPr>
              <w:t xml:space="preserve">Opening Move</w:t>
            </w:r>
          </w:p>
        </w:tc>
        <w:tc>
          <w:tcPr>
            <w:tcW w:type="dxa" w:w="1260"/>
            <w:tcBorders>
              <w:top w:val="single" w:color="CCCCCC" w:sz="1"/>
              <w:left w:val="single" w:color="CCCCCC" w:sz="1"/>
              <w:bottom w:val="single" w:color="CCCCCC" w:sz="1"/>
              <w:right w:val="single" w:color="CCCCCC" w:sz="1"/>
            </w:tcBorders>
            <w:shd w:fill="1D5CA5" w:val="clear"/>
            <w:tcMar>
              <w:top w:type="dxa" w:w="60"/>
              <w:left w:type="dxa" w:w="90"/>
              <w:bottom w:type="dxa" w:w="60"/>
              <w:right w:type="dxa" w:w="90"/>
            </w:tcMar>
          </w:tcPr>
          <w:p>
            <w:r>
              <w:rPr>
                <w:rFonts w:ascii="Arial" w:cs="Arial" w:eastAsia="Arial" w:hAnsi="Arial"/>
                <w:b/>
                <w:bCs/>
                <w:color w:val="FFFFFF"/>
                <w:sz w:val="15"/>
                <w:szCs w:val="15"/>
              </w:rPr>
              <w:t xml:space="preserve">Sentence Length</w:t>
            </w:r>
          </w:p>
        </w:tc>
        <w:tc>
          <w:tcPr>
            <w:tcW w:type="dxa" w:w="1260"/>
            <w:tcBorders>
              <w:top w:val="single" w:color="CCCCCC" w:sz="1"/>
              <w:left w:val="single" w:color="CCCCCC" w:sz="1"/>
              <w:bottom w:val="single" w:color="CCCCCC" w:sz="1"/>
              <w:right w:val="single" w:color="CCCCCC" w:sz="1"/>
            </w:tcBorders>
            <w:shd w:fill="1D5CA5" w:val="clear"/>
            <w:tcMar>
              <w:top w:type="dxa" w:w="60"/>
              <w:left w:type="dxa" w:w="90"/>
              <w:bottom w:type="dxa" w:w="60"/>
              <w:right w:type="dxa" w:w="90"/>
            </w:tcMar>
          </w:tcPr>
          <w:p>
            <w:r>
              <w:rPr>
                <w:rFonts w:ascii="Arial" w:cs="Arial" w:eastAsia="Arial" w:hAnsi="Arial"/>
                <w:b/>
                <w:bCs/>
                <w:color w:val="FFFFFF"/>
                <w:sz w:val="15"/>
                <w:szCs w:val="15"/>
              </w:rPr>
              <w:t xml:space="preserve">Tone</w:t>
            </w:r>
          </w:p>
        </w:tc>
        <w:tc>
          <w:tcPr>
            <w:tcW w:type="dxa" w:w="1800"/>
            <w:tcBorders>
              <w:top w:val="single" w:color="CCCCCC" w:sz="1"/>
              <w:left w:val="single" w:color="CCCCCC" w:sz="1"/>
              <w:bottom w:val="single" w:color="CCCCCC" w:sz="1"/>
              <w:right w:val="single" w:color="CCCCCC" w:sz="1"/>
            </w:tcBorders>
            <w:shd w:fill="1D5CA5" w:val="clear"/>
            <w:tcMar>
              <w:top w:type="dxa" w:w="60"/>
              <w:left w:type="dxa" w:w="90"/>
              <w:bottom w:type="dxa" w:w="60"/>
              <w:right w:type="dxa" w:w="90"/>
            </w:tcMar>
          </w:tcPr>
          <w:p>
            <w:r>
              <w:rPr>
                <w:rFonts w:ascii="Arial" w:cs="Arial" w:eastAsia="Arial" w:hAnsi="Arial"/>
                <w:b/>
                <w:bCs/>
                <w:color w:val="FFFFFF"/>
                <w:sz w:val="15"/>
                <w:szCs w:val="15"/>
              </w:rPr>
              <w:t xml:space="preserve">Signature Moves</w:t>
            </w:r>
          </w:p>
        </w:tc>
        <w:tc>
          <w:tcPr>
            <w:tcW w:type="dxa" w:w="1800"/>
            <w:tcBorders>
              <w:top w:val="single" w:color="CCCCCC" w:sz="1"/>
              <w:left w:val="single" w:color="CCCCCC" w:sz="1"/>
              <w:bottom w:val="single" w:color="CCCCCC" w:sz="1"/>
              <w:right w:val="single" w:color="CCCCCC" w:sz="1"/>
            </w:tcBorders>
            <w:shd w:fill="1D5CA5" w:val="clear"/>
            <w:tcMar>
              <w:top w:type="dxa" w:w="60"/>
              <w:left w:type="dxa" w:w="90"/>
              <w:bottom w:type="dxa" w:w="60"/>
              <w:right w:type="dxa" w:w="90"/>
            </w:tcMar>
          </w:tcPr>
          <w:p>
            <w:r>
              <w:rPr>
                <w:rFonts w:ascii="Arial" w:cs="Arial" w:eastAsia="Arial" w:hAnsi="Arial"/>
                <w:b/>
                <w:bCs/>
                <w:color w:val="FFFFFF"/>
                <w:sz w:val="15"/>
                <w:szCs w:val="15"/>
              </w:rPr>
              <w:t xml:space="preserve">Things to Avoid</w:t>
            </w:r>
          </w:p>
        </w:tc>
        <w:tc>
          <w:tcPr>
            <w:tcW w:type="dxa" w:w="1520"/>
            <w:tcBorders>
              <w:top w:val="single" w:color="CCCCCC" w:sz="1"/>
              <w:left w:val="single" w:color="CCCCCC" w:sz="1"/>
              <w:bottom w:val="single" w:color="CCCCCC" w:sz="1"/>
              <w:right w:val="single" w:color="CCCCCC" w:sz="1"/>
            </w:tcBorders>
            <w:shd w:fill="1D5CA5" w:val="clear"/>
            <w:tcMar>
              <w:top w:type="dxa" w:w="60"/>
              <w:left w:type="dxa" w:w="90"/>
              <w:bottom w:type="dxa" w:w="60"/>
              <w:right w:type="dxa" w:w="90"/>
            </w:tcMar>
          </w:tcPr>
          <w:p>
            <w:r>
              <w:rPr>
                <w:rFonts w:ascii="Arial" w:cs="Arial" w:eastAsia="Arial" w:hAnsi="Arial"/>
                <w:b/>
                <w:bCs/>
                <w:color w:val="FFFFFF"/>
                <w:sz w:val="15"/>
                <w:szCs w:val="15"/>
              </w:rPr>
              <w:t xml:space="preserve">Closing Style</w:t>
            </w:r>
          </w:p>
        </w:tc>
      </w:tr>
      <w:tr>
        <w:tc>
          <w:tcPr>
            <w:tcW w:type="dxa" w:w="1580"/>
            <w:tcBorders>
              <w:top w:val="single" w:color="CCCCCC" w:sz="1"/>
              <w:left w:val="single" w:color="CCCCCC" w:sz="1"/>
              <w:bottom w:val="single" w:color="CCCCCC" w:sz="1"/>
              <w:right w:val="single" w:color="CCCCCC" w:sz="1"/>
            </w:tcBorders>
            <w:shd w:fill="EEF3FA" w:val="clear"/>
            <w:tcMar>
              <w:top w:type="dxa" w:w="60"/>
              <w:left w:type="dxa" w:w="90"/>
              <w:bottom w:type="dxa" w:w="60"/>
              <w:right w:type="dxa" w:w="90"/>
            </w:tcMar>
            <w:vAlign w:val="top"/>
          </w:tcPr>
          <w:p>
            <w:r>
              <w:rPr>
                <w:rFonts w:ascii="Arial" w:cs="Arial" w:eastAsia="Arial" w:hAnsi="Arial"/>
                <w:b/>
                <w:bCs/>
                <w:color w:val="1A1A1A"/>
                <w:sz w:val="15"/>
                <w:szCs w:val="15"/>
              </w:rPr>
              <w:t xml:space="preserve">Cold / Warm Outreach</w:t>
            </w:r>
          </w:p>
        </w:tc>
        <w:tc>
          <w:tcPr>
            <w:tcW w:type="dxa" w:w="15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Name the real shared moment (place, person, conversation)</w:t>
            </w:r>
          </w:p>
        </w:tc>
        <w:tc>
          <w:tcPr>
            <w:tcW w:type="dxa" w:w="12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Medium; bullets for value-offer list</w:t>
            </w:r>
          </w:p>
        </w:tc>
        <w:tc>
          <w:tcPr>
            <w:tcW w:type="dxa" w:w="12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Warm, strategic, mutual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Value-first structure; 'mutual intelligence' framing; dual benefit list before any ask</w:t>
            </w:r>
          </w:p>
        </w:tc>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Generic opener ('I wanted to follow up'); leading with the ask</w:t>
            </w:r>
          </w:p>
        </w:tc>
        <w:tc>
          <w:tcPr>
            <w:tcW w:type="dxa" w:w="15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'Looking forward to staying in touch.'</w:t>
            </w:r>
          </w:p>
        </w:tc>
      </w:tr>
      <w:tr>
        <w:tc>
          <w:tcPr>
            <w:tcW w:type="dxa" w:w="1580"/>
            <w:tcBorders>
              <w:top w:val="single" w:color="CCCCCC" w:sz="1"/>
              <w:left w:val="single" w:color="CCCCCC" w:sz="1"/>
              <w:bottom w:val="single" w:color="CCCCCC" w:sz="1"/>
              <w:right w:val="single" w:color="CCCCCC" w:sz="1"/>
            </w:tcBorders>
            <w:shd w:fill="EEF3FA" w:val="clear"/>
            <w:tcMar>
              <w:top w:type="dxa" w:w="60"/>
              <w:left w:type="dxa" w:w="90"/>
              <w:bottom w:type="dxa" w:w="60"/>
              <w:right w:type="dxa" w:w="90"/>
            </w:tcMar>
            <w:vAlign w:val="top"/>
          </w:tcPr>
          <w:p>
            <w:r>
              <w:rPr>
                <w:rFonts w:ascii="Arial" w:cs="Arial" w:eastAsia="Arial" w:hAnsi="Arial"/>
                <w:b/>
                <w:bCs/>
                <w:color w:val="1A1A1A"/>
                <w:sz w:val="15"/>
                <w:szCs w:val="15"/>
              </w:rPr>
              <w:t xml:space="preserve">Client Deliverables</w:t>
            </w:r>
          </w:p>
        </w:tc>
        <w:tc>
          <w:tcPr>
            <w:tcW w:type="dxa" w:w="1580"/>
            <w:tcBorders>
              <w:top w:val="single" w:color="CCCCCC" w:sz="1"/>
              <w:left w:val="single" w:color="CCCCCC" w:sz="1"/>
              <w:bottom w:val="single" w:color="CCCCCC" w:sz="1"/>
              <w:right w:val="single" w:color="CCCCCC" w:sz="1"/>
            </w:tcBorders>
            <w:shd w:fill="F9FAFB"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State what was accomplished and what it targets</w:t>
            </w:r>
          </w:p>
        </w:tc>
        <w:tc>
          <w:tcPr>
            <w:tcW w:type="dxa" w:w="1260"/>
            <w:tcBorders>
              <w:top w:val="single" w:color="CCCCCC" w:sz="1"/>
              <w:left w:val="single" w:color="CCCCCC" w:sz="1"/>
              <w:bottom w:val="single" w:color="CCCCCC" w:sz="1"/>
              <w:right w:val="single" w:color="CCCCCC" w:sz="1"/>
            </w:tcBorders>
            <w:shd w:fill="F9FAFB"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Medium narrative + bulleted list</w:t>
            </w:r>
          </w:p>
        </w:tc>
        <w:tc>
          <w:tcPr>
            <w:tcW w:type="dxa" w:w="1260"/>
            <w:tcBorders>
              <w:top w:val="single" w:color="CCCCCC" w:sz="1"/>
              <w:left w:val="single" w:color="CCCCCC" w:sz="1"/>
              <w:bottom w:val="single" w:color="CCCCCC" w:sz="1"/>
              <w:right w:val="single" w:color="CCCCCC" w:sz="1"/>
            </w:tcBorders>
            <w:shd w:fill="F9FAFB"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Expert, confident, direct</w:t>
            </w:r>
          </w:p>
        </w:tc>
        <w:tc>
          <w:tcPr>
            <w:tcW w:type="dxa" w:w="1800"/>
            <w:tcBorders>
              <w:top w:val="single" w:color="CCCCCC" w:sz="1"/>
              <w:left w:val="single" w:color="CCCCCC" w:sz="1"/>
              <w:bottom w:val="single" w:color="CCCCCC" w:sz="1"/>
              <w:right w:val="single" w:color="CCCCCC" w:sz="1"/>
            </w:tcBorders>
            <w:shd w:fill="F9FAFB"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Named bold-labeled frameworks; numbered 'strategic shifts'; review request + referral ask at close</w:t>
            </w:r>
          </w:p>
        </w:tc>
        <w:tc>
          <w:tcPr>
            <w:tcW w:type="dxa" w:w="1800"/>
            <w:tcBorders>
              <w:top w:val="single" w:color="CCCCCC" w:sz="1"/>
              <w:left w:val="single" w:color="CCCCCC" w:sz="1"/>
              <w:bottom w:val="single" w:color="CCCCCC" w:sz="1"/>
              <w:right w:val="single" w:color="CCCCCC" w:sz="1"/>
            </w:tcBorders>
            <w:shd w:fill="F9FAFB"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Hedging; vague descriptions ('we improved your framing')</w:t>
            </w:r>
          </w:p>
        </w:tc>
        <w:tc>
          <w:tcPr>
            <w:tcW w:type="dxa" w:w="1520"/>
            <w:tcBorders>
              <w:top w:val="single" w:color="CCCCCC" w:sz="1"/>
              <w:left w:val="single" w:color="CCCCCC" w:sz="1"/>
              <w:bottom w:val="single" w:color="CCCCCC" w:sz="1"/>
              <w:right w:val="single" w:color="CCCCCC" w:sz="1"/>
            </w:tcBorders>
            <w:shd w:fill="F9FAFB"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Review request + open referral invite</w:t>
            </w:r>
          </w:p>
        </w:tc>
      </w:tr>
      <w:tr>
        <w:tc>
          <w:tcPr>
            <w:tcW w:type="dxa" w:w="1580"/>
            <w:tcBorders>
              <w:top w:val="single" w:color="CCCCCC" w:sz="1"/>
              <w:left w:val="single" w:color="CCCCCC" w:sz="1"/>
              <w:bottom w:val="single" w:color="CCCCCC" w:sz="1"/>
              <w:right w:val="single" w:color="CCCCCC" w:sz="1"/>
            </w:tcBorders>
            <w:shd w:fill="EEF3FA" w:val="clear"/>
            <w:tcMar>
              <w:top w:type="dxa" w:w="60"/>
              <w:left w:type="dxa" w:w="90"/>
              <w:bottom w:type="dxa" w:w="60"/>
              <w:right w:type="dxa" w:w="90"/>
            </w:tcMar>
            <w:vAlign w:val="top"/>
          </w:tcPr>
          <w:p>
            <w:r>
              <w:rPr>
                <w:rFonts w:ascii="Arial" w:cs="Arial" w:eastAsia="Arial" w:hAnsi="Arial"/>
                <w:b/>
                <w:bCs/>
                <w:color w:val="1A1A1A"/>
                <w:sz w:val="15"/>
                <w:szCs w:val="15"/>
              </w:rPr>
              <w:t xml:space="preserve">Feedback / Internal</w:t>
            </w:r>
          </w:p>
        </w:tc>
        <w:tc>
          <w:tcPr>
            <w:tcW w:type="dxa" w:w="15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Brief thanks, immediate pivot to suggestion</w:t>
            </w:r>
          </w:p>
        </w:tc>
        <w:tc>
          <w:tcPr>
            <w:tcW w:type="dxa" w:w="12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Short; 2–4 sentences</w:t>
            </w:r>
          </w:p>
        </w:tc>
        <w:tc>
          <w:tcPr>
            <w:tcW w:type="dxa" w:w="12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Professional, collegial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Two clear alternatives; em-dash pivot; no lengthy preamble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Long setup before the recommendation lands</w:t>
            </w:r>
          </w:p>
        </w:tc>
        <w:tc>
          <w:tcPr>
            <w:tcW w:type="dxa" w:w="15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Implicit — ends at the suggestion</w:t>
            </w:r>
          </w:p>
        </w:tc>
      </w:tr>
      <w:tr>
        <w:tc>
          <w:tcPr>
            <w:tcW w:type="dxa" w:w="1580"/>
            <w:tcBorders>
              <w:top w:val="single" w:color="CCCCCC" w:sz="1"/>
              <w:left w:val="single" w:color="CCCCCC" w:sz="1"/>
              <w:bottom w:val="single" w:color="CCCCCC" w:sz="1"/>
              <w:right w:val="single" w:color="CCCCCC" w:sz="1"/>
            </w:tcBorders>
            <w:shd w:fill="EEF3FA" w:val="clear"/>
            <w:tcMar>
              <w:top w:type="dxa" w:w="60"/>
              <w:left w:type="dxa" w:w="90"/>
              <w:bottom w:type="dxa" w:w="60"/>
              <w:right w:type="dxa" w:w="90"/>
            </w:tcMar>
            <w:vAlign w:val="top"/>
          </w:tcPr>
          <w:p>
            <w:r>
              <w:rPr>
                <w:rFonts w:ascii="Arial" w:cs="Arial" w:eastAsia="Arial" w:hAnsi="Arial"/>
                <w:b/>
                <w:bCs/>
                <w:color w:val="1A1A1A"/>
                <w:sz w:val="15"/>
                <w:szCs w:val="15"/>
              </w:rPr>
              <w:t xml:space="preserve">Follow-ups / Confirmations</w:t>
            </w:r>
          </w:p>
        </w:tc>
        <w:tc>
          <w:tcPr>
            <w:tcW w:type="dxa" w:w="1580"/>
            <w:tcBorders>
              <w:top w:val="single" w:color="CCCCCC" w:sz="1"/>
              <w:left w:val="single" w:color="CCCCCC" w:sz="1"/>
              <w:bottom w:val="single" w:color="CCCCCC" w:sz="1"/>
              <w:right w:val="single" w:color="CCCCCC" w:sz="1"/>
            </w:tcBorders>
            <w:shd w:fill="F9FAFB"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One or two sentences; or a deliberate fragment</w:t>
            </w:r>
          </w:p>
        </w:tc>
        <w:tc>
          <w:tcPr>
            <w:tcW w:type="dxa" w:w="1260"/>
            <w:tcBorders>
              <w:top w:val="single" w:color="CCCCCC" w:sz="1"/>
              <w:left w:val="single" w:color="CCCCCC" w:sz="1"/>
              <w:bottom w:val="single" w:color="CCCCCC" w:sz="1"/>
              <w:right w:val="single" w:color="CCCCCC" w:sz="1"/>
            </w:tcBorders>
            <w:shd w:fill="F9FAFB"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Short; often single fragments</w:t>
            </w:r>
          </w:p>
        </w:tc>
        <w:tc>
          <w:tcPr>
            <w:tcW w:type="dxa" w:w="1260"/>
            <w:tcBorders>
              <w:top w:val="single" w:color="CCCCCC" w:sz="1"/>
              <w:left w:val="single" w:color="CCCCCC" w:sz="1"/>
              <w:bottom w:val="single" w:color="CCCCCC" w:sz="1"/>
              <w:right w:val="single" w:color="CCCCCC" w:sz="1"/>
            </w:tcBorders>
            <w:shd w:fill="F9FAFB"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Efficient, warm</w:t>
            </w:r>
          </w:p>
        </w:tc>
        <w:tc>
          <w:tcPr>
            <w:tcW w:type="dxa" w:w="1800"/>
            <w:tcBorders>
              <w:top w:val="single" w:color="CCCCCC" w:sz="1"/>
              <w:left w:val="single" w:color="CCCCCC" w:sz="1"/>
              <w:bottom w:val="single" w:color="CCCCCC" w:sz="1"/>
              <w:right w:val="single" w:color="CCCCCC" w:sz="1"/>
            </w:tcBorders>
            <w:shd w:fill="F9FAFB"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'Great catch.' 'Fantastic.' Direct next-step instruction</w:t>
            </w:r>
          </w:p>
        </w:tc>
        <w:tc>
          <w:tcPr>
            <w:tcW w:type="dxa" w:w="1800"/>
            <w:tcBorders>
              <w:top w:val="single" w:color="CCCCCC" w:sz="1"/>
              <w:left w:val="single" w:color="CCCCCC" w:sz="1"/>
              <w:bottom w:val="single" w:color="CCCCCC" w:sz="1"/>
              <w:right w:val="single" w:color="CCCCCC" w:sz="1"/>
            </w:tcBorders>
            <w:shd w:fill="F9FAFB"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Restating context the reader already knows</w:t>
            </w:r>
          </w:p>
        </w:tc>
        <w:tc>
          <w:tcPr>
            <w:tcW w:type="dxa" w:w="1520"/>
            <w:tcBorders>
              <w:top w:val="single" w:color="CCCCCC" w:sz="1"/>
              <w:left w:val="single" w:color="CCCCCC" w:sz="1"/>
              <w:bottom w:val="single" w:color="CCCCCC" w:sz="1"/>
              <w:right w:val="single" w:color="CCCCCC" w:sz="1"/>
            </w:tcBorders>
            <w:shd w:fill="F9FAFB"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Open question or explicit next step</w:t>
            </w:r>
          </w:p>
        </w:tc>
      </w:tr>
      <w:tr>
        <w:tc>
          <w:tcPr>
            <w:tcW w:type="dxa" w:w="1580"/>
            <w:tcBorders>
              <w:top w:val="single" w:color="CCCCCC" w:sz="1"/>
              <w:left w:val="single" w:color="CCCCCC" w:sz="1"/>
              <w:bottom w:val="single" w:color="CCCCCC" w:sz="1"/>
              <w:right w:val="single" w:color="CCCCCC" w:sz="1"/>
            </w:tcBorders>
            <w:shd w:fill="EEF3FA" w:val="clear"/>
            <w:tcMar>
              <w:top w:type="dxa" w:w="60"/>
              <w:left w:type="dxa" w:w="90"/>
              <w:bottom w:type="dxa" w:w="60"/>
              <w:right w:type="dxa" w:w="90"/>
            </w:tcMar>
            <w:vAlign w:val="top"/>
          </w:tcPr>
          <w:p>
            <w:r>
              <w:rPr>
                <w:rFonts w:ascii="Arial" w:cs="Arial" w:eastAsia="Arial" w:hAnsi="Arial"/>
                <w:b/>
                <w:bCs/>
                <w:color w:val="1A1A1A"/>
                <w:sz w:val="15"/>
                <w:szCs w:val="15"/>
              </w:rPr>
              <w:t xml:space="preserve">Casual Advisory (peer / family)</w:t>
            </w:r>
          </w:p>
        </w:tc>
        <w:tc>
          <w:tcPr>
            <w:tcW w:type="dxa" w:w="15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'Hey [Name], I did some digging...'</w:t>
            </w:r>
          </w:p>
        </w:tc>
        <w:tc>
          <w:tcPr>
            <w:tcW w:type="dxa" w:w="12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Medium after opener; then organized sections</w:t>
            </w:r>
          </w:p>
        </w:tc>
        <w:tc>
          <w:tcPr>
            <w:tcW w:type="dxa" w:w="12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Conversational + analytical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ALL-CAPS section headers; bottom-line summary paragraph; low-pressure close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Soft-pedaling findings; skipping the organized structure</w:t>
            </w:r>
          </w:p>
        </w:tc>
        <w:tc>
          <w:tcPr>
            <w:tcW w:type="dxa" w:w="15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'Let me know if you want to talk through any of this.'</w:t>
            </w:r>
          </w:p>
        </w:tc>
      </w:tr>
      <w:tr>
        <w:tc>
          <w:tcPr>
            <w:tcW w:type="dxa" w:w="1580"/>
            <w:tcBorders>
              <w:top w:val="single" w:color="CCCCCC" w:sz="1"/>
              <w:left w:val="single" w:color="CCCCCC" w:sz="1"/>
              <w:bottom w:val="single" w:color="CCCCCC" w:sz="1"/>
              <w:right w:val="single" w:color="CCCCCC" w:sz="1"/>
            </w:tcBorders>
            <w:shd w:fill="EEF3FA" w:val="clear"/>
            <w:tcMar>
              <w:top w:type="dxa" w:w="60"/>
              <w:left w:type="dxa" w:w="90"/>
              <w:bottom w:type="dxa" w:w="60"/>
              <w:right w:type="dxa" w:w="90"/>
            </w:tcMar>
            <w:vAlign w:val="top"/>
          </w:tcPr>
          <w:p>
            <w:r>
              <w:rPr>
                <w:rFonts w:ascii="Arial" w:cs="Arial" w:eastAsia="Arial" w:hAnsi="Arial"/>
                <w:b/>
                <w:bCs/>
                <w:color w:val="1A1A1A"/>
                <w:sz w:val="15"/>
                <w:szCs w:val="15"/>
              </w:rPr>
              <w:t xml:space="preserve">Service / Admin</w:t>
            </w:r>
          </w:p>
        </w:tc>
        <w:tc>
          <w:tcPr>
            <w:tcW w:type="dxa" w:w="1580"/>
            <w:tcBorders>
              <w:top w:val="single" w:color="CCCCCC" w:sz="1"/>
              <w:left w:val="single" w:color="CCCCCC" w:sz="1"/>
              <w:bottom w:val="single" w:color="CCCCCC" w:sz="1"/>
              <w:right w:val="single" w:color="CCCCCC" w:sz="1"/>
            </w:tcBorders>
            <w:shd w:fill="F9FAFB"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'Good morning!' + one specific ask</w:t>
            </w:r>
          </w:p>
        </w:tc>
        <w:tc>
          <w:tcPr>
            <w:tcW w:type="dxa" w:w="1260"/>
            <w:tcBorders>
              <w:top w:val="single" w:color="CCCCCC" w:sz="1"/>
              <w:left w:val="single" w:color="CCCCCC" w:sz="1"/>
              <w:bottom w:val="single" w:color="CCCCCC" w:sz="1"/>
              <w:right w:val="single" w:color="CCCCCC" w:sz="1"/>
            </w:tcBorders>
            <w:shd w:fill="F9FAFB"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Short</w:t>
            </w:r>
          </w:p>
        </w:tc>
        <w:tc>
          <w:tcPr>
            <w:tcW w:type="dxa" w:w="1260"/>
            <w:tcBorders>
              <w:top w:val="single" w:color="CCCCCC" w:sz="1"/>
              <w:left w:val="single" w:color="CCCCCC" w:sz="1"/>
              <w:bottom w:val="single" w:color="CCCCCC" w:sz="1"/>
              <w:right w:val="single" w:color="CCCCCC" w:sz="1"/>
            </w:tcBorders>
            <w:shd w:fill="F9FAFB"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Polite, brief</w:t>
            </w:r>
          </w:p>
        </w:tc>
        <w:tc>
          <w:tcPr>
            <w:tcW w:type="dxa" w:w="1800"/>
            <w:tcBorders>
              <w:top w:val="single" w:color="CCCCCC" w:sz="1"/>
              <w:left w:val="single" w:color="CCCCCC" w:sz="1"/>
              <w:bottom w:val="single" w:color="CCCCCC" w:sz="1"/>
              <w:right w:val="single" w:color="CCCCCC" w:sz="1"/>
            </w:tcBorders>
            <w:shd w:fill="F9FAFB"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Single ask per email; proactive info-sharing when issues arise</w:t>
            </w:r>
          </w:p>
        </w:tc>
        <w:tc>
          <w:tcPr>
            <w:tcW w:type="dxa" w:w="1800"/>
            <w:tcBorders>
              <w:top w:val="single" w:color="CCCCCC" w:sz="1"/>
              <w:left w:val="single" w:color="CCCCCC" w:sz="1"/>
              <w:bottom w:val="single" w:color="CCCCCC" w:sz="1"/>
              <w:right w:val="single" w:color="CCCCCC" w:sz="1"/>
            </w:tcBorders>
            <w:shd w:fill="F9FAFB"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Pleasantries beyond the opener</w:t>
            </w:r>
          </w:p>
        </w:tc>
        <w:tc>
          <w:tcPr>
            <w:tcW w:type="dxa" w:w="1520"/>
            <w:tcBorders>
              <w:top w:val="single" w:color="CCCCCC" w:sz="1"/>
              <w:left w:val="single" w:color="CCCCCC" w:sz="1"/>
              <w:bottom w:val="single" w:color="CCCCCC" w:sz="1"/>
              <w:right w:val="single" w:color="CCCCCC" w:sz="1"/>
            </w:tcBorders>
            <w:shd w:fill="F9FAFB" w:val="clear"/>
            <w:tcMar>
              <w:top w:type="dxa" w:w="60"/>
              <w:left w:type="dxa" w:w="90"/>
              <w:bottom w:type="dxa" w:w="60"/>
              <w:right w:type="dxa" w:w="90"/>
            </w:tcMar>
            <w:vAlign w:val="top"/>
          </w:tcPr>
          <w:p>
            <w:r>
              <w:rPr>
                <w:rFonts w:ascii="Arial" w:cs="Arial" w:eastAsia="Arial" w:hAnsi="Arial"/>
                <w:b w:val="false"/>
                <w:bCs w:val="false"/>
                <w:color w:val="1A1A1A"/>
                <w:sz w:val="15"/>
                <w:szCs w:val="15"/>
              </w:rPr>
              <w:t xml:space="preserve">First name + phone number only</w:t>
            </w:r>
          </w:p>
        </w:tc>
      </w:tr>
    </w:tbl>
    <w:p>
      <w:pPr>
        <w:spacing w:after="0" w:before="240"/>
      </w:pPr>
      <w:r>
        <w:rPr>
          <w:rFonts w:ascii="Arial" w:cs="Arial" w:eastAsia="Arial" w:hAnsi="Arial"/>
          <w:color w:val="1A1A1A"/>
          <w:sz w:val="20"/>
          <w:szCs w:val="20"/>
        </w:rPr>
        <w:t xml:space="preserve"/>
      </w:r>
    </w:p>
    <w:p>
      <w:pPr>
        <w:pBdr>
          <w:bottom w:val="single" w:color="1D5CA5" w:sz="6" w:space="6"/>
        </w:pBdr>
        <w:spacing w:after="160" w:before="360"/>
      </w:pPr>
      <w:r>
        <w:rPr>
          <w:rFonts w:ascii="Arial" w:cs="Arial" w:eastAsia="Arial" w:hAnsi="Arial"/>
          <w:b/>
          <w:bCs/>
          <w:color w:val="1D5CA5"/>
          <w:sz w:val="28"/>
          <w:szCs w:val="28"/>
        </w:rPr>
        <w:t xml:space="preserve">8. Voice Calibration Tests</w:t>
      </w:r>
    </w:p>
    <w:p>
      <w:pPr>
        <w:spacing w:after="80" w:before="80"/>
      </w:pPr>
      <w:r>
        <w:rPr>
          <w:rFonts w:ascii="Arial" w:cs="Arial" w:eastAsia="Arial" w:hAnsi="Arial"/>
          <w:color w:val="1A1A1A"/>
          <w:sz w:val="20"/>
          <w:szCs w:val="20"/>
        </w:rPr>
        <w:t xml:space="preserve">Six yes/no checks, each targeting a different dimension. A draft should pass all six before sending.</w:t>
      </w:r>
    </w:p>
    <w:p>
      <w:pPr>
        <w:spacing w:after="0" w:before="80"/>
      </w:pPr>
      <w:r>
        <w:rPr>
          <w:rFonts w:ascii="Arial" w:cs="Arial" w:eastAsia="Arial" w:hAnsi="Arial"/>
          <w:color w:val="1A1A1A"/>
          <w:sz w:val="20"/>
          <w:szCs w:val="20"/>
        </w:rPr>
        <w:t xml:space="preserve"/>
      </w:r>
    </w:p>
    <w:p>
      <w:pPr>
        <w:pStyle w:val="ListParagraph"/>
        <w:numPr>
          <w:ilvl w:val="0"/>
          <w:numId w:val="4"/>
        </w:numPr>
        <w:spacing w:after="80" w:before="80"/>
      </w:pPr>
      <w:r>
        <w:rPr>
          <w:rFonts w:ascii="Arial" w:cs="Arial" w:eastAsia="Arial" w:hAnsi="Arial"/>
          <w:b/>
          <w:bCs/>
          <w:color w:val="1A1A1A"/>
          <w:sz w:val="20"/>
          <w:szCs w:val="20"/>
        </w:rPr>
        <w:t xml:space="preserve">[Structure]  </w:t>
      </w:r>
      <w:r>
        <w:rPr>
          <w:rFonts w:ascii="Arial" w:cs="Arial" w:eastAsia="Arial" w:hAnsi="Arial"/>
          <w:color w:val="1A1A1A"/>
          <w:sz w:val="20"/>
          <w:szCs w:val="20"/>
        </w:rPr>
        <w:t xml:space="preserve">Is the next step or decision clearly separated from the explanation — or buried inside a paragraph?</w:t>
      </w:r>
    </w:p>
    <w:p>
      <w:pPr>
        <w:pStyle w:val="ListParagraph"/>
        <w:numPr>
          <w:ilvl w:val="0"/>
          <w:numId w:val="4"/>
        </w:numPr>
        <w:spacing w:after="80" w:before="80"/>
      </w:pPr>
      <w:r>
        <w:rPr>
          <w:rFonts w:ascii="Arial" w:cs="Arial" w:eastAsia="Arial" w:hAnsi="Arial"/>
          <w:b/>
          <w:bCs/>
          <w:color w:val="1A1A1A"/>
          <w:sz w:val="20"/>
          <w:szCs w:val="20"/>
        </w:rPr>
        <w:t xml:space="preserve">[Tone]  </w:t>
      </w:r>
      <w:r>
        <w:rPr>
          <w:rFonts w:ascii="Arial" w:cs="Arial" w:eastAsia="Arial" w:hAnsi="Arial"/>
          <w:color w:val="1A1A1A"/>
          <w:sz w:val="20"/>
          <w:szCs w:val="20"/>
        </w:rPr>
        <w:t xml:space="preserve">Does the opening anchor in a real shared moment or context, or does it lead with a generic warm-up phrase?</w:t>
      </w:r>
    </w:p>
    <w:p>
      <w:pPr>
        <w:pStyle w:val="ListParagraph"/>
        <w:numPr>
          <w:ilvl w:val="0"/>
          <w:numId w:val="4"/>
        </w:numPr>
        <w:spacing w:after="80" w:before="80"/>
      </w:pPr>
      <w:r>
        <w:rPr>
          <w:rFonts w:ascii="Arial" w:cs="Arial" w:eastAsia="Arial" w:hAnsi="Arial"/>
          <w:b/>
          <w:bCs/>
          <w:color w:val="1A1A1A"/>
          <w:sz w:val="20"/>
          <w:szCs w:val="20"/>
        </w:rPr>
        <w:t xml:space="preserve">[Specificity]  </w:t>
      </w:r>
      <w:r>
        <w:rPr>
          <w:rFonts w:ascii="Arial" w:cs="Arial" w:eastAsia="Arial" w:hAnsi="Arial"/>
          <w:color w:val="1A1A1A"/>
          <w:sz w:val="20"/>
          <w:szCs w:val="20"/>
        </w:rPr>
        <w:t xml:space="preserve">Are strategic moves named with specific labels — or described in vague terms like 'we improved your framing'?</w:t>
      </w:r>
    </w:p>
    <w:p>
      <w:pPr>
        <w:pStyle w:val="ListParagraph"/>
        <w:numPr>
          <w:ilvl w:val="0"/>
          <w:numId w:val="4"/>
        </w:numPr>
        <w:spacing w:after="80" w:before="80"/>
      </w:pPr>
      <w:r>
        <w:rPr>
          <w:rFonts w:ascii="Arial" w:cs="Arial" w:eastAsia="Arial" w:hAnsi="Arial"/>
          <w:b/>
          <w:bCs/>
          <w:color w:val="1A1A1A"/>
          <w:sz w:val="20"/>
          <w:szCs w:val="20"/>
        </w:rPr>
        <w:t xml:space="preserve">[Point of View]  </w:t>
      </w:r>
      <w:r>
        <w:rPr>
          <w:rFonts w:ascii="Arial" w:cs="Arial" w:eastAsia="Arial" w:hAnsi="Arial"/>
          <w:color w:val="1A1A1A"/>
          <w:sz w:val="20"/>
          <w:szCs w:val="20"/>
        </w:rPr>
        <w:t xml:space="preserve">In outreach or advisory emails, does the draft lead with what the writer offers before stating what they want?</w:t>
      </w:r>
    </w:p>
    <w:p>
      <w:pPr>
        <w:pStyle w:val="ListParagraph"/>
        <w:numPr>
          <w:ilvl w:val="0"/>
          <w:numId w:val="4"/>
        </w:numPr>
        <w:spacing w:after="80" w:before="80"/>
      </w:pPr>
      <w:r>
        <w:rPr>
          <w:rFonts w:ascii="Arial" w:cs="Arial" w:eastAsia="Arial" w:hAnsi="Arial"/>
          <w:b/>
          <w:bCs/>
          <w:color w:val="1A1A1A"/>
          <w:sz w:val="20"/>
          <w:szCs w:val="20"/>
        </w:rPr>
        <w:t xml:space="preserve">[Authenticity]  </w:t>
      </w:r>
      <w:r>
        <w:rPr>
          <w:rFonts w:ascii="Arial" w:cs="Arial" w:eastAsia="Arial" w:hAnsi="Arial"/>
          <w:color w:val="1A1A1A"/>
          <w:sz w:val="20"/>
          <w:szCs w:val="20"/>
        </w:rPr>
        <w:t xml:space="preserve">Do acknowledgments read as punchy and deliberate ('Great catch.') — or padded with filler appreciation?</w:t>
      </w:r>
    </w:p>
    <w:p>
      <w:pPr>
        <w:pStyle w:val="ListParagraph"/>
        <w:numPr>
          <w:ilvl w:val="0"/>
          <w:numId w:val="4"/>
        </w:numPr>
        <w:spacing w:after="80" w:before="80"/>
      </w:pPr>
      <w:r>
        <w:rPr>
          <w:rFonts w:ascii="Arial" w:cs="Arial" w:eastAsia="Arial" w:hAnsi="Arial"/>
          <w:b/>
          <w:bCs/>
          <w:color w:val="1A1A1A"/>
          <w:sz w:val="20"/>
          <w:szCs w:val="20"/>
        </w:rPr>
        <w:t xml:space="preserve">[Readability]  </w:t>
      </w:r>
      <w:r>
        <w:rPr>
          <w:rFonts w:ascii="Arial" w:cs="Arial" w:eastAsia="Arial" w:hAnsi="Arial"/>
          <w:color w:val="1A1A1A"/>
          <w:sz w:val="20"/>
          <w:szCs w:val="20"/>
        </w:rPr>
        <w:t xml:space="preserve">If there are three or more distinct topics, are they organized with headers or bullets — or collapsed into a wall of prose?</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1D5CA5"/>
      <w:sz w:val="28"/>
      <w:szCs w:val="28"/>
    </w:rPr>
  </w:style>
  <w:style w:type="paragraph" w:styleId="Heading2">
    <w:name w:val="Heading 2"/>
    <w:basedOn w:val="Normal"/>
    <w:next w:val="Normal"/>
    <w:pPr>
      <w:spacing w:after="80" w:before="200"/>
      <w:outlineLvl w:val="1"/>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2026-04-24T15:50:04.056Z</dcterms:created>
  <dcterms:modified xsi:type="dcterms:W3CDTF">2026-04-24T15:50:04.057Z</dcterms:modified>
</cp:coreProperties>
</file>

<file path=docProps/custom.xml><?xml version="1.0" encoding="utf-8"?>
<Properties xmlns="http://schemas.openxmlformats.org/officeDocument/2006/custom-properties" xmlns:vt="http://schemas.openxmlformats.org/officeDocument/2006/docPropsVTypes"/>
</file>