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ple SD Gothic Neo" w:hAnsi="Apple SD Gothic Neo"/>
          <w:b/>
          <w:color w:val="0F172A"/>
          <w:sz w:val="42"/>
        </w:rPr>
        <w:t>Agent Learning Expansion Pack</w:t>
      </w:r>
    </w:p>
    <w:p>
      <w:pPr>
        <w:jc w:val="center"/>
      </w:pPr>
      <w:r>
        <w:t>Assumption agents learning expansion | 2026-05-18</w:t>
      </w:r>
    </w:p>
    <w:p>
      <w:pPr>
        <w:spacing w:after="140"/>
      </w:pPr>
      <w:r>
        <w:rPr>
          <w:rFonts w:ascii="Apple SD Gothic Neo" w:hAnsi="Apple SD Gothic Neo"/>
          <w:sz w:val="20"/>
        </w:rPr>
        <w:t>생성일: 2026-05-18</w:t>
      </w:r>
    </w:p>
    <w:p>
      <w:pPr>
        <w:pStyle w:val="Heading1"/>
      </w:pPr>
      <w:r>
        <w:t>목적</w:t>
      </w:r>
    </w:p>
    <w:p>
      <w:pPr>
        <w:spacing w:after="140"/>
      </w:pPr>
      <w:r>
        <w:rPr>
          <w:rFonts w:ascii="Apple SD Gothic Neo" w:hAnsi="Apple SD Gothic Neo"/>
          <w:sz w:val="20"/>
        </w:rPr>
        <w:t>이 산출물은 10개 assumption agent의 학습 범위를 확장하기 위한 운영 자료입니다. 최신 IEA 2026, inference energy, prefill-decode disaggregation, rack-scale power/cooling, benchmark/proxy 자료를 agent별 curriculum으로 매핑합니다.</w:t>
      </w:r>
    </w:p>
    <w:p>
      <w:pPr>
        <w:pStyle w:val="Heading1"/>
      </w:pPr>
      <w:r>
        <w:t>운영 원칙</w:t>
      </w:r>
    </w:p>
    <w:p>
      <w:pPr>
        <w:pStyle w:val="ListBullet"/>
      </w:pPr>
      <w:r>
        <w:t>새 source는 바로 숫자 모델에 들어가지 않습니다.</w:t>
      </w:r>
    </w:p>
    <w:p>
      <w:pPr>
        <w:pStyle w:val="ListBullet"/>
      </w:pPr>
      <w:r>
        <w:t>먼저 agent evidence로 승격하고, Fact/Derived Estimate/Proxy/Scenario를 분류합니다.</w:t>
      </w:r>
    </w:p>
    <w:p>
      <w:pPr>
        <w:pStyle w:val="ListBullet"/>
      </w:pPr>
      <w:r>
        <w:t>InferenceX, AI 2027, Deloitte, McKinsey 등은 유용하지만 production telemetry가 아닙니다.</w:t>
      </w:r>
    </w:p>
    <w:p>
      <w:pPr>
        <w:pStyle w:val="ListBullet"/>
      </w:pPr>
      <w:r>
        <w:t>A08/A09는 2026년 serving 논문을 우선 학습하고, benchmark-to-production gap을 명시해야 합니다.</w:t>
      </w:r>
    </w:p>
    <w:p>
      <w:pPr>
        <w:pStyle w:val="ListBullet"/>
      </w:pPr>
      <w:r>
        <w:t>A01/A02는 2026년 power/grid source를 우선 학습하고, planned와 active를 분리해야 합니다.</w:t>
      </w:r>
    </w:p>
    <w:p>
      <w:pPr>
        <w:pStyle w:val="Heading1"/>
      </w:pPr>
      <w:r>
        <w:t>Agent별 확장 커리큘럼</w:t>
      </w:r>
    </w:p>
    <w:p>
      <w:pPr>
        <w:pStyle w:val="Heading2"/>
      </w:pPr>
      <w:r>
        <w:t>A01 `contracted_power_gw`</w:t>
      </w:r>
    </w:p>
    <w:p>
      <w:pPr>
        <w:spacing w:after="140"/>
      </w:pPr>
      <w:r>
        <w:rPr>
          <w:rFonts w:ascii="Apple SD Gothic Neo" w:hAnsi="Apple SD Gothic Neo"/>
          <w:sz w:val="20"/>
        </w:rPr>
        <w:t>확장 주제: planned/contracted/committed/operational capacity language</w:t>
      </w:r>
    </w:p>
    <w:p>
      <w:pPr>
        <w:spacing w:after="140"/>
      </w:pPr>
      <w:r>
        <w:rPr>
          <w:rFonts w:ascii="Apple SD Gothic Neo" w:hAnsi="Apple SD Gothic Neo"/>
          <w:sz w:val="20"/>
        </w:rPr>
        <w:t>핵심 규칙: Separate macro power-demand context from company contracted capacity facts.</w:t>
      </w:r>
    </w:p>
    <w:p>
      <w:pPr>
        <w:spacing w:after="140"/>
      </w:pPr>
      <w:r>
        <w:rPr>
          <w:rFonts w:ascii="Apple SD Gothic Neo" w:hAnsi="Apple SD Gothic Neo"/>
          <w:sz w:val="20"/>
        </w:rPr>
        <w:t>읽을 source:</w:t>
      </w:r>
    </w:p>
    <w:p>
      <w:pPr>
        <w:pStyle w:val="ListBullet"/>
      </w:pPr>
      <w:r>
        <w:t>IEA_KEY_2026: [Key Questions on Energy and AI](https://www.iea.org/reports/key-questions-on-energy-and-ai) - IEA, 2026. 목적: energy/policy.</w:t>
      </w:r>
    </w:p>
    <w:p>
      <w:pPr>
        <w:pStyle w:val="ListBullet"/>
      </w:pPr>
      <w:r>
        <w:t>IEA_ELEC_2026: [Electricity 2026](https://www.iea.org/reports/electricity-2026) - IEA, 2026. 목적: electricity market baseline.</w:t>
      </w:r>
    </w:p>
    <w:p>
      <w:pPr>
        <w:pStyle w:val="ListBullet"/>
      </w:pPr>
      <w:r>
        <w:t>LBNL_DC_2024: [2024 United States Data Center Energy Usage Report](https://eta-publications.lbl.gov/publications/2024-lbnl-data-center-energy-usage-report) - LBNL / DOE, 2024. 목적: data center energy baseline.</w:t>
      </w:r>
    </w:p>
    <w:p>
      <w:pPr>
        <w:pStyle w:val="ListBullet"/>
      </w:pPr>
      <w:r>
        <w:t>EPRI_POWERING: [Powering Intelligence](https://www.epri.com/research/products/000000003002028905) - EPRI, 2024/2026 updated access. 목적: grid and data center energy scenarios.</w:t>
      </w:r>
    </w:p>
    <w:p>
      <w:pPr>
        <w:pStyle w:val="ListBullet"/>
      </w:pPr>
      <w:r>
        <w:t>OPENAI_STARGATE: [Five new Stargate sites](https://openai.com/index/five-new-stargate-sites/) - OpenAI, 2025. 목적: planned capacity and attribution.</w:t>
      </w:r>
    </w:p>
    <w:p>
      <w:pPr>
        <w:pStyle w:val="ListBullet"/>
      </w:pPr>
      <w:r>
        <w:t>DELOITTE_AI_DC: [AI infrastructure gaps](https://www.deloitte.com/us/en/insights/industry/power-and-utilities/data-center-infrastructure-artificial-intelligence.html) - Deloitte Insights, 2025. 목적: market context for infra constraints.</w:t>
      </w:r>
    </w:p>
    <w:p>
      <w:pPr>
        <w:spacing w:after="140"/>
      </w:pPr>
      <w:r>
        <w:rPr>
          <w:rFonts w:ascii="Apple SD Gothic Neo" w:hAnsi="Apple SD Gothic Neo"/>
          <w:sz w:val="20"/>
        </w:rPr>
        <w:t>Evidence promotion task:</w:t>
      </w:r>
    </w:p>
    <w:p>
      <w:pPr>
        <w:spacing w:after="140"/>
      </w:pPr>
      <w:r>
        <w:rPr>
          <w:rFonts w:ascii="Apple SD Gothic Neo" w:hAnsi="Apple SD Gothic Neo"/>
          <w:sz w:val="20"/>
        </w:rPr>
        <w:t>1. 위 source 중 2개를 골라 원문 claim 또는 숫자를 추출합니다.</w:t>
      </w:r>
    </w:p>
    <w:p>
      <w:pPr>
        <w:spacing w:after="140"/>
      </w:pPr>
      <w:r>
        <w:rPr>
          <w:rFonts w:ascii="Apple SD Gothic Neo" w:hAnsi="Apple SD Gothic Neo"/>
          <w:sz w:val="20"/>
        </w:rPr>
        <w:t>2. 각 claim을 Fact / Derived Estimate / Proxy / Scenario로 분류합니다.</w:t>
      </w:r>
    </w:p>
    <w:p>
      <w:pPr>
        <w:spacing w:after="140"/>
      </w:pPr>
      <w:r>
        <w:rPr>
          <w:rFonts w:ascii="Apple SD Gothic Neo" w:hAnsi="Apple SD Gothic Neo"/>
          <w:sz w:val="20"/>
        </w:rPr>
        <w:t>3. 해당 agent의 evidence.md에 evidence row 후보를 작성합니다.</w:t>
      </w:r>
    </w:p>
    <w:p>
      <w:pPr>
        <w:spacing w:after="140"/>
      </w:pPr>
      <w:r>
        <w:rPr>
          <w:rFonts w:ascii="Apple SD Gothic Neo" w:hAnsi="Apple SD Gothic Neo"/>
          <w:sz w:val="20"/>
        </w:rPr>
        <w:t>4. state.md에 변경 후보를 적되, orchestrator review 전 generator는 수정하지 않습니다.</w:t>
      </w:r>
    </w:p>
    <w:p>
      <w:pPr>
        <w:pStyle w:val="Heading2"/>
      </w:pPr>
      <w:r>
        <w:t>A02 `active_power_gw`</w:t>
      </w:r>
    </w:p>
    <w:p>
      <w:pPr>
        <w:spacing w:after="140"/>
      </w:pPr>
      <w:r>
        <w:rPr>
          <w:rFonts w:ascii="Apple SD Gothic Neo" w:hAnsi="Apple SD Gothic Neo"/>
          <w:sz w:val="20"/>
        </w:rPr>
        <w:t>확장 주제: energization, cluster-online evidence, deployment ratio</w:t>
      </w:r>
    </w:p>
    <w:p>
      <w:pPr>
        <w:spacing w:after="140"/>
      </w:pPr>
      <w:r>
        <w:rPr>
          <w:rFonts w:ascii="Apple SD Gothic Neo" w:hAnsi="Apple SD Gothic Neo"/>
          <w:sz w:val="20"/>
        </w:rPr>
        <w:t>핵심 규칙: Build an operational-deployment scorecard before changing active GW.</w:t>
      </w:r>
    </w:p>
    <w:p>
      <w:pPr>
        <w:spacing w:after="140"/>
      </w:pPr>
      <w:r>
        <w:rPr>
          <w:rFonts w:ascii="Apple SD Gothic Neo" w:hAnsi="Apple SD Gothic Neo"/>
          <w:sz w:val="20"/>
        </w:rPr>
        <w:t>읽을 source:</w:t>
      </w:r>
    </w:p>
    <w:p>
      <w:pPr>
        <w:pStyle w:val="ListBullet"/>
      </w:pPr>
      <w:r>
        <w:t>LBNL_DC_2024: [2024 United States Data Center Energy Usage Report](https://eta-publications.lbl.gov/publications/2024-lbnl-data-center-energy-usage-report) - LBNL / DOE, 2024. 목적: data center energy baseline.</w:t>
      </w:r>
    </w:p>
    <w:p>
      <w:pPr>
        <w:pStyle w:val="ListBullet"/>
      </w:pPr>
      <w:r>
        <w:t>EPRI_POWERING: [Powering Intelligence](https://www.epri.com/research/products/000000003002028905) - EPRI, 2024/2026 updated access. 목적: grid and data center energy scenarios.</w:t>
      </w:r>
    </w:p>
    <w:p>
      <w:pPr>
        <w:pStyle w:val="ListBullet"/>
      </w:pPr>
      <w:r>
        <w:t>NVIDIA_DGX_GB: [NVIDIA DGX GB Rack Scale Systems User Guide](https://docs.nvidia.com/dgx/dgxgb200-user-guide/hardware.html) - NVIDIA, accessed 2026-05-18. 목적: rack power/cooling architecture.</w:t>
      </w:r>
    </w:p>
    <w:p>
      <w:pPr>
        <w:pStyle w:val="ListBullet"/>
      </w:pPr>
      <w:r>
        <w:t>AWS_RAINIER: [AWS Project Rainier](https://www.aboutamazon.com/news/aws/aws-project-rainier-ai-trainium-chips-compute-cluster) - Amazon, 2025. 목적: Anthropic/AWS Trainium cluster.</w:t>
      </w:r>
    </w:p>
    <w:p>
      <w:pPr>
        <w:pStyle w:val="ListBullet"/>
      </w:pPr>
      <w:r>
        <w:t>EPOCH_POWER: [How much power will frontier AI training demand in 2030?](https://epoch.ai/blog/power-demands-of-frontier-ai-training) - Epoch AI, 2025. 목적: training peak power envelope.</w:t>
      </w:r>
    </w:p>
    <w:p>
      <w:pPr>
        <w:pStyle w:val="ListBullet"/>
      </w:pPr>
      <w:r>
        <w:t>MCK_POWER_COOL: [Beyond compute: infrastructure that powers and cools AI data centers](https://www.mckinsey.com/industries/industrials-and-electronics/our-insights/beyond-compute-infrastructure-that-powers-and-cools-ai-data-centers) - McKinsey, 2025. 목적: power/cooling investment context.</w:t>
      </w:r>
    </w:p>
    <w:p>
      <w:pPr>
        <w:spacing w:after="140"/>
      </w:pPr>
      <w:r>
        <w:rPr>
          <w:rFonts w:ascii="Apple SD Gothic Neo" w:hAnsi="Apple SD Gothic Neo"/>
          <w:sz w:val="20"/>
        </w:rPr>
        <w:t>Evidence promotion task:</w:t>
      </w:r>
    </w:p>
    <w:p>
      <w:pPr>
        <w:spacing w:after="140"/>
      </w:pPr>
      <w:r>
        <w:rPr>
          <w:rFonts w:ascii="Apple SD Gothic Neo" w:hAnsi="Apple SD Gothic Neo"/>
          <w:sz w:val="20"/>
        </w:rPr>
        <w:t>1. 위 source 중 2개를 골라 원문 claim 또는 숫자를 추출합니다.</w:t>
      </w:r>
    </w:p>
    <w:p>
      <w:pPr>
        <w:spacing w:after="140"/>
      </w:pPr>
      <w:r>
        <w:rPr>
          <w:rFonts w:ascii="Apple SD Gothic Neo" w:hAnsi="Apple SD Gothic Neo"/>
          <w:sz w:val="20"/>
        </w:rPr>
        <w:t>2. 각 claim을 Fact / Derived Estimate / Proxy / Scenario로 분류합니다.</w:t>
      </w:r>
    </w:p>
    <w:p>
      <w:pPr>
        <w:spacing w:after="140"/>
      </w:pPr>
      <w:r>
        <w:rPr>
          <w:rFonts w:ascii="Apple SD Gothic Neo" w:hAnsi="Apple SD Gothic Neo"/>
          <w:sz w:val="20"/>
        </w:rPr>
        <w:t>3. 해당 agent의 evidence.md에 evidence row 후보를 작성합니다.</w:t>
      </w:r>
    </w:p>
    <w:p>
      <w:pPr>
        <w:spacing w:after="140"/>
      </w:pPr>
      <w:r>
        <w:rPr>
          <w:rFonts w:ascii="Apple SD Gothic Neo" w:hAnsi="Apple SD Gothic Neo"/>
          <w:sz w:val="20"/>
        </w:rPr>
        <w:t>4. state.md에 변경 후보를 적되, orchestrator review 전 generator는 수정하지 않습니다.</w:t>
      </w:r>
    </w:p>
    <w:p>
      <w:pPr>
        <w:pStyle w:val="Heading2"/>
      </w:pPr>
      <w:r>
        <w:t>A03 `pue`</w:t>
      </w:r>
    </w:p>
    <w:p>
      <w:pPr>
        <w:spacing w:after="140"/>
      </w:pPr>
      <w:r>
        <w:rPr>
          <w:rFonts w:ascii="Apple SD Gothic Neo" w:hAnsi="Apple SD Gothic Neo"/>
          <w:sz w:val="20"/>
        </w:rPr>
        <w:t>확장 주제: cooling architecture, PUE, rack density</w:t>
      </w:r>
    </w:p>
    <w:p>
      <w:pPr>
        <w:spacing w:after="140"/>
      </w:pPr>
      <w:r>
        <w:rPr>
          <w:rFonts w:ascii="Apple SD Gothic Neo" w:hAnsi="Apple SD Gothic Neo"/>
          <w:sz w:val="20"/>
        </w:rPr>
        <w:t>핵심 규칙: Keep PUE as facility overhead, not accelerator efficiency.</w:t>
      </w:r>
    </w:p>
    <w:p>
      <w:pPr>
        <w:spacing w:after="140"/>
      </w:pPr>
      <w:r>
        <w:rPr>
          <w:rFonts w:ascii="Apple SD Gothic Neo" w:hAnsi="Apple SD Gothic Neo"/>
          <w:sz w:val="20"/>
        </w:rPr>
        <w:t>읽을 source:</w:t>
      </w:r>
    </w:p>
    <w:p>
      <w:pPr>
        <w:pStyle w:val="ListBullet"/>
      </w:pPr>
      <w:r>
        <w:t>UPTIME_COOLING: [Cooling Systems Survey 2024](https://intelligence.uptimeinstitute.com/sites/default/files/2024-05/Uptime%20Institute%20Cooling%20Systems%20Survey%202024_0.pdf) - Uptime Institute, 2024. 목적: liquid cooling adoption and constraints.</w:t>
      </w:r>
    </w:p>
    <w:p>
      <w:pPr>
        <w:pStyle w:val="ListBullet"/>
      </w:pPr>
      <w:r>
        <w:t>AFCOM_2026_DENSITY: [Rack Density Surges as AI Overhauls Data Center Design](https://www.datacenterknowledge.com/data-center-construction/afcom-rack-density-and-build-outs-surge-as-ai-overhauls-data-center-design) - AFCOM / Data Center Knowledge, 2026. 목적: operator survey context for density/cooling.</w:t>
      </w:r>
    </w:p>
    <w:p>
      <w:pPr>
        <w:pStyle w:val="ListBullet"/>
      </w:pPr>
      <w:r>
        <w:t>NVIDIA_DGX_GB: [NVIDIA DGX GB Rack Scale Systems User Guide](https://docs.nvidia.com/dgx/dgxgb200-user-guide/hardware.html) - NVIDIA, accessed 2026-05-18. 목적: rack power/cooling architecture.</w:t>
      </w:r>
    </w:p>
    <w:p>
      <w:pPr>
        <w:pStyle w:val="ListBullet"/>
      </w:pPr>
      <w:r>
        <w:t>NVIDIA_GB200: [NVIDIA GB200 NVL72](https://www.nvidia.com/en-us/data-center/gb200-nvl72/) - NVIDIA, accessed 2026-05-18. 목적: rack-scale Blackwell system.</w:t>
      </w:r>
    </w:p>
    <w:p>
      <w:pPr>
        <w:pStyle w:val="ListBullet"/>
      </w:pPr>
      <w:r>
        <w:t>EPOCH_GPU_POWER: [GPUs account for about 40% of power usage in AI data centers](https://epoch.ai/data-insights/gpus-power-usage-in-ai-data-centers) - Epoch AI, 2025. 목적: facility/IT/GPU decomposition.</w:t>
      </w:r>
    </w:p>
    <w:p>
      <w:pPr>
        <w:pStyle w:val="ListBullet"/>
      </w:pPr>
      <w:r>
        <w:t>MCK_POWER_COOL: [Beyond compute: infrastructure that powers and cools AI data centers](https://www.mckinsey.com/industries/industrials-and-electronics/our-insights/beyond-compute-infrastructure-that-powers-and-cools-ai-data-centers) - McKinsey, 2025. 목적: power/cooling investment context.</w:t>
      </w:r>
    </w:p>
    <w:p>
      <w:pPr>
        <w:spacing w:after="140"/>
      </w:pPr>
      <w:r>
        <w:rPr>
          <w:rFonts w:ascii="Apple SD Gothic Neo" w:hAnsi="Apple SD Gothic Neo"/>
          <w:sz w:val="20"/>
        </w:rPr>
        <w:t>Evidence promotion task:</w:t>
      </w:r>
    </w:p>
    <w:p>
      <w:pPr>
        <w:spacing w:after="140"/>
      </w:pPr>
      <w:r>
        <w:rPr>
          <w:rFonts w:ascii="Apple SD Gothic Neo" w:hAnsi="Apple SD Gothic Neo"/>
          <w:sz w:val="20"/>
        </w:rPr>
        <w:t>1. 위 source 중 2개를 골라 원문 claim 또는 숫자를 추출합니다.</w:t>
      </w:r>
    </w:p>
    <w:p>
      <w:pPr>
        <w:spacing w:after="140"/>
      </w:pPr>
      <w:r>
        <w:rPr>
          <w:rFonts w:ascii="Apple SD Gothic Neo" w:hAnsi="Apple SD Gothic Neo"/>
          <w:sz w:val="20"/>
        </w:rPr>
        <w:t>2. 각 claim을 Fact / Derived Estimate / Proxy / Scenario로 분류합니다.</w:t>
      </w:r>
    </w:p>
    <w:p>
      <w:pPr>
        <w:spacing w:after="140"/>
      </w:pPr>
      <w:r>
        <w:rPr>
          <w:rFonts w:ascii="Apple SD Gothic Neo" w:hAnsi="Apple SD Gothic Neo"/>
          <w:sz w:val="20"/>
        </w:rPr>
        <w:t>3. 해당 agent의 evidence.md에 evidence row 후보를 작성합니다.</w:t>
      </w:r>
    </w:p>
    <w:p>
      <w:pPr>
        <w:spacing w:after="140"/>
      </w:pPr>
      <w:r>
        <w:rPr>
          <w:rFonts w:ascii="Apple SD Gothic Neo" w:hAnsi="Apple SD Gothic Neo"/>
          <w:sz w:val="20"/>
        </w:rPr>
        <w:t>4. state.md에 변경 후보를 적되, orchestrator review 전 generator는 수정하지 않습니다.</w:t>
      </w:r>
    </w:p>
    <w:p>
      <w:pPr>
        <w:pStyle w:val="Heading2"/>
      </w:pPr>
      <w:r>
        <w:t>A04 `ai_workload_share`</w:t>
      </w:r>
    </w:p>
    <w:p>
      <w:pPr>
        <w:spacing w:after="140"/>
      </w:pPr>
      <w:r>
        <w:rPr>
          <w:rFonts w:ascii="Apple SD Gothic Neo" w:hAnsi="Apple SD Gothic Neo"/>
          <w:sz w:val="20"/>
        </w:rPr>
        <w:t>확장 주제: AI cluster share of IT load and overhead decomposition</w:t>
      </w:r>
    </w:p>
    <w:p>
      <w:pPr>
        <w:spacing w:after="140"/>
      </w:pPr>
      <w:r>
        <w:rPr>
          <w:rFonts w:ascii="Apple SD Gothic Neo" w:hAnsi="Apple SD Gothic Neo"/>
          <w:sz w:val="20"/>
        </w:rPr>
        <w:t>핵심 규칙: Decompose GPU/server/network/storage/control overhead before setting AI workload share.</w:t>
      </w:r>
    </w:p>
    <w:p>
      <w:pPr>
        <w:spacing w:after="140"/>
      </w:pPr>
      <w:r>
        <w:rPr>
          <w:rFonts w:ascii="Apple SD Gothic Neo" w:hAnsi="Apple SD Gothic Neo"/>
          <w:sz w:val="20"/>
        </w:rPr>
        <w:t>읽을 source:</w:t>
      </w:r>
    </w:p>
    <w:p>
      <w:pPr>
        <w:pStyle w:val="ListBullet"/>
      </w:pPr>
      <w:r>
        <w:t>LBNL_DC_2024: [2024 United States Data Center Energy Usage Report](https://eta-publications.lbl.gov/publications/2024-lbnl-data-center-energy-usage-report) - LBNL / DOE, 2024. 목적: data center energy baseline.</w:t>
      </w:r>
    </w:p>
    <w:p>
      <w:pPr>
        <w:pStyle w:val="ListBullet"/>
      </w:pPr>
      <w:r>
        <w:t>EPOCH_GPU_POWER: [GPUs account for about 40% of power usage in AI data centers](https://epoch.ai/data-insights/gpus-power-usage-in-ai-data-centers) - Epoch AI, 2025. 목적: facility/IT/GPU decomposition.</w:t>
      </w:r>
    </w:p>
    <w:p>
      <w:pPr>
        <w:pStyle w:val="ListBullet"/>
      </w:pPr>
      <w:r>
        <w:t>NVIDIA_DGX_GB: [NVIDIA DGX GB Rack Scale Systems User Guide](https://docs.nvidia.com/dgx/dgxgb200-user-guide/hardware.html) - NVIDIA, accessed 2026-05-18. 목적: rack power/cooling architecture.</w:t>
      </w:r>
    </w:p>
    <w:p>
      <w:pPr>
        <w:pStyle w:val="ListBullet"/>
      </w:pPr>
      <w:r>
        <w:t>AFCOM_2026_DENSITY: [Rack Density Surges as AI Overhauls Data Center Design](https://www.datacenterknowledge.com/data-center-construction/afcom-rack-density-and-build-outs-surge-as-ai-overhauls-data-center-design) - AFCOM / Data Center Knowledge, 2026. 목적: operator survey context for density/cooling.</w:t>
      </w:r>
    </w:p>
    <w:p>
      <w:pPr>
        <w:spacing w:after="140"/>
      </w:pPr>
      <w:r>
        <w:rPr>
          <w:rFonts w:ascii="Apple SD Gothic Neo" w:hAnsi="Apple SD Gothic Neo"/>
          <w:sz w:val="20"/>
        </w:rPr>
        <w:t>Evidence promotion task:</w:t>
      </w:r>
    </w:p>
    <w:p>
      <w:pPr>
        <w:spacing w:after="140"/>
      </w:pPr>
      <w:r>
        <w:rPr>
          <w:rFonts w:ascii="Apple SD Gothic Neo" w:hAnsi="Apple SD Gothic Neo"/>
          <w:sz w:val="20"/>
        </w:rPr>
        <w:t>1. 위 source 중 2개를 골라 원문 claim 또는 숫자를 추출합니다.</w:t>
      </w:r>
    </w:p>
    <w:p>
      <w:pPr>
        <w:spacing w:after="140"/>
      </w:pPr>
      <w:r>
        <w:rPr>
          <w:rFonts w:ascii="Apple SD Gothic Neo" w:hAnsi="Apple SD Gothic Neo"/>
          <w:sz w:val="20"/>
        </w:rPr>
        <w:t>2. 각 claim을 Fact / Derived Estimate / Proxy / Scenario로 분류합니다.</w:t>
      </w:r>
    </w:p>
    <w:p>
      <w:pPr>
        <w:spacing w:after="140"/>
      </w:pPr>
      <w:r>
        <w:rPr>
          <w:rFonts w:ascii="Apple SD Gothic Neo" w:hAnsi="Apple SD Gothic Neo"/>
          <w:sz w:val="20"/>
        </w:rPr>
        <w:t>3. 해당 agent의 evidence.md에 evidence row 후보를 작성합니다.</w:t>
      </w:r>
    </w:p>
    <w:p>
      <w:pPr>
        <w:spacing w:after="140"/>
      </w:pPr>
      <w:r>
        <w:rPr>
          <w:rFonts w:ascii="Apple SD Gothic Neo" w:hAnsi="Apple SD Gothic Neo"/>
          <w:sz w:val="20"/>
        </w:rPr>
        <w:t>4. state.md에 변경 후보를 적되, orchestrator review 전 generator는 수정하지 않습니다.</w:t>
      </w:r>
    </w:p>
    <w:p>
      <w:pPr>
        <w:pStyle w:val="Heading2"/>
      </w:pPr>
      <w:r>
        <w:t>A05 `inference_power_share`</w:t>
      </w:r>
    </w:p>
    <w:p>
      <w:pPr>
        <w:spacing w:after="140"/>
      </w:pPr>
      <w:r>
        <w:rPr>
          <w:rFonts w:ascii="Apple SD Gothic Neo" w:hAnsi="Apple SD Gothic Neo"/>
          <w:sz w:val="20"/>
        </w:rPr>
        <w:t>확장 주제: commercial inference adoption and inference-oriented hardware</w:t>
      </w:r>
    </w:p>
    <w:p>
      <w:pPr>
        <w:spacing w:after="140"/>
      </w:pPr>
      <w:r>
        <w:rPr>
          <w:rFonts w:ascii="Apple SD Gothic Neo" w:hAnsi="Apple SD Gothic Neo"/>
          <w:sz w:val="20"/>
        </w:rPr>
        <w:t>핵심 규칙: Keep AI-2027 as stress scenario and not Base inference share.</w:t>
      </w:r>
    </w:p>
    <w:p>
      <w:pPr>
        <w:spacing w:after="140"/>
      </w:pPr>
      <w:r>
        <w:rPr>
          <w:rFonts w:ascii="Apple SD Gothic Neo" w:hAnsi="Apple SD Gothic Neo"/>
          <w:sz w:val="20"/>
        </w:rPr>
        <w:t>읽을 source:</w:t>
      </w:r>
    </w:p>
    <w:p>
      <w:pPr>
        <w:pStyle w:val="ListBullet"/>
      </w:pPr>
      <w:r>
        <w:t>GOOGLE_IRONWOOD: [Ironwood TPU: age of inference](https://blog.google/products/google-cloud/ironwood-tpu-age-of-inference/) - Google Cloud, 2025. 목적: inference-optimized TPU direction.</w:t>
      </w:r>
    </w:p>
    <w:p>
      <w:pPr>
        <w:pStyle w:val="ListBullet"/>
      </w:pPr>
      <w:r>
        <w:t>IEA_KEY_2026: [Key Questions on Energy and AI](https://www.iea.org/reports/key-questions-on-energy-and-ai) - IEA, 2026. 목적: energy/policy.</w:t>
      </w:r>
    </w:p>
    <w:p>
      <w:pPr>
        <w:pStyle w:val="ListBullet"/>
      </w:pPr>
      <w:r>
        <w:t>DELOITTE_AI_DC: [AI infrastructure gaps](https://www.deloitte.com/us/en/insights/industry/power-and-utilities/data-center-infrastructure-artificial-intelligence.html) - Deloitte Insights, 2025. 목적: market context for infra constraints.</w:t>
      </w:r>
    </w:p>
    <w:p>
      <w:pPr>
        <w:pStyle w:val="ListBullet"/>
      </w:pPr>
      <w:r>
        <w:t>AI_2027: [AI 2027](https://ai-2027.com/) - AI Futures Project, 2025. 목적: stress scenario for accelerated adoption.</w:t>
      </w:r>
    </w:p>
    <w:p>
      <w:pPr>
        <w:spacing w:after="140"/>
      </w:pPr>
      <w:r>
        <w:rPr>
          <w:rFonts w:ascii="Apple SD Gothic Neo" w:hAnsi="Apple SD Gothic Neo"/>
          <w:sz w:val="20"/>
        </w:rPr>
        <w:t>Evidence promotion task:</w:t>
      </w:r>
    </w:p>
    <w:p>
      <w:pPr>
        <w:spacing w:after="140"/>
      </w:pPr>
      <w:r>
        <w:rPr>
          <w:rFonts w:ascii="Apple SD Gothic Neo" w:hAnsi="Apple SD Gothic Neo"/>
          <w:sz w:val="20"/>
        </w:rPr>
        <w:t>1. 위 source 중 2개를 골라 원문 claim 또는 숫자를 추출합니다.</w:t>
      </w:r>
    </w:p>
    <w:p>
      <w:pPr>
        <w:spacing w:after="140"/>
      </w:pPr>
      <w:r>
        <w:rPr>
          <w:rFonts w:ascii="Apple SD Gothic Neo" w:hAnsi="Apple SD Gothic Neo"/>
          <w:sz w:val="20"/>
        </w:rPr>
        <w:t>2. 각 claim을 Fact / Derived Estimate / Proxy / Scenario로 분류합니다.</w:t>
      </w:r>
    </w:p>
    <w:p>
      <w:pPr>
        <w:spacing w:after="140"/>
      </w:pPr>
      <w:r>
        <w:rPr>
          <w:rFonts w:ascii="Apple SD Gothic Neo" w:hAnsi="Apple SD Gothic Neo"/>
          <w:sz w:val="20"/>
        </w:rPr>
        <w:t>3. 해당 agent의 evidence.md에 evidence row 후보를 작성합니다.</w:t>
      </w:r>
    </w:p>
    <w:p>
      <w:pPr>
        <w:spacing w:after="140"/>
      </w:pPr>
      <w:r>
        <w:rPr>
          <w:rFonts w:ascii="Apple SD Gothic Neo" w:hAnsi="Apple SD Gothic Neo"/>
          <w:sz w:val="20"/>
        </w:rPr>
        <w:t>4. state.md에 변경 후보를 적되, orchestrator review 전 generator는 수정하지 않습니다.</w:t>
      </w:r>
    </w:p>
    <w:p>
      <w:pPr>
        <w:pStyle w:val="Heading2"/>
      </w:pPr>
      <w:r>
        <w:t>A06 `training_power_share`</w:t>
      </w:r>
    </w:p>
    <w:p>
      <w:pPr>
        <w:spacing w:after="140"/>
      </w:pPr>
      <w:r>
        <w:rPr>
          <w:rFonts w:ascii="Apple SD Gothic Neo" w:hAnsi="Apple SD Gothic Neo"/>
          <w:sz w:val="20"/>
        </w:rPr>
        <w:t>확장 주제: frontier training reserve and post-training/eval load</w:t>
      </w:r>
    </w:p>
    <w:p>
      <w:pPr>
        <w:spacing w:after="140"/>
      </w:pPr>
      <w:r>
        <w:rPr>
          <w:rFonts w:ascii="Apple SD Gothic Neo" w:hAnsi="Apple SD Gothic Neo"/>
          <w:sz w:val="20"/>
        </w:rPr>
        <w:t>핵심 규칙: Separate peak frontier training envelope from annual average training share.</w:t>
      </w:r>
    </w:p>
    <w:p>
      <w:pPr>
        <w:spacing w:after="140"/>
      </w:pPr>
      <w:r>
        <w:rPr>
          <w:rFonts w:ascii="Apple SD Gothic Neo" w:hAnsi="Apple SD Gothic Neo"/>
          <w:sz w:val="20"/>
        </w:rPr>
        <w:t>읽을 source:</w:t>
      </w:r>
    </w:p>
    <w:p>
      <w:pPr>
        <w:pStyle w:val="ListBullet"/>
      </w:pPr>
      <w:r>
        <w:t>EPOCH_POWER: [How much power will frontier AI training demand in 2030?](https://epoch.ai/blog/power-demands-of-frontier-ai-training) - Epoch AI, 2025. 목적: training peak power envelope.</w:t>
      </w:r>
    </w:p>
    <w:p>
      <w:pPr>
        <w:pStyle w:val="ListBullet"/>
      </w:pPr>
      <w:r>
        <w:t>STANFORD_INDEX_2025: [AI Index Report 2025](https://hai.stanford.edu/ai-index/2025-ai-index-report) - Stanford HAI, 2025. 목적: macro AI compute/cost context.</w:t>
      </w:r>
    </w:p>
    <w:p>
      <w:pPr>
        <w:pStyle w:val="ListBullet"/>
      </w:pPr>
      <w:r>
        <w:t>AI_2027: [AI 2027](https://ai-2027.com/) - AI Futures Project, 2025. 목적: stress scenario for accelerated adoption.</w:t>
      </w:r>
    </w:p>
    <w:p>
      <w:pPr>
        <w:pStyle w:val="ListBullet"/>
      </w:pPr>
      <w:r>
        <w:t>AWS_RAINIER: [AWS Project Rainier](https://www.aboutamazon.com/news/aws/aws-project-rainier-ai-trainium-chips-compute-cluster) - Amazon, 2025. 목적: Anthropic/AWS Trainium cluster.</w:t>
      </w:r>
    </w:p>
    <w:p>
      <w:pPr>
        <w:spacing w:after="140"/>
      </w:pPr>
      <w:r>
        <w:rPr>
          <w:rFonts w:ascii="Apple SD Gothic Neo" w:hAnsi="Apple SD Gothic Neo"/>
          <w:sz w:val="20"/>
        </w:rPr>
        <w:t>Evidence promotion task:</w:t>
      </w:r>
    </w:p>
    <w:p>
      <w:pPr>
        <w:spacing w:after="140"/>
      </w:pPr>
      <w:r>
        <w:rPr>
          <w:rFonts w:ascii="Apple SD Gothic Neo" w:hAnsi="Apple SD Gothic Neo"/>
          <w:sz w:val="20"/>
        </w:rPr>
        <w:t>1. 위 source 중 2개를 골라 원문 claim 또는 숫자를 추출합니다.</w:t>
      </w:r>
    </w:p>
    <w:p>
      <w:pPr>
        <w:spacing w:after="140"/>
      </w:pPr>
      <w:r>
        <w:rPr>
          <w:rFonts w:ascii="Apple SD Gothic Neo" w:hAnsi="Apple SD Gothic Neo"/>
          <w:sz w:val="20"/>
        </w:rPr>
        <w:t>2. 각 claim을 Fact / Derived Estimate / Proxy / Scenario로 분류합니다.</w:t>
      </w:r>
    </w:p>
    <w:p>
      <w:pPr>
        <w:spacing w:after="140"/>
      </w:pPr>
      <w:r>
        <w:rPr>
          <w:rFonts w:ascii="Apple SD Gothic Neo" w:hAnsi="Apple SD Gothic Neo"/>
          <w:sz w:val="20"/>
        </w:rPr>
        <w:t>3. 해당 agent의 evidence.md에 evidence row 후보를 작성합니다.</w:t>
      </w:r>
    </w:p>
    <w:p>
      <w:pPr>
        <w:spacing w:after="140"/>
      </w:pPr>
      <w:r>
        <w:rPr>
          <w:rFonts w:ascii="Apple SD Gothic Neo" w:hAnsi="Apple SD Gothic Neo"/>
          <w:sz w:val="20"/>
        </w:rPr>
        <w:t>4. state.md에 변경 후보를 적되, orchestrator review 전 generator는 수정하지 않습니다.</w:t>
      </w:r>
    </w:p>
    <w:p>
      <w:pPr>
        <w:pStyle w:val="Heading2"/>
      </w:pPr>
      <w:r>
        <w:t>A07 `active_parameters`</w:t>
      </w:r>
    </w:p>
    <w:p>
      <w:pPr>
        <w:spacing w:after="140"/>
      </w:pPr>
      <w:r>
        <w:rPr>
          <w:rFonts w:ascii="Apple SD Gothic Neo" w:hAnsi="Apple SD Gothic Neo"/>
          <w:sz w:val="20"/>
        </w:rPr>
        <w:t>확장 주제: dense/MoE/closed-model active parameter boundaries</w:t>
      </w:r>
    </w:p>
    <w:p>
      <w:pPr>
        <w:spacing w:after="140"/>
      </w:pPr>
      <w:r>
        <w:rPr>
          <w:rFonts w:ascii="Apple SD Gothic Neo" w:hAnsi="Apple SD Gothic Neo"/>
          <w:sz w:val="20"/>
        </w:rPr>
        <w:t>핵심 규칙: Use official active params for open MoE, bands only for closed models.</w:t>
      </w:r>
    </w:p>
    <w:p>
      <w:pPr>
        <w:spacing w:after="140"/>
      </w:pPr>
      <w:r>
        <w:rPr>
          <w:rFonts w:ascii="Apple SD Gothic Neo" w:hAnsi="Apple SD Gothic Neo"/>
          <w:sz w:val="20"/>
        </w:rPr>
        <w:t>읽을 source:</w:t>
      </w:r>
    </w:p>
    <w:p>
      <w:pPr>
        <w:pStyle w:val="ListBullet"/>
      </w:pPr>
      <w:r>
        <w:t>DEEPSEEK_V3: [DeepSeek-V3 Technical Report / GitHub](https://github.com/deepseek-ai/DeepSeek-V3) - DeepSeek, 2024. 목적: MoE total/active parameter anchor.</w:t>
      </w:r>
    </w:p>
    <w:p>
      <w:pPr>
        <w:pStyle w:val="ListBullet"/>
      </w:pPr>
      <w:r>
        <w:t>QWEN3: [Qwen3 GitHub](https://github.com/QwenLM/Qwen3) - Alibaba Qwen, 2025. 목적: MoE active parameter anchor.</w:t>
      </w:r>
    </w:p>
    <w:p>
      <w:pPr>
        <w:spacing w:after="140"/>
      </w:pPr>
      <w:r>
        <w:rPr>
          <w:rFonts w:ascii="Apple SD Gothic Neo" w:hAnsi="Apple SD Gothic Neo"/>
          <w:sz w:val="20"/>
        </w:rPr>
        <w:t>Evidence promotion task:</w:t>
      </w:r>
    </w:p>
    <w:p>
      <w:pPr>
        <w:spacing w:after="140"/>
      </w:pPr>
      <w:r>
        <w:rPr>
          <w:rFonts w:ascii="Apple SD Gothic Neo" w:hAnsi="Apple SD Gothic Neo"/>
          <w:sz w:val="20"/>
        </w:rPr>
        <w:t>1. 위 source 중 2개를 골라 원문 claim 또는 숫자를 추출합니다.</w:t>
      </w:r>
    </w:p>
    <w:p>
      <w:pPr>
        <w:spacing w:after="140"/>
      </w:pPr>
      <w:r>
        <w:rPr>
          <w:rFonts w:ascii="Apple SD Gothic Neo" w:hAnsi="Apple SD Gothic Neo"/>
          <w:sz w:val="20"/>
        </w:rPr>
        <w:t>2. 각 claim을 Fact / Derived Estimate / Proxy / Scenario로 분류합니다.</w:t>
      </w:r>
    </w:p>
    <w:p>
      <w:pPr>
        <w:spacing w:after="140"/>
      </w:pPr>
      <w:r>
        <w:rPr>
          <w:rFonts w:ascii="Apple SD Gothic Neo" w:hAnsi="Apple SD Gothic Neo"/>
          <w:sz w:val="20"/>
        </w:rPr>
        <w:t>3. 해당 agent의 evidence.md에 evidence row 후보를 작성합니다.</w:t>
      </w:r>
    </w:p>
    <w:p>
      <w:pPr>
        <w:spacing w:after="140"/>
      </w:pPr>
      <w:r>
        <w:rPr>
          <w:rFonts w:ascii="Apple SD Gothic Neo" w:hAnsi="Apple SD Gothic Neo"/>
          <w:sz w:val="20"/>
        </w:rPr>
        <w:t>4. state.md에 변경 후보를 적되, orchestrator review 전 generator는 수정하지 않습니다.</w:t>
      </w:r>
    </w:p>
    <w:p>
      <w:pPr>
        <w:pStyle w:val="Heading2"/>
      </w:pPr>
      <w:r>
        <w:t>A08 `tokens_per_second_per_mw`</w:t>
      </w:r>
    </w:p>
    <w:p>
      <w:pPr>
        <w:spacing w:after="140"/>
      </w:pPr>
      <w:r>
        <w:rPr>
          <w:rFonts w:ascii="Apple SD Gothic Neo" w:hAnsi="Apple SD Gothic Neo"/>
          <w:sz w:val="20"/>
        </w:rPr>
        <w:t>확장 주제: benchmark/proxy, energy/query, hardware and serving stack</w:t>
      </w:r>
    </w:p>
    <w:p>
      <w:pPr>
        <w:spacing w:after="140"/>
      </w:pPr>
      <w:r>
        <w:rPr>
          <w:rFonts w:ascii="Apple SD Gothic Neo" w:hAnsi="Apple SD Gothic Neo"/>
          <w:sz w:val="20"/>
        </w:rPr>
        <w:t>핵심 규칙: Promote benchmark values only as proxy unless company production telemetry exists.</w:t>
      </w:r>
    </w:p>
    <w:p>
      <w:pPr>
        <w:spacing w:after="140"/>
      </w:pPr>
      <w:r>
        <w:rPr>
          <w:rFonts w:ascii="Apple SD Gothic Neo" w:hAnsi="Apple SD Gothic Neo"/>
          <w:sz w:val="20"/>
        </w:rPr>
        <w:t>읽을 source:</w:t>
      </w:r>
    </w:p>
    <w:p>
      <w:pPr>
        <w:pStyle w:val="ListBullet"/>
      </w:pPr>
      <w:r>
        <w:t>INFERENCEX: [InferenceX / InferenceMAX](https://inferencex.semianalysis.com/) - SemiAnalysis, accessed 2026-05-18. 목적: benchmark/proxy for tokens/MW.</w:t>
      </w:r>
    </w:p>
    <w:p>
      <w:pPr>
        <w:pStyle w:val="ListBullet"/>
      </w:pPr>
      <w:r>
        <w:t>JOULE_INFERENCE_2026: [Energy use of AI inference, efficiency pathways, and test-time scaling](https://www.sciencedirect.com/science/article/pii/S2542435126001145) - Joule / Cell Press, 2026. 목적: energy/query, token-length, test-time compute.</w:t>
      </w:r>
    </w:p>
    <w:p>
      <w:pPr>
        <w:pStyle w:val="ListBullet"/>
      </w:pPr>
      <w:r>
        <w:t>IBM_PD_2026: [Revisiting Disaggregated Large Language Model Serving for Performance and Energy Implications](https://research.ibm.com/publications/revisiting-disaggregated-large-language-model-serving-for-performance-and-energy-implications) - IBM Research / EuroSys, 2026. 목적: prefill-decode disaggregation energy/performance.</w:t>
      </w:r>
    </w:p>
    <w:p>
      <w:pPr>
        <w:pStyle w:val="ListBullet"/>
      </w:pPr>
      <w:r>
        <w:t>PAGED_ATTENTION: [Efficient Memory Management for LLM Serving with PagedAttention](https://arxiv.org/abs/2309.06180) - arXiv, 2023. 목적: KV cache and serving throughput foundation.</w:t>
      </w:r>
    </w:p>
    <w:p>
      <w:pPr>
        <w:pStyle w:val="ListBullet"/>
      </w:pPr>
      <w:r>
        <w:t>SPLITWISE: [Splitwise: Efficient generative LLM inference using phase splitting](https://arxiv.org/abs/2311.18677) - arXiv, 2023. 목적: prefill/decode phase split foundation.</w:t>
      </w:r>
    </w:p>
    <w:p>
      <w:pPr>
        <w:pStyle w:val="ListBullet"/>
      </w:pPr>
      <w:r>
        <w:t>DISTSERVE: [DistServe: Disaggregating Prefill and Decoding](https://arxiv.org/abs/2401.09670) - arXiv, 2024. 목적: TTFT/TPOT and goodput.</w:t>
      </w:r>
    </w:p>
    <w:p>
      <w:pPr>
        <w:pStyle w:val="ListBullet"/>
      </w:pPr>
      <w:r>
        <w:t>ARXIV_HETEROGENEOUS_2602: [Large-Scale LLM Inference with Heterogeneous Workloads](https://arxiv.org/abs/2602.02987) - arXiv, 2026. 목적: prefill-decode contention and control.</w:t>
      </w:r>
    </w:p>
    <w:p>
      <w:pPr>
        <w:pStyle w:val="ListBullet"/>
      </w:pPr>
      <w:r>
        <w:t>ARXIV_SPEC_DECODE_2605: [An Interpretable Latency Model for Speculative Decoding in LLM Serving](https://arxiv.org/abs/2605.15051) - arXiv, 2026. 목적: speculative decoding latency model.</w:t>
      </w:r>
    </w:p>
    <w:p>
      <w:pPr>
        <w:spacing w:after="140"/>
      </w:pPr>
      <w:r>
        <w:rPr>
          <w:rFonts w:ascii="Apple SD Gothic Neo" w:hAnsi="Apple SD Gothic Neo"/>
          <w:sz w:val="20"/>
        </w:rPr>
        <w:t>Evidence promotion task:</w:t>
      </w:r>
    </w:p>
    <w:p>
      <w:pPr>
        <w:spacing w:after="140"/>
      </w:pPr>
      <w:r>
        <w:rPr>
          <w:rFonts w:ascii="Apple SD Gothic Neo" w:hAnsi="Apple SD Gothic Neo"/>
          <w:sz w:val="20"/>
        </w:rPr>
        <w:t>1. 위 source 중 2개를 골라 원문 claim 또는 숫자를 추출합니다.</w:t>
      </w:r>
    </w:p>
    <w:p>
      <w:pPr>
        <w:spacing w:after="140"/>
      </w:pPr>
      <w:r>
        <w:rPr>
          <w:rFonts w:ascii="Apple SD Gothic Neo" w:hAnsi="Apple SD Gothic Neo"/>
          <w:sz w:val="20"/>
        </w:rPr>
        <w:t>2. 각 claim을 Fact / Derived Estimate / Proxy / Scenario로 분류합니다.</w:t>
      </w:r>
    </w:p>
    <w:p>
      <w:pPr>
        <w:spacing w:after="140"/>
      </w:pPr>
      <w:r>
        <w:rPr>
          <w:rFonts w:ascii="Apple SD Gothic Neo" w:hAnsi="Apple SD Gothic Neo"/>
          <w:sz w:val="20"/>
        </w:rPr>
        <w:t>3. 해당 agent의 evidence.md에 evidence row 후보를 작성합니다.</w:t>
      </w:r>
    </w:p>
    <w:p>
      <w:pPr>
        <w:spacing w:after="140"/>
      </w:pPr>
      <w:r>
        <w:rPr>
          <w:rFonts w:ascii="Apple SD Gothic Neo" w:hAnsi="Apple SD Gothic Neo"/>
          <w:sz w:val="20"/>
        </w:rPr>
        <w:t>4. state.md에 변경 후보를 적되, orchestrator review 전 generator는 수정하지 않습니다.</w:t>
      </w:r>
    </w:p>
    <w:p>
      <w:pPr>
        <w:pStyle w:val="Heading2"/>
      </w:pPr>
      <w:r>
        <w:t>A09 `utilization`</w:t>
      </w:r>
    </w:p>
    <w:p>
      <w:pPr>
        <w:spacing w:after="140"/>
      </w:pPr>
      <w:r>
        <w:rPr>
          <w:rFonts w:ascii="Apple SD Gothic Neo" w:hAnsi="Apple SD Gothic Neo"/>
          <w:sz w:val="20"/>
        </w:rPr>
        <w:t>확장 주제: average utilization, latency SLO, P/D disaggregation, batching</w:t>
      </w:r>
    </w:p>
    <w:p>
      <w:pPr>
        <w:spacing w:after="140"/>
      </w:pPr>
      <w:r>
        <w:rPr>
          <w:rFonts w:ascii="Apple SD Gothic Neo" w:hAnsi="Apple SD Gothic Neo"/>
          <w:sz w:val="20"/>
        </w:rPr>
        <w:t>핵심 규칙: Separate provisioned inference share from realized average utilization.</w:t>
      </w:r>
    </w:p>
    <w:p>
      <w:pPr>
        <w:spacing w:after="140"/>
      </w:pPr>
      <w:r>
        <w:rPr>
          <w:rFonts w:ascii="Apple SD Gothic Neo" w:hAnsi="Apple SD Gothic Neo"/>
          <w:sz w:val="20"/>
        </w:rPr>
        <w:t>읽을 source:</w:t>
      </w:r>
    </w:p>
    <w:p>
      <w:pPr>
        <w:pStyle w:val="ListBullet"/>
      </w:pPr>
      <w:r>
        <w:t>IBM_PD_2026: [Revisiting Disaggregated Large Language Model Serving for Performance and Energy Implications](https://research.ibm.com/publications/revisiting-disaggregated-large-language-model-serving-for-performance-and-energy-implications) - IBM Research / EuroSys, 2026. 목적: prefill-decode disaggregation energy/performance.</w:t>
      </w:r>
    </w:p>
    <w:p>
      <w:pPr>
        <w:pStyle w:val="ListBullet"/>
      </w:pPr>
      <w:r>
        <w:t>ARXIV_SLO_PD_2603: [SLO-Aware Compute Resource Allocation for Prefill-Decode Disaggregated LLM Inference](https://arxiv.org/abs/2603.04716) - arXiv, 2026. 목적: SLO-aware P/D resource allocation.</w:t>
      </w:r>
    </w:p>
    <w:p>
      <w:pPr>
        <w:pStyle w:val="ListBullet"/>
      </w:pPr>
      <w:r>
        <w:t>ARXIV_PREFILL_SERVICE_2604: [Prefill-as-a-Service](https://arxiv.org/abs/2604.15039) - arXiv, 2026. 목적: cross-datacenter KV cache/prefill scenario.</w:t>
      </w:r>
    </w:p>
    <w:p>
      <w:pPr>
        <w:pStyle w:val="ListBullet"/>
      </w:pPr>
      <w:r>
        <w:t>ARXIV_HETEROGENEOUS_2602: [Large-Scale LLM Inference with Heterogeneous Workloads](https://arxiv.org/abs/2602.02987) - arXiv, 2026. 목적: prefill-decode contention and control.</w:t>
      </w:r>
    </w:p>
    <w:p>
      <w:pPr>
        <w:pStyle w:val="ListBullet"/>
      </w:pPr>
      <w:r>
        <w:t>PAGED_ATTENTION: [Efficient Memory Management for LLM Serving with PagedAttention](https://arxiv.org/abs/2309.06180) - arXiv, 2023. 목적: KV cache and serving throughput foundation.</w:t>
      </w:r>
    </w:p>
    <w:p>
      <w:pPr>
        <w:pStyle w:val="ListBullet"/>
      </w:pPr>
      <w:r>
        <w:t>DISTSERVE: [DistServe: Disaggregating Prefill and Decoding](https://arxiv.org/abs/2401.09670) - arXiv, 2024. 목적: TTFT/TPOT and goodput.</w:t>
      </w:r>
    </w:p>
    <w:p>
      <w:pPr>
        <w:spacing w:after="140"/>
      </w:pPr>
      <w:r>
        <w:rPr>
          <w:rFonts w:ascii="Apple SD Gothic Neo" w:hAnsi="Apple SD Gothic Neo"/>
          <w:sz w:val="20"/>
        </w:rPr>
        <w:t>Evidence promotion task:</w:t>
      </w:r>
    </w:p>
    <w:p>
      <w:pPr>
        <w:spacing w:after="140"/>
      </w:pPr>
      <w:r>
        <w:rPr>
          <w:rFonts w:ascii="Apple SD Gothic Neo" w:hAnsi="Apple SD Gothic Neo"/>
          <w:sz w:val="20"/>
        </w:rPr>
        <w:t>1. 위 source 중 2개를 골라 원문 claim 또는 숫자를 추출합니다.</w:t>
      </w:r>
    </w:p>
    <w:p>
      <w:pPr>
        <w:spacing w:after="140"/>
      </w:pPr>
      <w:r>
        <w:rPr>
          <w:rFonts w:ascii="Apple SD Gothic Neo" w:hAnsi="Apple SD Gothic Neo"/>
          <w:sz w:val="20"/>
        </w:rPr>
        <w:t>2. 각 claim을 Fact / Derived Estimate / Proxy / Scenario로 분류합니다.</w:t>
      </w:r>
    </w:p>
    <w:p>
      <w:pPr>
        <w:spacing w:after="140"/>
      </w:pPr>
      <w:r>
        <w:rPr>
          <w:rFonts w:ascii="Apple SD Gothic Neo" w:hAnsi="Apple SD Gothic Neo"/>
          <w:sz w:val="20"/>
        </w:rPr>
        <w:t>3. 해당 agent의 evidence.md에 evidence row 후보를 작성합니다.</w:t>
      </w:r>
    </w:p>
    <w:p>
      <w:pPr>
        <w:spacing w:after="140"/>
      </w:pPr>
      <w:r>
        <w:rPr>
          <w:rFonts w:ascii="Apple SD Gothic Neo" w:hAnsi="Apple SD Gothic Neo"/>
          <w:sz w:val="20"/>
        </w:rPr>
        <w:t>4. state.md에 변경 후보를 적되, orchestrator review 전 generator는 수정하지 않습니다.</w:t>
      </w:r>
    </w:p>
    <w:p>
      <w:pPr>
        <w:pStyle w:val="Heading2"/>
      </w:pPr>
      <w:r>
        <w:t>A10 `attribution_rule`</w:t>
      </w:r>
    </w:p>
    <w:p>
      <w:pPr>
        <w:spacing w:after="140"/>
      </w:pPr>
      <w:r>
        <w:rPr>
          <w:rFonts w:ascii="Apple SD Gothic Neo" w:hAnsi="Apple SD Gothic Neo"/>
          <w:sz w:val="20"/>
        </w:rPr>
        <w:t>확장 주제: model owner vs host provider vs product owner</w:t>
      </w:r>
    </w:p>
    <w:p>
      <w:pPr>
        <w:spacing w:after="140"/>
      </w:pPr>
      <w:r>
        <w:rPr>
          <w:rFonts w:ascii="Apple SD Gothic Neo" w:hAnsi="Apple SD Gothic Neo"/>
          <w:sz w:val="20"/>
        </w:rPr>
        <w:t>핵심 규칙: Never double count host capacity and model-owner token generation.</w:t>
      </w:r>
    </w:p>
    <w:p>
      <w:pPr>
        <w:spacing w:after="140"/>
      </w:pPr>
      <w:r>
        <w:rPr>
          <w:rFonts w:ascii="Apple SD Gothic Neo" w:hAnsi="Apple SD Gothic Neo"/>
          <w:sz w:val="20"/>
        </w:rPr>
        <w:t>읽을 source:</w:t>
      </w:r>
    </w:p>
    <w:p>
      <w:pPr>
        <w:pStyle w:val="ListBullet"/>
      </w:pPr>
      <w:r>
        <w:t>OPENAI_STARGATE: [Five new Stargate sites](https://openai.com/index/five-new-stargate-sites/) - OpenAI, 2025. 목적: planned capacity and attribution.</w:t>
      </w:r>
    </w:p>
    <w:p>
      <w:pPr>
        <w:pStyle w:val="ListBullet"/>
      </w:pPr>
      <w:r>
        <w:t>AWS_RAINIER: [AWS Project Rainier](https://www.aboutamazon.com/news/aws/aws-project-rainier-ai-trainium-chips-compute-cluster) - Amazon, 2025. 목적: Anthropic/AWS Trainium cluster.</w:t>
      </w:r>
    </w:p>
    <w:p>
      <w:pPr>
        <w:pStyle w:val="ListBullet"/>
      </w:pPr>
      <w:r>
        <w:t>AI_2027: [AI 2027](https://ai-2027.com/) - AI Futures Project, 2025. 목적: stress scenario for accelerated adoption.</w:t>
      </w:r>
    </w:p>
    <w:p>
      <w:pPr>
        <w:pStyle w:val="ListBullet"/>
      </w:pPr>
      <w:r>
        <w:t>STANFORD_INDEX_2025: [AI Index Report 2025](https://hai.stanford.edu/ai-index/2025-ai-index-report) - Stanford HAI, 2025. 목적: macro AI compute/cost context.</w:t>
      </w:r>
    </w:p>
    <w:p>
      <w:pPr>
        <w:spacing w:after="140"/>
      </w:pPr>
      <w:r>
        <w:rPr>
          <w:rFonts w:ascii="Apple SD Gothic Neo" w:hAnsi="Apple SD Gothic Neo"/>
          <w:sz w:val="20"/>
        </w:rPr>
        <w:t>Evidence promotion task:</w:t>
      </w:r>
    </w:p>
    <w:p>
      <w:pPr>
        <w:spacing w:after="140"/>
      </w:pPr>
      <w:r>
        <w:rPr>
          <w:rFonts w:ascii="Apple SD Gothic Neo" w:hAnsi="Apple SD Gothic Neo"/>
          <w:sz w:val="20"/>
        </w:rPr>
        <w:t>1. 위 source 중 2개를 골라 원문 claim 또는 숫자를 추출합니다.</w:t>
      </w:r>
    </w:p>
    <w:p>
      <w:pPr>
        <w:spacing w:after="140"/>
      </w:pPr>
      <w:r>
        <w:rPr>
          <w:rFonts w:ascii="Apple SD Gothic Neo" w:hAnsi="Apple SD Gothic Neo"/>
          <w:sz w:val="20"/>
        </w:rPr>
        <w:t>2. 각 claim을 Fact / Derived Estimate / Proxy / Scenario로 분류합니다.</w:t>
      </w:r>
    </w:p>
    <w:p>
      <w:pPr>
        <w:spacing w:after="140"/>
      </w:pPr>
      <w:r>
        <w:rPr>
          <w:rFonts w:ascii="Apple SD Gothic Neo" w:hAnsi="Apple SD Gothic Neo"/>
          <w:sz w:val="20"/>
        </w:rPr>
        <w:t>3. 해당 agent의 evidence.md에 evidence row 후보를 작성합니다.</w:t>
      </w:r>
    </w:p>
    <w:p>
      <w:pPr>
        <w:spacing w:after="140"/>
      </w:pPr>
      <w:r>
        <w:rPr>
          <w:rFonts w:ascii="Apple SD Gothic Neo" w:hAnsi="Apple SD Gothic Neo"/>
          <w:sz w:val="20"/>
        </w:rPr>
        <w:t>4. state.md에 변경 후보를 적되, orchestrator review 전 generator는 수정하지 않습니다.</w:t>
      </w:r>
    </w:p>
    <w:p>
      <w:pPr>
        <w:pStyle w:val="Heading1"/>
      </w:pPr>
      <w:r>
        <w:t>Expanded Source Library</w:t>
      </w:r>
    </w:p>
    <w:p>
      <w:pPr>
        <w:spacing w:after="140"/>
      </w:pPr>
      <w:r>
        <w:rPr>
          <w:rFonts w:ascii="Apple SD Gothic Neo" w:hAnsi="Apple SD Gothic Neo"/>
          <w:sz w:val="20"/>
        </w:rPr>
        <w:t>| ID | Source | Publisher | Year | Purpose | Agents | Link |</w:t>
      </w:r>
    </w:p>
    <w:p>
      <w:pPr>
        <w:spacing w:after="140"/>
      </w:pPr>
      <w:r>
        <w:rPr>
          <w:rFonts w:ascii="Apple SD Gothic Neo" w:hAnsi="Apple SD Gothic Neo"/>
          <w:sz w:val="20"/>
        </w:rPr>
        <w:t>|---|---|---|---|---|---|---|</w:t>
      </w:r>
    </w:p>
    <w:p>
      <w:pPr>
        <w:spacing w:after="140"/>
      </w:pPr>
      <w:r>
        <w:rPr>
          <w:rFonts w:ascii="Apple SD Gothic Neo" w:hAnsi="Apple SD Gothic Neo"/>
          <w:sz w:val="20"/>
        </w:rPr>
        <w:t>| IEA_KEY_2026 | Key Questions on Energy and AI | IEA | 2026 | energy/policy | A01,A02,A05 | https://www.iea.org/reports/key-questions-on-energy-and-ai |</w:t>
      </w:r>
    </w:p>
    <w:p>
      <w:pPr>
        <w:spacing w:after="140"/>
      </w:pPr>
      <w:r>
        <w:rPr>
          <w:rFonts w:ascii="Apple SD Gothic Neo" w:hAnsi="Apple SD Gothic Neo"/>
          <w:sz w:val="20"/>
        </w:rPr>
        <w:t>| IEA_ELEC_2026 | Electricity 2026 | IEA | 2026 | electricity market baseline | A01,A02 | https://www.iea.org/reports/electricity-2026 |</w:t>
      </w:r>
    </w:p>
    <w:p>
      <w:pPr>
        <w:spacing w:after="140"/>
      </w:pPr>
      <w:r>
        <w:rPr>
          <w:rFonts w:ascii="Apple SD Gothic Neo" w:hAnsi="Apple SD Gothic Neo"/>
          <w:sz w:val="20"/>
        </w:rPr>
        <w:t>| LBNL_DC_2024 | 2024 United States Data Center Energy Usage Report | LBNL / DOE | 2024 | data center energy baseline | A01,A02,A03,A04 | https://eta-publications.lbl.gov/publications/2024-lbnl-data-center-energy-usage-report |</w:t>
      </w:r>
    </w:p>
    <w:p>
      <w:pPr>
        <w:spacing w:after="140"/>
      </w:pPr>
      <w:r>
        <w:rPr>
          <w:rFonts w:ascii="Apple SD Gothic Neo" w:hAnsi="Apple SD Gothic Neo"/>
          <w:sz w:val="20"/>
        </w:rPr>
        <w:t>| EPRI_POWERING | Powering Intelligence | EPRI | 2024/2026 updated access | grid and data center energy scenarios | A01,A02 | https://www.epri.com/research/products/000000003002028905 |</w:t>
      </w:r>
    </w:p>
    <w:p>
      <w:pPr>
        <w:spacing w:after="140"/>
      </w:pPr>
      <w:r>
        <w:rPr>
          <w:rFonts w:ascii="Apple SD Gothic Neo" w:hAnsi="Apple SD Gothic Neo"/>
          <w:sz w:val="20"/>
        </w:rPr>
        <w:t>| UPTIME_COOLING | Cooling Systems Survey 2024 | Uptime Institute | 2024 | liquid cooling adoption and constraints | A03,A04 | https://intelligence.uptimeinstitute.com/sites/default/files/2024-05/Uptime%20Institute%20Cooling%20Systems%20Survey%202024_0.pdf |</w:t>
      </w:r>
    </w:p>
    <w:p>
      <w:pPr>
        <w:spacing w:after="140"/>
      </w:pPr>
      <w:r>
        <w:rPr>
          <w:rFonts w:ascii="Apple SD Gothic Neo" w:hAnsi="Apple SD Gothic Neo"/>
          <w:sz w:val="20"/>
        </w:rPr>
        <w:t>| AFCOM_2026_DENSITY | Rack Density Surges as AI Overhauls Data Center Design | AFCOM / Data Center Knowledge | 2026 | operator survey context for density/cooling | A03,A04 | https://www.datacenterknowledge.com/data-center-construction/afcom-rack-density-and-build-outs-surge-as-ai-overhauls-data-center-design |</w:t>
      </w:r>
    </w:p>
    <w:p>
      <w:pPr>
        <w:spacing w:after="140"/>
      </w:pPr>
      <w:r>
        <w:rPr>
          <w:rFonts w:ascii="Apple SD Gothic Neo" w:hAnsi="Apple SD Gothic Neo"/>
          <w:sz w:val="20"/>
        </w:rPr>
        <w:t>| IBM_PD_2026 | Revisiting Disaggregated Large Language Model Serving for Performance and Energy Implications | IBM Research / EuroSys | 2026 | prefill-decode disaggregation energy/performance | A08,A09 | https://research.ibm.com/publications/revisiting-disaggregated-large-language-model-serving-for-performance-and-energy-implications |</w:t>
      </w:r>
    </w:p>
    <w:p>
      <w:pPr>
        <w:spacing w:after="140"/>
      </w:pPr>
      <w:r>
        <w:rPr>
          <w:rFonts w:ascii="Apple SD Gothic Neo" w:hAnsi="Apple SD Gothic Neo"/>
          <w:sz w:val="20"/>
        </w:rPr>
        <w:t>| JOULE_INFERENCE_2026 | Energy use of AI inference, efficiency pathways, and test-time scaling | Joule / Cell Press | 2026 | energy/query, token-length, test-time compute | A08,A09 | https://www.sciencedirect.com/science/article/pii/S2542435126001145 |</w:t>
      </w:r>
    </w:p>
    <w:p>
      <w:pPr>
        <w:spacing w:after="140"/>
      </w:pPr>
      <w:r>
        <w:rPr>
          <w:rFonts w:ascii="Apple SD Gothic Neo" w:hAnsi="Apple SD Gothic Neo"/>
          <w:sz w:val="20"/>
        </w:rPr>
        <w:t>| ARXIV_HETEROGENEOUS_2602 | Large-Scale LLM Inference with Heterogeneous Workloads | arXiv | 2026 | prefill-decode contention and control | A08,A09 | https://arxiv.org/abs/2602.02987 |</w:t>
      </w:r>
    </w:p>
    <w:p>
      <w:pPr>
        <w:spacing w:after="140"/>
      </w:pPr>
      <w:r>
        <w:rPr>
          <w:rFonts w:ascii="Apple SD Gothic Neo" w:hAnsi="Apple SD Gothic Neo"/>
          <w:sz w:val="20"/>
        </w:rPr>
        <w:t>| ARXIV_SLO_PD_2603 | SLO-Aware Compute Resource Allocation for Prefill-Decode Disaggregated LLM Inference | arXiv | 2026 | SLO-aware P/D resource allocation | A08,A09 | https://arxiv.org/abs/2603.04716 |</w:t>
      </w:r>
    </w:p>
    <w:p>
      <w:pPr>
        <w:spacing w:after="140"/>
      </w:pPr>
      <w:r>
        <w:rPr>
          <w:rFonts w:ascii="Apple SD Gothic Neo" w:hAnsi="Apple SD Gothic Neo"/>
          <w:sz w:val="20"/>
        </w:rPr>
        <w:t>| ARXIV_PREFILL_SERVICE_2604 | Prefill-as-a-Service | arXiv | 2026 | cross-datacenter KV cache/prefill scenario | A08,A09,A10 | https://arxiv.org/abs/2604.15039 |</w:t>
      </w:r>
    </w:p>
    <w:p>
      <w:pPr>
        <w:spacing w:after="140"/>
      </w:pPr>
      <w:r>
        <w:rPr>
          <w:rFonts w:ascii="Apple SD Gothic Neo" w:hAnsi="Apple SD Gothic Neo"/>
          <w:sz w:val="20"/>
        </w:rPr>
        <w:t>| ARXIV_SPEC_DECODE_2605 | An Interpretable Latency Model for Speculative Decoding in LLM Serving | arXiv | 2026 | speculative decoding latency model | A08,A09 | https://arxiv.org/abs/2605.15051 |</w:t>
      </w:r>
    </w:p>
    <w:p>
      <w:pPr>
        <w:spacing w:after="140"/>
      </w:pPr>
      <w:r>
        <w:rPr>
          <w:rFonts w:ascii="Apple SD Gothic Neo" w:hAnsi="Apple SD Gothic Neo"/>
          <w:sz w:val="20"/>
        </w:rPr>
        <w:t>| PAGED_ATTENTION | Efficient Memory Management for LLM Serving with PagedAttention | arXiv | 2023 | KV cache and serving throughput foundation | A08,A09 | https://arxiv.org/abs/2309.06180 |</w:t>
      </w:r>
    </w:p>
    <w:p>
      <w:pPr>
        <w:spacing w:after="140"/>
      </w:pPr>
      <w:r>
        <w:rPr>
          <w:rFonts w:ascii="Apple SD Gothic Neo" w:hAnsi="Apple SD Gothic Neo"/>
          <w:sz w:val="20"/>
        </w:rPr>
        <w:t>| SPLITWISE | Splitwise: Efficient generative LLM inference using phase splitting | arXiv | 2023 | prefill/decode phase split foundation | A08,A09 | https://arxiv.org/abs/2311.18677 |</w:t>
      </w:r>
    </w:p>
    <w:p>
      <w:pPr>
        <w:spacing w:after="140"/>
      </w:pPr>
      <w:r>
        <w:rPr>
          <w:rFonts w:ascii="Apple SD Gothic Neo" w:hAnsi="Apple SD Gothic Neo"/>
          <w:sz w:val="20"/>
        </w:rPr>
        <w:t>| DISTSERVE | DistServe: Disaggregating Prefill and Decoding | arXiv | 2024 | TTFT/TPOT and goodput | A08,A09 | https://arxiv.org/abs/2401.09670 |</w:t>
      </w:r>
    </w:p>
    <w:p>
      <w:pPr>
        <w:spacing w:after="140"/>
      </w:pPr>
      <w:r>
        <w:rPr>
          <w:rFonts w:ascii="Apple SD Gothic Neo" w:hAnsi="Apple SD Gothic Neo"/>
          <w:sz w:val="20"/>
        </w:rPr>
        <w:t>| INFERENCEX | InferenceX / InferenceMAX | SemiAnalysis | accessed 2026-05-18 | benchmark/proxy for tokens/MW | A08,A09 | https://inferencex.semianalysis.com/ |</w:t>
      </w:r>
    </w:p>
    <w:p>
      <w:pPr>
        <w:spacing w:after="140"/>
      </w:pPr>
      <w:r>
        <w:rPr>
          <w:rFonts w:ascii="Apple SD Gothic Neo" w:hAnsi="Apple SD Gothic Neo"/>
          <w:sz w:val="20"/>
        </w:rPr>
        <w:t>| NVIDIA_DGX_GB | NVIDIA DGX GB Rack Scale Systems User Guide | NVIDIA | accessed 2026-05-18 | rack power/cooling architecture | A02,A03,A08 | https://docs.nvidia.com/dgx/dgxgb200-user-guide/hardware.html |</w:t>
      </w:r>
    </w:p>
    <w:p>
      <w:pPr>
        <w:spacing w:after="140"/>
      </w:pPr>
      <w:r>
        <w:rPr>
          <w:rFonts w:ascii="Apple SD Gothic Neo" w:hAnsi="Apple SD Gothic Neo"/>
          <w:sz w:val="20"/>
        </w:rPr>
        <w:t>| NVIDIA_GB200 | NVIDIA GB200 NVL72 | NVIDIA | accessed 2026-05-18 | rack-scale Blackwell system | A02,A03,A08 | https://www.nvidia.com/en-us/data-center/gb200-nvl72/ |</w:t>
      </w:r>
    </w:p>
    <w:p>
      <w:pPr>
        <w:spacing w:after="140"/>
      </w:pPr>
      <w:r>
        <w:rPr>
          <w:rFonts w:ascii="Apple SD Gothic Neo" w:hAnsi="Apple SD Gothic Neo"/>
          <w:sz w:val="20"/>
        </w:rPr>
        <w:t>| GOOGLE_IRONWOOD | Ironwood TPU: age of inference | Google Cloud | 2025 | inference-optimized TPU direction | A05,A08 | https://blog.google/products/google-cloud/ironwood-tpu-age-of-inference/ |</w:t>
      </w:r>
    </w:p>
    <w:p>
      <w:pPr>
        <w:spacing w:after="140"/>
      </w:pPr>
      <w:r>
        <w:rPr>
          <w:rFonts w:ascii="Apple SD Gothic Neo" w:hAnsi="Apple SD Gothic Neo"/>
          <w:sz w:val="20"/>
        </w:rPr>
        <w:t>| AWS_RAINIER | AWS Project Rainier | Amazon | 2025 | Anthropic/AWS Trainium cluster | A02,A06,A10 | https://www.aboutamazon.com/news/aws/aws-project-rainier-ai-trainium-chips-compute-cluster |</w:t>
      </w:r>
    </w:p>
    <w:p>
      <w:pPr>
        <w:spacing w:after="140"/>
      </w:pPr>
      <w:r>
        <w:rPr>
          <w:rFonts w:ascii="Apple SD Gothic Neo" w:hAnsi="Apple SD Gothic Neo"/>
          <w:sz w:val="20"/>
        </w:rPr>
        <w:t>| OPENAI_STARGATE | Five new Stargate sites | OpenAI | 2025 | planned capacity and attribution | A01,A02,A10 | https://openai.com/index/five-new-stargate-sites/ |</w:t>
      </w:r>
    </w:p>
    <w:p>
      <w:pPr>
        <w:spacing w:after="140"/>
      </w:pPr>
      <w:r>
        <w:rPr>
          <w:rFonts w:ascii="Apple SD Gothic Neo" w:hAnsi="Apple SD Gothic Neo"/>
          <w:sz w:val="20"/>
        </w:rPr>
        <w:t>| DEEPSEEK_V3 | DeepSeek-V3 Technical Report / GitHub | DeepSeek | 2024 | MoE total/active parameter anchor | A07,A08 | https://github.com/deepseek-ai/DeepSeek-V3 |</w:t>
      </w:r>
    </w:p>
    <w:p>
      <w:pPr>
        <w:spacing w:after="140"/>
      </w:pPr>
      <w:r>
        <w:rPr>
          <w:rFonts w:ascii="Apple SD Gothic Neo" w:hAnsi="Apple SD Gothic Neo"/>
          <w:sz w:val="20"/>
        </w:rPr>
        <w:t>| QWEN3 | Qwen3 GitHub | Alibaba Qwen | 2025 | MoE active parameter anchor | A07,A08 | https://github.com/QwenLM/Qwen3 |</w:t>
      </w:r>
    </w:p>
    <w:p>
      <w:pPr>
        <w:spacing w:after="140"/>
      </w:pPr>
      <w:r>
        <w:rPr>
          <w:rFonts w:ascii="Apple SD Gothic Neo" w:hAnsi="Apple SD Gothic Neo"/>
          <w:sz w:val="20"/>
        </w:rPr>
        <w:t>| STANFORD_INDEX_2025 | AI Index Report 2025 | Stanford HAI | 2025 | macro AI compute/cost context | A06,A08,A10 | https://hai.stanford.edu/ai-index/2025-ai-index-report |</w:t>
      </w:r>
    </w:p>
    <w:p>
      <w:pPr>
        <w:spacing w:after="140"/>
      </w:pPr>
      <w:r>
        <w:rPr>
          <w:rFonts w:ascii="Apple SD Gothic Neo" w:hAnsi="Apple SD Gothic Neo"/>
          <w:sz w:val="20"/>
        </w:rPr>
        <w:t>| EPOCH_POWER | How much power will frontier AI training demand in 2030? | Epoch AI | 2025 | training peak power envelope | A02,A06 | https://epoch.ai/blog/power-demands-of-frontier-ai-training |</w:t>
      </w:r>
    </w:p>
    <w:p>
      <w:pPr>
        <w:spacing w:after="140"/>
      </w:pPr>
      <w:r>
        <w:rPr>
          <w:rFonts w:ascii="Apple SD Gothic Neo" w:hAnsi="Apple SD Gothic Neo"/>
          <w:sz w:val="20"/>
        </w:rPr>
        <w:t>| EPOCH_GPU_POWER | GPUs account for about 40% of power usage in AI data centers | Epoch AI | 2025 | facility/IT/GPU decomposition | A03,A04 | https://epoch.ai/data-insights/gpus-power-usage-in-ai-data-centers |</w:t>
      </w:r>
    </w:p>
    <w:p>
      <w:pPr>
        <w:spacing w:after="140"/>
      </w:pPr>
      <w:r>
        <w:rPr>
          <w:rFonts w:ascii="Apple SD Gothic Neo" w:hAnsi="Apple SD Gothic Neo"/>
          <w:sz w:val="20"/>
        </w:rPr>
        <w:t>| DELOITTE_AI_DC | AI infrastructure gaps | Deloitte Insights | 2025 | market context for infra constraints | A01,A02,A05 | https://www.deloitte.com/us/en/insights/industry/power-and-utilities/data-center-infrastructure-artificial-intelligence.html |</w:t>
      </w:r>
    </w:p>
    <w:p>
      <w:pPr>
        <w:spacing w:after="140"/>
      </w:pPr>
      <w:r>
        <w:rPr>
          <w:rFonts w:ascii="Apple SD Gothic Neo" w:hAnsi="Apple SD Gothic Neo"/>
          <w:sz w:val="20"/>
        </w:rPr>
        <w:t>| MCK_POWER_COOL | Beyond compute: infrastructure that powers and cools AI data centers | McKinsey | 2025 | power/cooling investment context | A02,A03 | https://www.mckinsey.com/industries/industrials-and-electronics/our-insights/beyond-compute-infrastructure-that-powers-and-cools-ai-data-centers |</w:t>
      </w:r>
    </w:p>
    <w:p>
      <w:pPr>
        <w:spacing w:after="140"/>
      </w:pPr>
      <w:r>
        <w:rPr>
          <w:rFonts w:ascii="Apple SD Gothic Neo" w:hAnsi="Apple SD Gothic Neo"/>
          <w:sz w:val="20"/>
        </w:rPr>
        <w:t>| AI_2027 | AI 2027 | AI Futures Project | 2025 | stress scenario for accelerated adoption | A05,A06,A08,A09,A10 | https://ai-2027.com/ |</w:t>
      </w:r>
    </w:p>
    <w:p>
      <w:pPr>
        <w:pStyle w:val="Heading1"/>
      </w:pPr>
      <w:r>
        <w:t>30-Day Agent Learning Sprint</w:t>
      </w:r>
    </w:p>
    <w:p>
      <w:pPr>
        <w:pStyle w:val="Heading2"/>
      </w:pPr>
      <w:r>
        <w:t>Week 1: Power and Deployment</w:t>
      </w:r>
    </w:p>
    <w:p>
      <w:pPr>
        <w:pStyle w:val="ListBullet"/>
      </w:pPr>
      <w:r>
        <w:t>A01, A02, A03, A04가 IEA/LBNL/EPRI/Uptime/NVIDIA DGX GB/Epoch GPU power 자료를 읽습니다.</w:t>
      </w:r>
    </w:p>
    <w:p>
      <w:pPr>
        <w:pStyle w:val="ListBullet"/>
      </w:pPr>
      <w:r>
        <w:t>산출물: planned vs active capacity scorecard, PUE/context note, AI workload share decomposition.</w:t>
      </w:r>
    </w:p>
    <w:p>
      <w:pPr>
        <w:pStyle w:val="Heading2"/>
      </w:pPr>
      <w:r>
        <w:t>Week 2: Inference Serving Deep Dive</w:t>
      </w:r>
    </w:p>
    <w:p>
      <w:pPr>
        <w:pStyle w:val="ListBullet"/>
      </w:pPr>
      <w:r>
        <w:t>A08, A09가 PagedAttention, Splitwise, DistServe, IBM PD 2026, Joule inference energy, InferenceX를 읽습니다.</w:t>
      </w:r>
    </w:p>
    <w:p>
      <w:pPr>
        <w:pStyle w:val="ListBullet"/>
      </w:pPr>
      <w:r>
        <w:t>산출물: tokens/MW proxy ladder, utilization caveat sheet, benchmark-to-production gap map.</w:t>
      </w:r>
    </w:p>
    <w:p>
      <w:pPr>
        <w:pStyle w:val="Heading2"/>
      </w:pPr>
      <w:r>
        <w:t>Week 3: Model Architecture and Training Reserve</w:t>
      </w:r>
    </w:p>
    <w:p>
      <w:pPr>
        <w:pStyle w:val="ListBullet"/>
      </w:pPr>
      <w:r>
        <w:t>A06, A07가 Epoch/Stanford/DeepSeek/Qwen 자료를 읽습니다.</w:t>
      </w:r>
    </w:p>
    <w:p>
      <w:pPr>
        <w:pStyle w:val="ListBullet"/>
      </w:pPr>
      <w:r>
        <w:t>산출물: training reserve interpretation, MoE active parameter source table.</w:t>
      </w:r>
    </w:p>
    <w:p>
      <w:pPr>
        <w:pStyle w:val="Heading2"/>
      </w:pPr>
      <w:r>
        <w:t>Week 4: Scenario and Attribution</w:t>
      </w:r>
    </w:p>
    <w:p>
      <w:pPr>
        <w:pStyle w:val="ListBullet"/>
      </w:pPr>
      <w:r>
        <w:t>A05, A10, orchestrator가 AI 2027, OpenAI Stargate, AWS Rainier, market context를 읽습니다.</w:t>
      </w:r>
    </w:p>
    <w:p>
      <w:pPr>
        <w:pStyle w:val="ListBullet"/>
      </w:pPr>
      <w:r>
        <w:t>산출물: AI-2027 stress scenario memo, host/model-owner attribution map.</w:t>
      </w:r>
    </w:p>
    <w:p>
      <w:pPr>
        <w:pStyle w:val="Heading1"/>
      </w:pPr>
      <w:r>
        <w:t>Orchestrator Review Output Template</w:t>
      </w:r>
    </w:p>
    <w:p>
      <w:pPr>
        <w:spacing w:after="140"/>
      </w:pPr>
      <w:r>
        <w:rPr>
          <w:rFonts w:ascii="Apple SD Gothic Neo" w:hAnsi="Apple SD Gothic Neo"/>
          <w:sz w:val="20"/>
        </w:rPr>
        <w:t>text</w:t>
      </w:r>
    </w:p>
    <w:p>
      <w:pPr>
        <w:spacing w:after="140"/>
      </w:pPr>
      <w:r>
        <w:rPr>
          <w:rFonts w:ascii="Apple SD Gothic Neo" w:hAnsi="Apple SD Gothic Neo"/>
          <w:sz w:val="20"/>
        </w:rPr>
        <w:t>cycle:</w:t>
      </w:r>
    </w:p>
    <w:p>
      <w:pPr>
        <w:spacing w:after="140"/>
      </w:pPr>
      <w:r>
        <w:rPr>
          <w:rFonts w:ascii="Apple SD Gothic Neo" w:hAnsi="Apple SD Gothic Neo"/>
          <w:sz w:val="20"/>
        </w:rPr>
        <w:t>date:</w:t>
      </w:r>
    </w:p>
    <w:p>
      <w:pPr>
        <w:spacing w:after="140"/>
      </w:pPr>
      <w:r>
        <w:rPr>
          <w:rFonts w:ascii="Apple SD Gothic Neo" w:hAnsi="Apple SD Gothic Neo"/>
          <w:sz w:val="20"/>
        </w:rPr>
        <w:t>agents_reviewed:</w:t>
      </w:r>
    </w:p>
    <w:p>
      <w:pPr>
        <w:spacing w:after="140"/>
      </w:pPr>
      <w:r>
        <w:rPr>
          <w:rFonts w:ascii="Apple SD Gothic Neo" w:hAnsi="Apple SD Gothic Neo"/>
          <w:sz w:val="20"/>
        </w:rPr>
        <w:t>sources_promoted:</w:t>
      </w:r>
    </w:p>
    <w:p>
      <w:pPr>
        <w:spacing w:after="140"/>
      </w:pPr>
      <w:r>
        <w:rPr>
          <w:rFonts w:ascii="Apple SD Gothic Neo" w:hAnsi="Apple SD Gothic Neo"/>
          <w:sz w:val="20"/>
        </w:rPr>
        <w:t>fields_changed:</w:t>
      </w:r>
    </w:p>
    <w:p>
      <w:pPr>
        <w:spacing w:after="140"/>
      </w:pPr>
      <w:r>
        <w:rPr>
          <w:rFonts w:ascii="Apple SD Gothic Neo" w:hAnsi="Apple SD Gothic Neo"/>
          <w:sz w:val="20"/>
        </w:rPr>
        <w:t>confidence_upgrades:</w:t>
      </w:r>
    </w:p>
    <w:p>
      <w:pPr>
        <w:spacing w:after="140"/>
      </w:pPr>
      <w:r>
        <w:rPr>
          <w:rFonts w:ascii="Apple SD Gothic Neo" w:hAnsi="Apple SD Gothic Neo"/>
          <w:sz w:val="20"/>
        </w:rPr>
        <w:t>confidence_downgrades:</w:t>
      </w:r>
    </w:p>
    <w:p>
      <w:pPr>
        <w:spacing w:after="140"/>
      </w:pPr>
      <w:r>
        <w:rPr>
          <w:rFonts w:ascii="Apple SD Gothic Neo" w:hAnsi="Apple SD Gothic Neo"/>
          <w:sz w:val="20"/>
        </w:rPr>
        <w:t>base_case_changes:</w:t>
      </w:r>
    </w:p>
    <w:p>
      <w:pPr>
        <w:spacing w:after="140"/>
      </w:pPr>
      <w:r>
        <w:rPr>
          <w:rFonts w:ascii="Apple SD Gothic Neo" w:hAnsi="Apple SD Gothic Neo"/>
          <w:sz w:val="20"/>
        </w:rPr>
        <w:t>stress_scenario_changes:</w:t>
      </w:r>
    </w:p>
    <w:p>
      <w:pPr>
        <w:spacing w:after="140"/>
      </w:pPr>
      <w:r>
        <w:rPr>
          <w:rFonts w:ascii="Apple SD Gothic Neo" w:hAnsi="Apple SD Gothic Neo"/>
          <w:sz w:val="20"/>
        </w:rPr>
        <w:t>unresolved_flags:</w:t>
      </w:r>
    </w:p>
    <w:p>
      <w:pPr>
        <w:spacing w:after="140"/>
      </w:pPr>
      <w:r>
        <w:rPr>
          <w:rFonts w:ascii="Apple SD Gothic Neo" w:hAnsi="Apple SD Gothic Neo"/>
          <w:sz w:val="20"/>
        </w:rPr>
        <w:t>next_cycle:</w:t>
      </w:r>
    </w:p>
    <w:p>
      <w:pPr>
        <w:spacing w:after="140"/>
      </w:pPr>
      <w:r>
        <w:rPr>
          <w:rFonts w:ascii="Apple SD Gothic Neo" w:hAnsi="Apple SD Gothic Neo"/>
          <w:sz w:val="20"/>
        </w:rPr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ple SD Gothic Neo" w:hAnsi="Apple SD Gothic Neo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ple SD Gothic Neo" w:hAnsi="Apple SD Gothic Neo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ple SD Gothic Neo" w:hAnsi="Apple SD Gothic Neo"/>
      <w:b/>
      <w:bCs/>
      <w:color w:val="0F172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