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A06 training_power_share</w:t>
      </w:r>
    </w:p>
    <w:p>
      <w:pPr>
        <w:jc w:val="center"/>
      </w:pPr>
      <w:r>
        <w:t>frontier training, post-training, eval capacity를 어떻게 남길 것인가</w:t>
      </w:r>
    </w:p>
    <w:p>
      <w:pPr>
        <w:pStyle w:val="Heading1"/>
      </w:pPr>
      <w:r>
        <w:t>Executive Summary</w:t>
      </w:r>
    </w:p>
    <w:p>
      <w:pPr>
        <w:spacing w:after="140" w:line="269" w:lineRule="auto"/>
      </w:pPr>
      <w:r>
        <w:rPr>
          <w:rFonts w:ascii="Apple SD Gothic Neo" w:hAnsi="Apple SD Gothic Neo"/>
          <w:sz w:val="20"/>
        </w:rPr>
        <w:t>학습용 starting band: training_power_share = 1 - inference_power_share로 시작하되, frontier lab은 2026-2030에도 의미 있는 reserve 유지.</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`training_power_share`는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training_power_share는 AI IT load 중 모델 weight 업데이트, pretraining, post-training, fine-tuning, RL, eval, synthetic data generation 등 학습 관련 workload에 배정되는 비중이다. 간단한 모델에서는 1 - inference_power_share로 계산하지만, 실제로는 eval/reserve/post-training을 별도 category로 두는 것이 더 정확하다.</w:t>
      </w:r>
    </w:p>
    <w:p>
      <w:pPr>
        <w:spacing w:after="140" w:line="269" w:lineRule="auto"/>
      </w:pPr>
      <w:r>
        <w:rPr>
          <w:rFonts w:ascii="Apple SD Gothic Neo" w:hAnsi="Apple SD Gothic Neo"/>
          <w:sz w:val="20"/>
        </w:rPr>
        <w:t>이 변수는 token generation forecast에서는 inference의 반대편처럼 보이지만, AI 기업의 전략에서는 핵심이다. training capacity는 다음 모델 세대, 성능 우위, 제품 차별화, 장기 경쟁력을 만든다.</w:t>
      </w:r>
    </w:p>
    <w:p>
      <w:pPr>
        <w:pStyle w:val="Heading1"/>
      </w:pPr>
      <w:r>
        <w:t>전문가 관점의 운영 원리</w:t>
      </w:r>
    </w:p>
    <w:p>
      <w:pPr>
        <w:spacing w:after="140" w:line="269" w:lineRule="auto"/>
      </w:pPr>
      <w:r>
        <w:rPr>
          <w:rFonts w:ascii="Apple SD Gothic Neo" w:hAnsi="Apple SD Gothic Neo"/>
          <w:sz w:val="20"/>
        </w:rPr>
        <w:t>Kaplan scaling law와 Chinchilla는 training compute allocation을 이해하는 기초 이론이다. 모델 성능은 parameter, data, compute scaling과 연결되고, compute-optimal training은 단순히 모델을 키우는 것이 아니라 학습 토큰과 모델 크기를 균형 있게 조정해야 함을 보여준다. 이 이론은 왜 frontier lab이 상용 inference가 커져도 training을 계속하는지 설명한다.</w:t>
      </w:r>
    </w:p>
    <w:p>
      <w:pPr>
        <w:spacing w:after="140" w:line="269" w:lineRule="auto"/>
      </w:pPr>
      <w:r>
        <w:rPr>
          <w:rFonts w:ascii="Apple SD Gothic Neo" w:hAnsi="Apple SD Gothic Neo"/>
          <w:sz w:val="20"/>
        </w:rPr>
        <w:t>Epoch AI의 frontier training compute 분석은 training run의 compute와 power demand가 계속 커질 수 있음을 보여준다. 다만 이 숫자는 연중 평균 training share가 아니라 특정 frontier run의 envelope로 읽어야 한다. peak training power와 annual average power allocation을 섞으면 잘못된 결론이 나온다.</w:t>
      </w:r>
    </w:p>
    <w:p>
      <w:pPr>
        <w:spacing w:after="140" w:line="269" w:lineRule="auto"/>
      </w:pPr>
      <w:r>
        <w:rPr>
          <w:rFonts w:ascii="Apple SD Gothic Neo" w:hAnsi="Apple SD Gothic Neo"/>
          <w:sz w:val="20"/>
        </w:rPr>
        <w:t>Training workload는 cluster topology에 민감하다. 수천에서 수만 accelerator가 하나의 job에 묶이면 interconnect, checkpoint, failure recovery, parallelism strategy가 중요해진다. 이런 job은 inference처럼 작은 regional fleet으로 쉽게 나누기 어렵다. 그래서 training capacity는 물리적으로도 운영적으로도 별도 planning이 필요하다.</w:t>
      </w:r>
    </w:p>
    <w:p>
      <w:pPr>
        <w:pStyle w:val="Heading1"/>
      </w:pPr>
      <w:r>
        <w:t>현실적 숫자 범위 잡기</w:t>
      </w:r>
    </w:p>
    <w:p>
      <w:pPr>
        <w:spacing w:after="140" w:line="269" w:lineRule="auto"/>
      </w:pPr>
      <w:r>
        <w:rPr>
          <w:rFonts w:ascii="Apple SD Gothic Neo" w:hAnsi="Apple SD Gothic Neo"/>
          <w:sz w:val="20"/>
        </w:rPr>
        <w:t>초기 연구 중심 기업은 training share가 높다. 상용화가 진행된 기업은 inference share가 올라가지만 frontier model 경쟁을 한다면 training share를 낮게만 둘 수 없다. 2026년에는 많은 기업이 training과 inference를 모두 크게 늘리는 단계로 보는 것이 합리적이다.</w:t>
      </w:r>
    </w:p>
    <w:p>
      <w:pPr>
        <w:spacing w:after="140" w:line="269" w:lineRule="auto"/>
      </w:pPr>
      <w:r>
        <w:rPr>
          <w:rFonts w:ascii="Apple SD Gothic Neo" w:hAnsi="Apple SD Gothic Neo"/>
          <w:sz w:val="20"/>
        </w:rPr>
        <w:t>2030년에는 inference share 상승이 base scenario지만, training share가 사라지는 것은 아니다. 특히 reasoning model, multimodal model, agent model, long-context model은 계속 post-training과 eval compute를 요구한다. 따라서 training_power_share는 단순 잔여값이더라도 해석상 '미래 역량 투자 capacity'로 설명해야 한다.</w:t>
      </w:r>
    </w:p>
    <w:p>
      <w:pPr>
        <w:pStyle w:val="Heading1"/>
      </w:pPr>
      <w:r>
        <w:t>모델링 영향</w:t>
      </w:r>
    </w:p>
    <w:p>
      <w:pPr>
        <w:spacing w:after="140" w:line="269" w:lineRule="auto"/>
      </w:pPr>
      <w:r>
        <w:rPr>
          <w:rFonts w:ascii="Apple SD Gothic Neo" w:hAnsi="Apple SD Gothic Neo"/>
          <w:sz w:val="20"/>
        </w:rPr>
        <w:t>training_power_share가 높아지면 단기 token generation capacity는 낮아진다. 그러나 장기적으로 더 효율적인 모델, 더 작은 active parameter, better routing, distillation을 가능하게 해 future tokens/sec/MW를 올릴 수 있다. 따라서 training share를 단순 비용으로만 보면 안 된다.</w:t>
      </w:r>
    </w:p>
    <w:p>
      <w:pPr>
        <w:spacing w:after="140" w:line="269" w:lineRule="auto"/>
      </w:pPr>
      <w:r>
        <w:rPr>
          <w:rFonts w:ascii="Apple SD Gothic Neo" w:hAnsi="Apple SD Gothic Neo"/>
          <w:sz w:val="20"/>
        </w:rPr>
        <w:t>메모리 관점에서는 training share가 높을수록 HBM bandwidth/capacity, high-end GPU allocation, scale-up/scale-out network, checkpoint storage 수요가 커진다. inference share가 높을수록 latency, KV cache, SSD retrieval, regional serving fleet 수요가 더 중요해진다.</w:t>
      </w:r>
    </w:p>
    <w:p>
      <w:pPr>
        <w:pStyle w:val="Heading1"/>
      </w:pPr>
      <w:r>
        <w:t>Hallucination 위험</w:t>
      </w:r>
    </w:p>
    <w:p>
      <w:pPr>
        <w:spacing w:after="140" w:line="269" w:lineRule="auto"/>
      </w:pPr>
      <w:r>
        <w:rPr>
          <w:rFonts w:ascii="Apple SD Gothic Neo" w:hAnsi="Apple SD Gothic Neo"/>
          <w:sz w:val="20"/>
        </w:rPr>
        <w:t>training_power_share를 inference의 단순 잔여값으로 두고 설명을 생략하면 안 된다. 또 frontier training run의 peak power 전망을 연중 평균 share로 쓰면 안 된다. training에는 pretraining뿐 아니라 post-training, eval, synthetic data generation이 포함될 수 있음을 명시해야 한다.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A06_TRAINING_POWER_SHARE</w:t>
      </w:r>
    </w:p>
    <w:p>
      <w:pPr>
        <w:pStyle w:val="ListBullet"/>
      </w:pPr>
      <w:r>
        <w:t>field_name: training_power_share</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KAPLAN: Scaling Laws for Neural Language Models, Kaplan et al., arXiv, 2020. https://arxiv.org/abs/2001.08361</w:t>
      </w:r>
    </w:p>
    <w:p>
      <w:pPr>
        <w:spacing w:after="140" w:line="269" w:lineRule="auto"/>
      </w:pPr>
      <w:r>
        <w:rPr>
          <w:rFonts w:ascii="Apple SD Gothic Neo" w:hAnsi="Apple SD Gothic Neo"/>
          <w:sz w:val="20"/>
        </w:rPr>
        <w:t>- CHINCHILLA: Training Compute-Optimal Large Language Models, Hoffmann et al., arXiv, 2022. https://arxiv.org/abs/2203.15556</w:t>
      </w:r>
    </w:p>
    <w:p>
      <w:pPr>
        <w:spacing w:after="140" w:line="269" w:lineRule="auto"/>
      </w:pPr>
      <w:r>
        <w:rPr>
          <w:rFonts w:ascii="Apple SD Gothic Neo" w:hAnsi="Apple SD Gothic Neo"/>
          <w:sz w:val="20"/>
        </w:rPr>
        <w:t>- EPOCH_TRAIN: Training compute of frontier AI models grows by 4-5x per year, Epoch AI, 2024. https://epoch.ai/blog/training-compute-of-frontier-ai-models-grows-by-4-5x-per-year</w:t>
      </w:r>
    </w:p>
    <w:p>
      <w:pPr>
        <w:spacing w:after="140" w:line="269" w:lineRule="auto"/>
      </w:pPr>
      <w:r>
        <w:rPr>
          <w:rFonts w:ascii="Apple SD Gothic Neo" w:hAnsi="Apple SD Gothic Neo"/>
          <w:sz w:val="20"/>
        </w:rPr>
        <w:t>- EPOCH_POWER: How much power will frontier AI training demand in 2030?, Epoch AI, 2025. https://epoch.ai/blog/power-demands-of-frontier-ai-training/</w:t>
      </w:r>
    </w:p>
    <w:p>
      <w:pPr>
        <w:spacing w:after="140" w:line="269" w:lineRule="auto"/>
      </w:pPr>
      <w:r>
        <w:rPr>
          <w:rFonts w:ascii="Apple SD Gothic Neo" w:hAnsi="Apple SD Gothic Neo"/>
          <w:sz w:val="20"/>
        </w:rPr>
        <w:t>- AWS_RAINIER: AWS activates Project Rainier, Amazon, 2025. https://www.aboutamazon.com/news/aws/aws-project-rainier-ai-trainium-chips-compute-cluster</w:t>
      </w:r>
    </w:p>
    <w:p>
      <w:pPr>
        <w:spacing w:after="140" w:line="269" w:lineRule="auto"/>
      </w:pPr>
      <w:r>
        <w:rPr>
          <w:rFonts w:ascii="Apple SD Gothic Neo" w:hAnsi="Apple SD Gothic Neo"/>
          <w:sz w:val="20"/>
        </w:rPr>
        <w:t>- GOOGLE_TPU_V5E: Cloud TPU v5e documentation, Google Cloud, accessed 2026-05-15. https://docs.cloud.google.com/tpu/docs/v5e</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