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65D"/>
          <w:sz w:val="56"/>
        </w:rPr>
        <w:t>AI 공급망 인텔리전스 컨설팅</w:t>
      </w:r>
    </w:p>
    <w:p>
      <w:pPr>
        <w:jc w:val="center"/>
      </w:pPr>
      <w:r>
        <w:rPr>
          <w:b/>
          <w:color w:val="DD6B20"/>
          <w:sz w:val="44"/>
        </w:rPr>
        <w:t>최 종 보 고 서</w:t>
      </w:r>
    </w:p>
    <w:p/>
    <w:p>
      <w:pPr>
        <w:jc w:val="center"/>
      </w:pPr>
      <w:r>
        <w:rPr>
          <w:color w:val="718096"/>
          <w:sz w:val="24"/>
        </w:rPr>
        <w:t>보고일: 2026년 04월 09일   |   분석 범위: 2026년 Q1 기준</w:t>
      </w:r>
    </w:p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120"/>
      </w:pPr>
      <w:r>
        <w:rPr>
          <w:color w:val="1A365D"/>
        </w:rPr>
        <w:t>1. 경영진 요약 (Executive Summary)</w:t>
      </w:r>
    </w:p>
    <w:p>
      <w:pPr>
        <w:spacing w:after="80"/>
      </w:pPr>
      <w:r>
        <w:t>본 보고서는 AI 인프라 공급망 전체를 14개 레이어·61개 기업으로 매핑하고, Bottom-up 정량 모델을 통해 2026~2028년 수요를 예측하며, 현재 병목 구조를 분석하여 Phase별 투자 시그널을 도출한 종합 컨설팅 결과물입니다.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65D"/>
          </w:tcPr>
          <w:p>
            <w:r/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$392B</w:t>
            </w:r>
          </w:p>
          <w:p>
            <w:pPr>
              <w:jc w:val="center"/>
            </w:pPr>
            <w:r>
              <w:rPr>
                <w:color w:val="CCDDEE"/>
                <w:sz w:val="16"/>
              </w:rPr>
              <w:t>하이퍼스케일러</w:t>
              <w:br/>
              <w:t>2026 CapEx</w:t>
            </w:r>
          </w:p>
        </w:tc>
        <w:tc>
          <w:tcPr>
            <w:tcW w:type="dxa" w:w="1881"/>
            <w:shd w:val="clear" w:color="auto" w:fill="E53E3E"/>
          </w:tcPr>
          <w:p>
            <w:r/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92%</w:t>
            </w:r>
          </w:p>
          <w:p>
            <w:pPr>
              <w:jc w:val="center"/>
            </w:pPr>
            <w:r>
              <w:rPr>
                <w:color w:val="CCDDEE"/>
                <w:sz w:val="16"/>
              </w:rPr>
              <w:t>HBM 가동률</w:t>
              <w:br/>
              <w:t>(1차 병목)</w:t>
            </w:r>
          </w:p>
        </w:tc>
        <w:tc>
          <w:tcPr>
            <w:tcW w:type="dxa" w:w="1881"/>
            <w:shd w:val="clear" w:color="auto" w:fill="DD6B20"/>
          </w:tcPr>
          <w:p>
            <w:r/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Phase 2~3</w:t>
            </w:r>
          </w:p>
          <w:p>
            <w:pPr>
              <w:jc w:val="center"/>
            </w:pPr>
            <w:r>
              <w:rPr>
                <w:color w:val="CCDDEE"/>
                <w:sz w:val="16"/>
              </w:rPr>
              <w:t>현재</w:t>
              <w:br/>
              <w:t>투자 국면</w:t>
            </w:r>
          </w:p>
        </w:tc>
        <w:tc>
          <w:tcPr>
            <w:tcW w:type="dxa" w:w="1881"/>
            <w:shd w:val="clear" w:color="auto" w:fill="38A169"/>
          </w:tcPr>
          <w:p>
            <w:r/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+40%</w:t>
            </w:r>
          </w:p>
          <w:p>
            <w:pPr>
              <w:jc w:val="center"/>
            </w:pPr>
            <w:r>
              <w:rPr>
                <w:color w:val="CCDDEE"/>
                <w:sz w:val="16"/>
              </w:rPr>
              <w:t>SK Hynix</w:t>
              <w:br/>
              <w:t>Strong Buy</w:t>
            </w:r>
          </w:p>
        </w:tc>
        <w:tc>
          <w:tcPr>
            <w:tcW w:type="dxa" w:w="1881"/>
            <w:shd w:val="clear" w:color="auto" w:fill="805AD5"/>
          </w:tcPr>
          <w:p>
            <w:r/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8개 주제</w:t>
            </w:r>
          </w:p>
          <w:p>
            <w:pPr>
              <w:jc w:val="center"/>
            </w:pPr>
            <w:r>
              <w:rPr>
                <w:color w:val="CCDDEE"/>
                <w:sz w:val="16"/>
              </w:rPr>
              <w:t>커리큘럼</w:t>
              <w:br/>
              <w:t>전 과정 완료</w:t>
            </w:r>
          </w:p>
        </w:tc>
      </w:tr>
    </w:tbl>
    <w:p/>
    <w:p>
      <w:pPr>
        <w:pStyle w:val="Heading2"/>
        <w:spacing w:before="280"/>
      </w:pPr>
      <w:r>
        <w:rPr>
          <w:color w:val="2D3748"/>
        </w:rPr>
        <w:t>핵심 발견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3168"/>
            <w:shd w:val="clear" w:color="auto" w:fill="EBF8FF"/>
          </w:tcPr>
          <w:p>
            <w:r>
              <w:rPr>
                <w:b/>
                <w:sz w:val="20"/>
              </w:rPr>
              <w:t>현재 투자 국면</w:t>
            </w:r>
          </w:p>
        </w:tc>
        <w:tc>
          <w:tcPr>
            <w:tcW w:type="dxa" w:w="6912"/>
            <w:shd w:val="clear" w:color="auto" w:fill="EBF8FF"/>
          </w:tcPr>
          <w:p>
            <w:r>
              <w:rPr>
                <w:sz w:val="20"/>
              </w:rPr>
              <w:t>Phase 2~3 동시 진입기 (HBM·CoWoS 병목 진행 중 + 전력 인프라 병목 개시)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20"/>
              </w:rPr>
              <w:t>1차 병목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HBM — 92% 가동률, SK Hynix 50% 독점, 해소까지 18개월</w:t>
            </w:r>
          </w:p>
        </w:tc>
      </w:tr>
      <w:tr>
        <w:tc>
          <w:tcPr>
            <w:tcW w:type="dxa" w:w="3168"/>
            <w:shd w:val="clear" w:color="auto" w:fill="EBF8FF"/>
          </w:tcPr>
          <w:p>
            <w:r>
              <w:rPr>
                <w:b/>
                <w:sz w:val="20"/>
              </w:rPr>
              <w:t>2차 병목</w:t>
            </w:r>
          </w:p>
        </w:tc>
        <w:tc>
          <w:tcPr>
            <w:tcW w:type="dxa" w:w="6912"/>
            <w:shd w:val="clear" w:color="auto" w:fill="EBF8FF"/>
          </w:tcPr>
          <w:p>
            <w:r>
              <w:rPr>
                <w:sz w:val="20"/>
              </w:rPr>
              <w:t>전력 인프라 — 85% 가동률, 트랜스포머 납기 30개월, 해소까지 24개월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20"/>
              </w:rPr>
              <w:t>3차 병목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CoWoS 패키징 — 88% 가동률, TSMC 독점, 12~18개월 캐파 확장 중</w:t>
            </w:r>
          </w:p>
        </w:tc>
      </w:tr>
      <w:tr>
        <w:tc>
          <w:tcPr>
            <w:tcW w:type="dxa" w:w="3168"/>
            <w:shd w:val="clear" w:color="auto" w:fill="EBF8FF"/>
          </w:tcPr>
          <w:p>
            <w:r>
              <w:rPr>
                <w:b/>
                <w:sz w:val="20"/>
              </w:rPr>
              <w:t>CapEx 규모</w:t>
            </w:r>
          </w:p>
        </w:tc>
        <w:tc>
          <w:tcPr>
            <w:tcW w:type="dxa" w:w="6912"/>
            <w:shd w:val="clear" w:color="auto" w:fill="EBF8FF"/>
          </w:tcPr>
          <w:p>
            <w:r>
              <w:rPr>
                <w:sz w:val="20"/>
              </w:rPr>
              <w:t>하이퍼스케일러 5개사 2025년 합계 $340B → 2026년 $392B (+15%)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20"/>
              </w:rPr>
              <w:t>최고 시그널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SK Hynix (Strong Buy +40%) — HBM3e 공급 독점 + GB200 핵심 수혜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color w:val="1A365D"/>
        </w:rPr>
        <w:t>2. 하이퍼스케일러 AI CapEx 분석</w:t>
      </w:r>
    </w:p>
    <w:p>
      <w:pPr>
        <w:spacing w:after="80"/>
      </w:pPr>
      <w:r>
        <w:t>글로벌 AI 인프라 투자의 핵심 드라이버는 하이퍼스케일러 5개사(Microsoft, Amazon, Google, Meta, xAI)의 데이터센터 CapEx입니다. 2025년 합계 $340B에서 2026년 $392B으로 15.2% 성장이 예상됩니다.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351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2025 (실적, $B)</w:t>
            </w:r>
          </w:p>
        </w:tc>
        <w:tc>
          <w:tcPr>
            <w:tcW w:type="dxa" w:w="2351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2026 (가이던스, $B)</w:t>
            </w:r>
          </w:p>
        </w:tc>
        <w:tc>
          <w:tcPr>
            <w:tcW w:type="dxa" w:w="2351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전략 방향</w:t>
            </w:r>
          </w:p>
        </w:tc>
      </w:tr>
      <w:tr>
        <w:tc>
          <w:tcPr>
            <w:tcW w:type="dxa" w:w="2351"/>
            <w:shd w:val="clear" w:color="auto" w:fill="EBF8FF"/>
          </w:tcPr>
          <w:p>
            <w:r>
              <w:rPr>
                <w:b/>
                <w:sz w:val="20"/>
              </w:rPr>
              <w:t>Microsoft</w:t>
            </w:r>
          </w:p>
        </w:tc>
        <w:tc>
          <w:tcPr>
            <w:tcW w:type="dxa" w:w="2351"/>
            <w:shd w:val="clear" w:color="auto" w:fill="EBF8FF"/>
          </w:tcPr>
          <w:p>
            <w:r>
              <w:rPr>
                <w:sz w:val="20"/>
              </w:rPr>
              <w:t>$80B</w:t>
            </w:r>
          </w:p>
        </w:tc>
        <w:tc>
          <w:tcPr>
            <w:tcW w:type="dxa" w:w="2351"/>
            <w:shd w:val="clear" w:color="auto" w:fill="EBF8FF"/>
          </w:tcPr>
          <w:p>
            <w:r>
              <w:rPr>
                <w:sz w:val="20"/>
              </w:rPr>
              <w:t>$90B (+12%)</w:t>
            </w:r>
          </w:p>
        </w:tc>
        <w:tc>
          <w:tcPr>
            <w:tcW w:type="dxa" w:w="2351"/>
            <w:shd w:val="clear" w:color="auto" w:fill="EBF8FF"/>
          </w:tcPr>
          <w:p>
            <w:r>
              <w:rPr>
                <w:sz w:val="20"/>
              </w:rPr>
              <w:t>Azure AI + OpenAI 인프라 확장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Amazon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$105B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$120B (+14%)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AWS Trainium/Inferentia 자체 칩 확대</w:t>
            </w:r>
          </w:p>
        </w:tc>
      </w:tr>
      <w:tr>
        <w:tc>
          <w:tcPr>
            <w:tcW w:type="dxa" w:w="2351"/>
            <w:shd w:val="clear" w:color="auto" w:fill="EBF8FF"/>
          </w:tcPr>
          <w:p>
            <w:r>
              <w:rPr>
                <w:b/>
                <w:sz w:val="20"/>
              </w:rPr>
              <w:t>Google</w:t>
            </w:r>
          </w:p>
        </w:tc>
        <w:tc>
          <w:tcPr>
            <w:tcW w:type="dxa" w:w="2351"/>
            <w:shd w:val="clear" w:color="auto" w:fill="EBF8FF"/>
          </w:tcPr>
          <w:p>
            <w:r>
              <w:rPr>
                <w:sz w:val="20"/>
              </w:rPr>
              <w:t>$75B</w:t>
            </w:r>
          </w:p>
        </w:tc>
        <w:tc>
          <w:tcPr>
            <w:tcW w:type="dxa" w:w="2351"/>
            <w:shd w:val="clear" w:color="auto" w:fill="EBF8FF"/>
          </w:tcPr>
          <w:p>
            <w:r>
              <w:rPr>
                <w:sz w:val="20"/>
              </w:rPr>
              <w:t>$85B (+13%)</w:t>
            </w:r>
          </w:p>
        </w:tc>
        <w:tc>
          <w:tcPr>
            <w:tcW w:type="dxa" w:w="2351"/>
            <w:shd w:val="clear" w:color="auto" w:fill="EBF8FF"/>
          </w:tcPr>
          <w:p>
            <w:r>
              <w:rPr>
                <w:sz w:val="20"/>
              </w:rPr>
              <w:t>TPU v5 + Gemini 인프라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Meta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$65B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$72B (+10%)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Llama 오픈소스 + 자체 MTIA 칩</w:t>
            </w:r>
          </w:p>
        </w:tc>
      </w:tr>
      <w:tr>
        <w:tc>
          <w:tcPr>
            <w:tcW w:type="dxa" w:w="2351"/>
            <w:shd w:val="clear" w:color="auto" w:fill="EBF8FF"/>
          </w:tcPr>
          <w:p>
            <w:r>
              <w:rPr>
                <w:b/>
                <w:sz w:val="20"/>
              </w:rPr>
              <w:t>xAI</w:t>
            </w:r>
          </w:p>
        </w:tc>
        <w:tc>
          <w:tcPr>
            <w:tcW w:type="dxa" w:w="2351"/>
            <w:shd w:val="clear" w:color="auto" w:fill="EBF8FF"/>
          </w:tcPr>
          <w:p>
            <w:r>
              <w:rPr>
                <w:sz w:val="20"/>
              </w:rPr>
              <w:t>$15B</w:t>
            </w:r>
          </w:p>
        </w:tc>
        <w:tc>
          <w:tcPr>
            <w:tcW w:type="dxa" w:w="2351"/>
            <w:shd w:val="clear" w:color="auto" w:fill="EBF8FF"/>
          </w:tcPr>
          <w:p>
            <w:r>
              <w:rPr>
                <w:sz w:val="20"/>
              </w:rPr>
              <w:t>$25B (+66%)</w:t>
            </w:r>
          </w:p>
        </w:tc>
        <w:tc>
          <w:tcPr>
            <w:tcW w:type="dxa" w:w="2351"/>
            <w:shd w:val="clear" w:color="auto" w:fill="EBF8FF"/>
          </w:tcPr>
          <w:p>
            <w:r>
              <w:rPr>
                <w:sz w:val="20"/>
              </w:rPr>
              <w:t>Grok 모델 + Colossus 클러스터</w:t>
            </w:r>
          </w:p>
        </w:tc>
      </w:tr>
      <w:tr>
        <w:tc>
          <w:tcPr>
            <w:tcW w:type="dxa" w:w="2351"/>
            <w:shd w:val="clear" w:color="auto" w:fill="2D3748"/>
          </w:tcPr>
          <w:p>
            <w:r>
              <w:rPr>
                <w:b/>
                <w:color w:val="FFFFFF"/>
                <w:sz w:val="20"/>
              </w:rPr>
              <w:t>합계</w:t>
            </w:r>
          </w:p>
        </w:tc>
        <w:tc>
          <w:tcPr>
            <w:tcW w:type="dxa" w:w="2351"/>
            <w:shd w:val="clear" w:color="auto" w:fill="2D3748"/>
          </w:tcPr>
          <w:p>
            <w:r>
              <w:rPr>
                <w:b/>
                <w:color w:val="FFFFFF"/>
                <w:sz w:val="20"/>
              </w:rPr>
              <w:t>$340B</w:t>
            </w:r>
          </w:p>
        </w:tc>
        <w:tc>
          <w:tcPr>
            <w:tcW w:type="dxa" w:w="2351"/>
            <w:shd w:val="clear" w:color="auto" w:fill="2D3748"/>
          </w:tcPr>
          <w:p>
            <w:r>
              <w:rPr>
                <w:b/>
                <w:color w:val="FFFFFF"/>
                <w:sz w:val="20"/>
              </w:rPr>
              <w:t>$392B (+15%)</w:t>
            </w:r>
          </w:p>
        </w:tc>
        <w:tc>
          <w:tcPr>
            <w:tcW w:type="dxa" w:w="2351"/>
            <w:shd w:val="clear" w:color="auto" w:fill="2D3748"/>
          </w:tcPr>
          <w:p>
            <w:r>
              <w:rPr>
                <w:b/>
                <w:color w:val="FFFFFF"/>
                <w:sz w:val="20"/>
              </w:rPr>
              <w:t>AI 인프라 전방위 투자 집행</w:t>
            </w:r>
          </w:p>
        </w:tc>
      </w:tr>
    </w:tbl>
    <w:p/>
    <w:p>
      <w:pPr>
        <w:spacing w:after="80"/>
      </w:pPr>
      <w:r>
        <w:t>주목 포인트:</w:t>
      </w:r>
    </w:p>
    <w:p>
      <w:pPr>
        <w:pStyle w:val="ListBullet"/>
        <w:spacing w:after="40"/>
        <w:ind w:left="360"/>
      </w:pPr>
      <w:r>
        <w:t>Amazon: AWS Trainium/Inferentia 자체 칩 확대로 NVIDIA 의존도 분산 — Marvell 수혜</w:t>
      </w:r>
    </w:p>
    <w:p>
      <w:pPr>
        <w:pStyle w:val="ListBullet"/>
        <w:spacing w:after="40"/>
        <w:ind w:left="360"/>
      </w:pPr>
      <w:r>
        <w:t>Microsoft: OpenAI 파트너십 유지 + 자체 Maia 칩 개발 병행 (2026 양산 예정)</w:t>
      </w:r>
    </w:p>
    <w:p>
      <w:pPr>
        <w:pStyle w:val="ListBullet"/>
        <w:spacing w:after="40"/>
        <w:ind w:left="360"/>
      </w:pPr>
      <w:r>
        <w:t>xAI: Grok 모델 학습용 Colossus 클러스터 ($25B) — NAND/HBM 수요 급증 촉발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65D"/>
        </w:rPr>
        <w:t>3. AI 공급망 병목 분석</w:t>
      </w:r>
    </w:p>
    <w:p>
      <w:pPr>
        <w:spacing w:after="80"/>
      </w:pPr>
      <w:r>
        <w:t>AI 공급망 14개 레이어를 분석한 결과, 현재 가장 심각한 병목은 HBM(92%)·CoWoS(88%)·전력 인프라(85%)의 3중 병목 구조입니다. 특히 HBM과 CoWoS는 상호 연결된 '공동 병목(Co-bottleneck)'으로 동시 해소가 필요합니다.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1881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가동률</w:t>
            </w:r>
          </w:p>
        </w:tc>
        <w:tc>
          <w:tcPr>
            <w:tcW w:type="dxa" w:w="1881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1881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핵심 설명</w:t>
            </w:r>
          </w:p>
        </w:tc>
        <w:tc>
          <w:tcPr>
            <w:tcW w:type="dxa" w:w="1881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해소 예상</w:t>
            </w:r>
          </w:p>
        </w:tc>
      </w:tr>
      <w:tr>
        <w:tc>
          <w:tcPr>
            <w:tcW w:type="dxa" w:w="1881"/>
            <w:shd w:val="clear" w:color="auto" w:fill="FFF5F5"/>
          </w:tcPr>
          <w:p>
            <w:r>
              <w:rPr>
                <w:b/>
                <w:sz w:val="20"/>
              </w:rPr>
              <w:t>HBM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92%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⚠️ 위험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SK Hynix 독점 수혜 · GB200 NVL72 전용 공급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18개월</w:t>
            </w:r>
          </w:p>
        </w:tc>
      </w:tr>
      <w:tr>
        <w:tc>
          <w:tcPr>
            <w:tcW w:type="dxa" w:w="1881"/>
            <w:shd w:val="clear" w:color="auto" w:fill="FFF5F5"/>
          </w:tcPr>
          <w:p>
            <w:r>
              <w:rPr>
                <w:b/>
                <w:sz w:val="20"/>
              </w:rPr>
              <w:t>CoWoS 패키징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88%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⚠️ 위험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TSMC 독점 · 120K wpm(2026) 캐파 확대 중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12개월</w:t>
            </w:r>
          </w:p>
        </w:tc>
      </w:tr>
      <w:tr>
        <w:tc>
          <w:tcPr>
            <w:tcW w:type="dxa" w:w="1881"/>
            <w:shd w:val="clear" w:color="auto" w:fill="FFFAF0"/>
          </w:tcPr>
          <w:p>
            <w:r>
              <w:rPr>
                <w:b/>
                <w:sz w:val="20"/>
              </w:rPr>
              <w:t>전력 인프라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⚡ 경고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트랜스포머 납기 30개월 · 냉각 솔루션 병목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24개월</w:t>
            </w:r>
          </w:p>
        </w:tc>
      </w:tr>
      <w:tr>
        <w:tc>
          <w:tcPr>
            <w:tcW w:type="dxa" w:w="1881"/>
            <w:shd w:val="clear" w:color="auto" w:fill="FFF5F5"/>
          </w:tcPr>
          <w:p>
            <w:r>
              <w:rPr>
                <w:b/>
                <w:sz w:val="20"/>
              </w:rPr>
              <w:t>GPU 컴퓨팅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88%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⚠️ 위험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H100→B200 전환 · AMD MI300X 공급 증가</w:t>
            </w:r>
          </w:p>
        </w:tc>
        <w:tc>
          <w:tcPr>
            <w:tcW w:type="dxa" w:w="1881"/>
            <w:shd w:val="clear" w:color="auto" w:fill="FFF5F5"/>
          </w:tcPr>
          <w:p>
            <w:r>
              <w:rPr>
                <w:sz w:val="20"/>
              </w:rPr>
              <w:t>9개월</w:t>
            </w:r>
          </w:p>
        </w:tc>
      </w:tr>
      <w:tr>
        <w:tc>
          <w:tcPr>
            <w:tcW w:type="dxa" w:w="1881"/>
            <w:shd w:val="clear" w:color="auto" w:fill="FFFAF0"/>
          </w:tcPr>
          <w:p>
            <w:r>
              <w:rPr>
                <w:b/>
                <w:sz w:val="20"/>
              </w:rPr>
              <w:t>AI 네트워킹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72%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⚡ 경고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400G/800G InfiniBand 교체 사이클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6개월</w:t>
            </w:r>
          </w:p>
        </w:tc>
      </w:tr>
      <w:tr>
        <w:tc>
          <w:tcPr>
            <w:tcW w:type="dxa" w:w="1881"/>
            <w:shd w:val="clear" w:color="auto" w:fill="FFFAF0"/>
          </w:tcPr>
          <w:p>
            <w:r>
              <w:rPr>
                <w:b/>
                <w:sz w:val="20"/>
              </w:rPr>
              <w:t>첨단 파운드리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78%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⚡ 경고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TSMC N3/N2 수요 집중 · CoWoS 연동 병목</w:t>
            </w:r>
          </w:p>
        </w:tc>
        <w:tc>
          <w:tcPr>
            <w:tcW w:type="dxa" w:w="1881"/>
            <w:shd w:val="clear" w:color="auto" w:fill="FFFAF0"/>
          </w:tcPr>
          <w:p>
            <w:r>
              <w:rPr>
                <w:sz w:val="20"/>
              </w:rPr>
              <w:t>18개월</w:t>
            </w:r>
          </w:p>
        </w:tc>
      </w:tr>
    </w:tbl>
    <w:p/>
    <w:p>
      <w:pPr>
        <w:pStyle w:val="Heading2"/>
        <w:spacing w:before="280"/>
      </w:pPr>
      <w:r>
        <w:rPr>
          <w:color w:val="2D3748"/>
        </w:rPr>
        <w:t>병목 카스케이드 메커니즘</w:t>
      </w:r>
    </w:p>
    <w:p>
      <w:pPr>
        <w:spacing w:after="80"/>
      </w:pPr>
      <w:r>
        <w:t>병목은 순차적으로 이동하는 '카스케이드' 구조를 보입니다:</w:t>
      </w:r>
    </w:p>
    <w:p>
      <w:pPr>
        <w:pStyle w:val="ListBullet"/>
        <w:spacing w:after="40"/>
        <w:ind w:left="360"/>
      </w:pPr>
      <w:r>
        <w:t>Phase 1 (2023~2024): GPU 공급 부족 → H100 waiting list 12개월+</w:t>
      </w:r>
    </w:p>
    <w:p>
      <w:pPr>
        <w:pStyle w:val="ListBullet"/>
        <w:spacing w:after="40"/>
        <w:ind w:left="360"/>
      </w:pPr>
      <w:r>
        <w:t>Phase 2 (2024~2026 현재): HBM·CoWoS 병목 — AI칩 성능 限界 = 패키징·메모리 한계</w:t>
      </w:r>
    </w:p>
    <w:p>
      <w:pPr>
        <w:pStyle w:val="ListBullet"/>
        <w:spacing w:after="40"/>
        <w:ind w:left="360"/>
      </w:pPr>
      <w:r>
        <w:t>Phase 3 (2026~2027 진입 중): 전력 인프라 — 데이터센터 전력 수요 2배, 트랜스포머 납기 30개월</w:t>
      </w:r>
    </w:p>
    <w:p>
      <w:pPr>
        <w:pStyle w:val="ListBullet"/>
        <w:spacing w:after="40"/>
        <w:ind w:left="360"/>
      </w:pPr>
      <w:r>
        <w:t>Phase 4 (2027~2028): 엣지 AI — 온디바이스 추론 확산, AI PC·스마트폰 NPU 업그레이드 사이클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65D"/>
        </w:rPr>
        <w:t>4. 정량 수요 모델 (2026 기준)</w:t>
      </w:r>
    </w:p>
    <w:p>
      <w:pPr>
        <w:pStyle w:val="Heading2"/>
        <w:spacing w:before="280"/>
      </w:pPr>
      <w:r>
        <w:rPr>
          <w:color w:val="2D3748"/>
        </w:rPr>
        <w:t>4.1 핵심 수식</w:t>
      </w:r>
    </w:p>
    <w:p>
      <w:pPr>
        <w:spacing w:after="80"/>
      </w:pPr>
      <w:r>
        <w:t>Bottom-up 정량 모델은 AI 서비스 Token 수요에서 출발하여 공급망 전체를 역산합니다.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Token → GPU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20"/>
              </w:rPr>
              <w:t>GPU 수 = 토큰/일 ÷ (GPU당 토큰/초 × 가동률)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GPU → HBM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20"/>
              </w:rPr>
              <w:t>HBM(GB) = GPU 수 × GPU당 HBM 용량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KV Cache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20"/>
              </w:rPr>
              <w:t>KV Cache = 컨텍스트 × 사용자 × 2(byte) × 2(K+V)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SSD 수요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20"/>
              </w:rPr>
              <w:t>SSD(TB) = RAG 토큰 수 × byte/token × retention days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전력 수요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20"/>
              </w:rPr>
              <w:t>전력(MW) = GPU 수 × TDP(W) × 1.3(overhead) × PUE ÷ 10⁶</w:t>
            </w:r>
          </w:p>
        </w:tc>
      </w:tr>
    </w:tbl>
    <w:p/>
    <w:p>
      <w:pPr>
        <w:pStyle w:val="Heading2"/>
        <w:spacing w:before="280"/>
      </w:pPr>
      <w:r>
        <w:rPr>
          <w:color w:val="2D3748"/>
        </w:rPr>
        <w:t>4.2 시나리오별 결과 (2026E)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D3748"/>
          </w:tcPr>
          <w:p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344"/>
            <w:shd w:val="clear" w:color="auto" w:fill="2D3748"/>
          </w:tcPr>
          <w:p>
            <w:r>
              <w:rPr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1344"/>
            <w:shd w:val="clear" w:color="auto" w:fill="2D3748"/>
          </w:tcPr>
          <w:p>
            <w:r>
              <w:rPr>
                <w:b/>
                <w:color w:val="FFFFFF"/>
                <w:sz w:val="20"/>
              </w:rPr>
              <w:t>토큰/일</w:t>
            </w:r>
          </w:p>
        </w:tc>
        <w:tc>
          <w:tcPr>
            <w:tcW w:type="dxa" w:w="1344"/>
            <w:shd w:val="clear" w:color="auto" w:fill="2D3748"/>
          </w:tcPr>
          <w:p>
            <w:r>
              <w:rPr>
                <w:b/>
                <w:color w:val="FFFFFF"/>
                <w:sz w:val="20"/>
              </w:rPr>
              <w:t>GPU</w:t>
            </w:r>
          </w:p>
        </w:tc>
        <w:tc>
          <w:tcPr>
            <w:tcW w:type="dxa" w:w="1344"/>
            <w:shd w:val="clear" w:color="auto" w:fill="2D3748"/>
          </w:tcPr>
          <w:p>
            <w:r>
              <w:rPr>
                <w:b/>
                <w:color w:val="FFFFFF"/>
                <w:sz w:val="20"/>
              </w:rPr>
              <w:t>HBM</w:t>
            </w:r>
          </w:p>
        </w:tc>
        <w:tc>
          <w:tcPr>
            <w:tcW w:type="dxa" w:w="1344"/>
            <w:shd w:val="clear" w:color="auto" w:fill="2D3748"/>
          </w:tcPr>
          <w:p>
            <w:r>
              <w:rPr>
                <w:b/>
                <w:color w:val="FFFFFF"/>
                <w:sz w:val="20"/>
              </w:rPr>
              <w:t>전력</w:t>
            </w:r>
          </w:p>
        </w:tc>
        <w:tc>
          <w:tcPr>
            <w:tcW w:type="dxa" w:w="1344"/>
            <w:shd w:val="clear" w:color="auto" w:fill="2D3748"/>
          </w:tcPr>
          <w:p>
            <w:r>
              <w:rPr>
                <w:b/>
                <w:color w:val="FFFFFF"/>
                <w:sz w:val="20"/>
              </w:rPr>
              <w:t>SSD</w:t>
            </w:r>
          </w:p>
        </w:tc>
      </w:tr>
      <w:tr>
        <w:tc>
          <w:tcPr>
            <w:tcW w:type="dxa" w:w="1344"/>
            <w:shd w:val="clear" w:color="auto" w:fill="FFF5F5"/>
          </w:tcPr>
          <w:p>
            <w:r>
              <w:rPr>
                <w:b/>
                <w:sz w:val="20"/>
              </w:rPr>
              <w:t>Bear</w:t>
            </w:r>
          </w:p>
        </w:tc>
        <w:tc>
          <w:tcPr>
            <w:tcW w:type="dxa" w:w="1344"/>
            <w:shd w:val="clear" w:color="auto" w:fill="FFF5F5"/>
          </w:tcPr>
          <w:p>
            <w:r>
              <w:rPr>
                <w:sz w:val="20"/>
              </w:rPr>
              <w:t>공급 확대·경기 침체</w:t>
            </w:r>
          </w:p>
        </w:tc>
        <w:tc>
          <w:tcPr>
            <w:tcW w:type="dxa" w:w="1344"/>
            <w:shd w:val="clear" w:color="auto" w:fill="FFF5F5"/>
          </w:tcPr>
          <w:p>
            <w:r>
              <w:rPr>
                <w:sz w:val="20"/>
              </w:rPr>
              <w:t>0.6T</w:t>
            </w:r>
          </w:p>
        </w:tc>
        <w:tc>
          <w:tcPr>
            <w:tcW w:type="dxa" w:w="1344"/>
            <w:shd w:val="clear" w:color="auto" w:fill="FFF5F5"/>
          </w:tcPr>
          <w:p>
            <w:r>
              <w:rPr>
                <w:sz w:val="20"/>
              </w:rPr>
              <w:t>650K</w:t>
            </w:r>
          </w:p>
        </w:tc>
        <w:tc>
          <w:tcPr>
            <w:tcW w:type="dxa" w:w="1344"/>
            <w:shd w:val="clear" w:color="auto" w:fill="FFF5F5"/>
          </w:tcPr>
          <w:p>
            <w:r>
              <w:rPr>
                <w:sz w:val="20"/>
              </w:rPr>
              <w:t>95PB</w:t>
            </w:r>
          </w:p>
        </w:tc>
        <w:tc>
          <w:tcPr>
            <w:tcW w:type="dxa" w:w="1344"/>
            <w:shd w:val="clear" w:color="auto" w:fill="FFF5F5"/>
          </w:tcPr>
          <w:p>
            <w:r>
              <w:rPr>
                <w:sz w:val="20"/>
              </w:rPr>
              <w:t>60GW</w:t>
            </w:r>
          </w:p>
        </w:tc>
        <w:tc>
          <w:tcPr>
            <w:tcW w:type="dxa" w:w="1344"/>
            <w:shd w:val="clear" w:color="auto" w:fill="FFF5F5"/>
          </w:tcPr>
          <w:p>
            <w:r>
              <w:rPr>
                <w:sz w:val="20"/>
              </w:rPr>
              <w:t>1.4EB</w:t>
            </w:r>
          </w:p>
        </w:tc>
      </w:tr>
      <w:tr>
        <w:tc>
          <w:tcPr>
            <w:tcW w:type="dxa" w:w="1344"/>
            <w:shd w:val="clear" w:color="auto" w:fill="EBF8FF"/>
          </w:tcPr>
          <w:p>
            <w:r>
              <w:rPr>
                <w:b/>
                <w:sz w:val="20"/>
              </w:rPr>
              <w:t>Base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20"/>
              </w:rPr>
              <w:t>AI 수요 지속 성장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20"/>
              </w:rPr>
              <w:t>1.8T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20"/>
              </w:rPr>
              <w:t>890K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20"/>
              </w:rPr>
              <w:t>142PB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20"/>
              </w:rPr>
              <w:t>85GW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20"/>
              </w:rPr>
              <w:t>2.1EB</w:t>
            </w:r>
          </w:p>
        </w:tc>
      </w:tr>
      <w:tr>
        <w:tc>
          <w:tcPr>
            <w:tcW w:type="dxa" w:w="1344"/>
            <w:shd w:val="clear" w:color="auto" w:fill="F0FFF4"/>
          </w:tcPr>
          <w:p>
            <w:r>
              <w:rPr>
                <w:b/>
                <w:sz w:val="20"/>
              </w:rPr>
              <w:t>Bull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sz w:val="20"/>
              </w:rPr>
              <w:t>AGI 진입·제약 無스케일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sz w:val="20"/>
              </w:rPr>
              <w:t>4.2T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sz w:val="20"/>
              </w:rPr>
              <w:t>1.5M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sz w:val="20"/>
              </w:rPr>
              <w:t>245PB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sz w:val="20"/>
              </w:rPr>
              <w:t>160GW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sz w:val="20"/>
              </w:rPr>
              <w:t>4.0EB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color w:val="1A365D"/>
        </w:rPr>
        <w:t>5. 투자 Phase 로드맵</w:t>
      </w:r>
    </w:p>
    <w:p>
      <w:pPr>
        <w:spacing w:after="80"/>
      </w:pPr>
      <w:r>
        <w:t>AI 공급망 투자는 병목 카스케이드를 따라 단계적으로 이동합니다. 현재는 Phase 2(HBM·패키징)와 Phase 3(전력 인프라)가 동시 진행 중인 가장 밀집된 투자 구간입니다.</w:t>
      </w:r>
    </w:p>
    <w:p/>
    <w:p>
      <w:pPr>
        <w:pStyle w:val="Heading3"/>
      </w:pPr>
      <w:r>
        <w:rPr>
          <w:color w:val="3182CE"/>
        </w:rPr>
        <w:t xml:space="preserve">Phase 1: GPU 컴퓨팅  </w:t>
      </w:r>
    </w:p>
    <w:p>
      <w:pPr>
        <w:spacing w:after="80"/>
      </w:pPr>
      <w:r>
        <w:t>투자 기간: 2023~2024</w:t>
      </w:r>
    </w:p>
    <w:p>
      <w:pPr>
        <w:spacing w:after="80"/>
      </w:pPr>
      <w:r>
        <w:t>H100 공급 부족 해소 진행 중</w:t>
      </w:r>
    </w:p>
    <w:p>
      <w:pPr>
        <w:spacing w:after="80"/>
      </w:pPr>
      <w:r>
        <w:rPr>
          <w:b/>
        </w:rPr>
        <w:t>핵심 투자처: NVDA (Hold)</w:t>
      </w:r>
    </w:p>
    <w:p/>
    <w:p>
      <w:pPr>
        <w:pStyle w:val="Heading3"/>
      </w:pPr>
      <w:r>
        <w:rPr>
          <w:color w:val="3182CE"/>
        </w:rPr>
        <w:t>Phase 2: HBM &amp; 패키징  ★ [현재 진입]</w:t>
      </w:r>
    </w:p>
    <w:p>
      <w:pPr>
        <w:spacing w:after="80"/>
      </w:pPr>
      <w:r>
        <w:t>투자 기간: 2024~2026★</w:t>
      </w:r>
    </w:p>
    <w:p>
      <w:pPr>
        <w:spacing w:after="80"/>
      </w:pPr>
      <w:r>
        <w:t>현재 가장 타이트한 병목 구간</w:t>
      </w:r>
    </w:p>
    <w:p>
      <w:pPr>
        <w:spacing w:after="80"/>
      </w:pPr>
      <w:r>
        <w:rPr>
          <w:b/>
        </w:rPr>
        <w:t>핵심 투자처: SK Hynix, TSMC, Micron, Broadcom, Marvell</w:t>
      </w:r>
    </w:p>
    <w:p/>
    <w:p>
      <w:pPr>
        <w:pStyle w:val="Heading3"/>
      </w:pPr>
      <w:r>
        <w:rPr>
          <w:color w:val="3182CE"/>
        </w:rPr>
        <w:t>Phase 3: 전력 인프라  ★ [현재 진입]</w:t>
      </w:r>
    </w:p>
    <w:p>
      <w:pPr>
        <w:spacing w:after="80"/>
      </w:pPr>
      <w:r>
        <w:t>투자 기간: 2026~2027★</w:t>
      </w:r>
    </w:p>
    <w:p>
      <w:pPr>
        <w:spacing w:after="80"/>
      </w:pPr>
      <w:r>
        <w:t>2차 병목 진입 중, 24개월 해소</w:t>
      </w:r>
    </w:p>
    <w:p>
      <w:pPr>
        <w:spacing w:after="80"/>
      </w:pPr>
      <w:r>
        <w:rPr>
          <w:b/>
        </w:rPr>
        <w:t>핵심 투자처: Vertiv, GE Vernova, Eaton</w:t>
      </w:r>
    </w:p>
    <w:p/>
    <w:p>
      <w:pPr>
        <w:pStyle w:val="Heading3"/>
      </w:pPr>
      <w:r>
        <w:rPr>
          <w:color w:val="3182CE"/>
        </w:rPr>
        <w:t xml:space="preserve">Phase 4: 엣지 AI  </w:t>
      </w:r>
    </w:p>
    <w:p>
      <w:pPr>
        <w:spacing w:after="80"/>
      </w:pPr>
      <w:r>
        <w:t>투자 기간: 2027~2028</w:t>
      </w:r>
    </w:p>
    <w:p>
      <w:pPr>
        <w:spacing w:after="80"/>
      </w:pPr>
      <w:r>
        <w:t>온디바이스 AI 본격화</w:t>
      </w:r>
    </w:p>
    <w:p>
      <w:pPr>
        <w:spacing w:after="80"/>
      </w:pPr>
      <w:r>
        <w:rPr>
          <w:b/>
        </w:rPr>
        <w:t>핵심 투자처: Qualcomm, Apple, ARM</w:t>
      </w:r>
    </w:p>
    <w:p/>
    <w:p>
      <w:r>
        <w:br w:type="page"/>
      </w:r>
    </w:p>
    <w:p>
      <w:pPr>
        <w:pStyle w:val="Heading1"/>
        <w:spacing w:before="360" w:after="120"/>
      </w:pPr>
      <w:r>
        <w:rPr>
          <w:color w:val="1A365D"/>
        </w:rPr>
        <w:t>6. 기업별 투자 시그널 (10개)</w:t>
      </w:r>
    </w:p>
    <w:p>
      <w:pPr>
        <w:spacing w:after="80"/>
      </w:pPr>
      <w:r>
        <w:t>공급망 병목 분석에서 도출된 Bottom-up 투자 시그널입니다. 강도: Strong Buy &gt; Buy &gt; Hold &gt; Watch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A365D"/>
          </w:tcPr>
          <w:p>
            <w:r>
              <w:rPr>
                <w:b/>
                <w:color w:val="FFFFFF"/>
                <w:sz w:val="18"/>
              </w:rPr>
              <w:t>기업</w:t>
            </w:r>
          </w:p>
        </w:tc>
        <w:tc>
          <w:tcPr>
            <w:tcW w:type="dxa" w:w="1344"/>
            <w:shd w:val="clear" w:color="auto" w:fill="1A365D"/>
          </w:tcPr>
          <w:p>
            <w:r>
              <w:rPr>
                <w:b/>
                <w:color w:val="FFFFFF"/>
                <w:sz w:val="18"/>
              </w:rPr>
              <w:t>티커</w:t>
            </w:r>
          </w:p>
        </w:tc>
        <w:tc>
          <w:tcPr>
            <w:tcW w:type="dxa" w:w="1344"/>
            <w:shd w:val="clear" w:color="auto" w:fill="1A365D"/>
          </w:tcPr>
          <w:p>
            <w:r>
              <w:rPr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1344"/>
            <w:shd w:val="clear" w:color="auto" w:fill="1A365D"/>
          </w:tcPr>
          <w:p>
            <w:r>
              <w:rPr>
                <w:b/>
                <w:color w:val="FFFFFF"/>
                <w:sz w:val="18"/>
              </w:rPr>
              <w:t>시그널</w:t>
            </w:r>
          </w:p>
        </w:tc>
        <w:tc>
          <w:tcPr>
            <w:tcW w:type="dxa" w:w="1344"/>
            <w:shd w:val="clear" w:color="auto" w:fill="1A365D"/>
          </w:tcPr>
          <w:p>
            <w:r>
              <w:rPr>
                <w:b/>
                <w:color w:val="FFFFFF"/>
                <w:sz w:val="18"/>
              </w:rPr>
              <w:t>목표수익</w:t>
            </w:r>
          </w:p>
        </w:tc>
        <w:tc>
          <w:tcPr>
            <w:tcW w:type="dxa" w:w="1344"/>
            <w:shd w:val="clear" w:color="auto" w:fill="1A365D"/>
          </w:tcPr>
          <w:p>
            <w:r>
              <w:rPr>
                <w:b/>
                <w:color w:val="FFFFFF"/>
                <w:sz w:val="18"/>
              </w:rPr>
              <w:t>투자 기간</w:t>
            </w:r>
          </w:p>
        </w:tc>
        <w:tc>
          <w:tcPr>
            <w:tcW w:type="dxa" w:w="1344"/>
            <w:shd w:val="clear" w:color="auto" w:fill="1A365D"/>
          </w:tcPr>
          <w:p>
            <w:r>
              <w:rPr>
                <w:b/>
                <w:color w:val="FFFFFF"/>
                <w:sz w:val="18"/>
              </w:rPr>
              <w:t>투자 논거</w:t>
            </w:r>
          </w:p>
        </w:tc>
      </w:tr>
      <w:tr>
        <w:tc>
          <w:tcPr>
            <w:tcW w:type="dxa" w:w="1344"/>
            <w:shd w:val="clear" w:color="auto" w:fill="F0FFF4"/>
          </w:tcPr>
          <w:p>
            <w:r>
              <w:rPr>
                <w:b/>
                <w:sz w:val="18"/>
              </w:rPr>
              <w:t>SK Hynix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sz w:val="18"/>
              </w:rPr>
              <w:t>000660.KS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sz w:val="18"/>
              </w:rPr>
              <w:t>HBM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b/>
                <w:sz w:val="18"/>
              </w:rPr>
              <w:t>Strong Buy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b/>
                <w:sz w:val="18"/>
              </w:rPr>
              <w:t>+40%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sz w:val="18"/>
              </w:rPr>
              <w:t>6~18개월</w:t>
            </w:r>
          </w:p>
        </w:tc>
        <w:tc>
          <w:tcPr>
            <w:tcW w:type="dxa" w:w="1344"/>
            <w:shd w:val="clear" w:color="auto" w:fill="F0FFF4"/>
          </w:tcPr>
          <w:p>
            <w:r>
              <w:rPr>
                <w:sz w:val="18"/>
              </w:rPr>
              <w:t>HBM3e 50% 점유율, GB200 핵심 수혜, HBM4 퀄 2026</w:t>
            </w:r>
          </w:p>
        </w:tc>
      </w:tr>
      <w:tr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Vertiv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VRT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Buy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+35%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6~18개월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DC 전력 병목 직접 수혜, 2026년까지 Sold Out</w:t>
            </w:r>
          </w:p>
        </w:tc>
      </w:tr>
      <w:tr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Marvell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MRVL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AI 네트워킹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Buy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+35%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12~24개월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AWS Trainium3·Google TPU용 커스텀 ASIC</w:t>
            </w:r>
          </w:p>
        </w:tc>
      </w:tr>
      <w:tr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Micron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MU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HBM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Buy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+30%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12~24개월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HBM3e 점유율 10→20%+ 확대, CHIPS Act 수혜</w:t>
            </w:r>
          </w:p>
        </w:tc>
      </w:tr>
      <w:tr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GE Vernova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GEV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Buy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+30%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12~24개월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가스터빈·변압기 납기 30개월, 핵에너지 DC 계약</w:t>
            </w:r>
          </w:p>
        </w:tc>
      </w:tr>
      <w:tr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TSMC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TSM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패키징/파운드리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Buy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+25%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12~36개월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CoWoS 92% 가동률, N3/N2 가격 결정력</w:t>
            </w:r>
          </w:p>
        </w:tc>
      </w:tr>
      <w:tr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Broadcom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AVGO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AI 네트워킹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Buy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+20%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12~24개월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Google/Meta/Apple 커스텀 ASIC, 800G 스위치</w:t>
            </w:r>
          </w:p>
        </w:tc>
      </w:tr>
      <w:tr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Eaton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ETN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Buy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b/>
                <w:sz w:val="18"/>
              </w:rPr>
              <w:t>+20%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12~24개월</w:t>
            </w:r>
          </w:p>
        </w:tc>
        <w:tc>
          <w:tcPr>
            <w:tcW w:type="dxa" w:w="1344"/>
            <w:shd w:val="clear" w:color="auto" w:fill="EBF8FF"/>
          </w:tcPr>
          <w:p>
            <w:r>
              <w:rPr>
                <w:sz w:val="18"/>
              </w:rPr>
              <w:t>DC 전력관리 인프라, UPS·PDU 수요 급증</w:t>
            </w:r>
          </w:p>
        </w:tc>
      </w:tr>
      <w:tr>
        <w:tc>
          <w:tcPr>
            <w:tcW w:type="dxa" w:w="1344"/>
            <w:shd w:val="clear" w:color="auto" w:fill="FFFAF0"/>
          </w:tcPr>
          <w:p>
            <w:r>
              <w:rPr>
                <w:b/>
                <w:sz w:val="18"/>
              </w:rPr>
              <w:t>NVIDIA</w:t>
            </w:r>
          </w:p>
        </w:tc>
        <w:tc>
          <w:tcPr>
            <w:tcW w:type="dxa" w:w="1344"/>
            <w:shd w:val="clear" w:color="auto" w:fill="FFFAF0"/>
          </w:tcPr>
          <w:p>
            <w:r>
              <w:rPr>
                <w:sz w:val="18"/>
              </w:rPr>
              <w:t>NVDA</w:t>
            </w:r>
          </w:p>
        </w:tc>
        <w:tc>
          <w:tcPr>
            <w:tcW w:type="dxa" w:w="1344"/>
            <w:shd w:val="clear" w:color="auto" w:fill="FFFAF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1344"/>
            <w:shd w:val="clear" w:color="auto" w:fill="FFFAF0"/>
          </w:tcPr>
          <w:p>
            <w:r>
              <w:rPr>
                <w:b/>
                <w:sz w:val="18"/>
              </w:rPr>
              <w:t>Hold</w:t>
            </w:r>
          </w:p>
        </w:tc>
        <w:tc>
          <w:tcPr>
            <w:tcW w:type="dxa" w:w="1344"/>
            <w:shd w:val="clear" w:color="auto" w:fill="FFFAF0"/>
          </w:tcPr>
          <w:p>
            <w:r>
              <w:rPr>
                <w:b/>
                <w:sz w:val="18"/>
              </w:rPr>
              <w:t>+15%</w:t>
            </w:r>
          </w:p>
        </w:tc>
        <w:tc>
          <w:tcPr>
            <w:tcW w:type="dxa" w:w="1344"/>
            <w:shd w:val="clear" w:color="auto" w:fill="FFFAF0"/>
          </w:tcPr>
          <w:p>
            <w:r>
              <w:rPr>
                <w:sz w:val="18"/>
              </w:rPr>
              <w:t>24개월+</w:t>
            </w:r>
          </w:p>
        </w:tc>
        <w:tc>
          <w:tcPr>
            <w:tcW w:type="dxa" w:w="1344"/>
            <w:shd w:val="clear" w:color="auto" w:fill="FFFAF0"/>
          </w:tcPr>
          <w:p>
            <w:r>
              <w:rPr>
                <w:sz w:val="18"/>
              </w:rPr>
              <w:t>B200/GB200 플랫폼 전환, Phase 1 밸류 반영</w:t>
            </w:r>
          </w:p>
        </w:tc>
      </w:tr>
      <w:tr>
        <w:tc>
          <w:tcPr>
            <w:tcW w:type="dxa" w:w="1344"/>
            <w:shd w:val="clear" w:color="auto" w:fill="FAF5FF"/>
          </w:tcPr>
          <w:p>
            <w:r>
              <w:rPr>
                <w:b/>
                <w:sz w:val="18"/>
              </w:rPr>
              <w:t>Qualcomm</w:t>
            </w:r>
          </w:p>
        </w:tc>
        <w:tc>
          <w:tcPr>
            <w:tcW w:type="dxa" w:w="1344"/>
            <w:shd w:val="clear" w:color="auto" w:fill="FAF5FF"/>
          </w:tcPr>
          <w:p>
            <w:r>
              <w:rPr>
                <w:sz w:val="18"/>
              </w:rPr>
              <w:t>QCOM</w:t>
            </w:r>
          </w:p>
        </w:tc>
        <w:tc>
          <w:tcPr>
            <w:tcW w:type="dxa" w:w="1344"/>
            <w:shd w:val="clear" w:color="auto" w:fill="FAF5FF"/>
          </w:tcPr>
          <w:p>
            <w:r>
              <w:rPr>
                <w:sz w:val="18"/>
              </w:rPr>
              <w:t>엣지 AI</w:t>
            </w:r>
          </w:p>
        </w:tc>
        <w:tc>
          <w:tcPr>
            <w:tcW w:type="dxa" w:w="1344"/>
            <w:shd w:val="clear" w:color="auto" w:fill="FAF5FF"/>
          </w:tcPr>
          <w:p>
            <w:r>
              <w:rPr>
                <w:b/>
                <w:sz w:val="18"/>
              </w:rPr>
              <w:t>Watch</w:t>
            </w:r>
          </w:p>
        </w:tc>
        <w:tc>
          <w:tcPr>
            <w:tcW w:type="dxa" w:w="1344"/>
            <w:shd w:val="clear" w:color="auto" w:fill="FAF5FF"/>
          </w:tcPr>
          <w:p>
            <w:r>
              <w:rPr>
                <w:b/>
                <w:sz w:val="18"/>
              </w:rPr>
              <w:t>+25%</w:t>
            </w:r>
          </w:p>
        </w:tc>
        <w:tc>
          <w:tcPr>
            <w:tcW w:type="dxa" w:w="1344"/>
            <w:shd w:val="clear" w:color="auto" w:fill="FAF5FF"/>
          </w:tcPr>
          <w:p>
            <w:r>
              <w:rPr>
                <w:sz w:val="18"/>
              </w:rPr>
              <w:t>18~36개월</w:t>
            </w:r>
          </w:p>
        </w:tc>
        <w:tc>
          <w:tcPr>
            <w:tcW w:type="dxa" w:w="1344"/>
            <w:shd w:val="clear" w:color="auto" w:fill="FAF5FF"/>
          </w:tcPr>
          <w:p>
            <w:r>
              <w:rPr>
                <w:sz w:val="18"/>
              </w:rPr>
              <w:t>온디바이스 AI 추론 리더, PC AI 사이클 대기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color w:val="1A365D"/>
        </w:rPr>
        <w:t>7. AI SCM 학습 커리큘럼 — 전 과정 완료</w:t>
      </w:r>
    </w:p>
    <w:p>
      <w:pPr>
        <w:spacing w:after="80"/>
      </w:pPr>
      <w:r>
        <w:t>AI 공급망 인텔리전스 이해를 위한 8개 전략 주제를 Lv.1(기초)~Lv.3(전문가)로 완주하였습니다. 총 24단계, 매 30분 cron 자동화 이메일 시스템으로 운영되었습니다.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주제</w:t>
            </w:r>
          </w:p>
        </w:tc>
        <w:tc>
          <w:tcPr>
            <w:tcW w:type="dxa" w:w="3135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완료 레벨</w:t>
            </w:r>
          </w:p>
        </w:tc>
        <w:tc>
          <w:tcPr>
            <w:tcW w:type="dxa" w:w="3135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핵심 학습 내용</w:t>
            </w:r>
          </w:p>
        </w:tc>
      </w:tr>
      <w:tr>
        <w:tc>
          <w:tcPr>
            <w:tcW w:type="dxa" w:w="3135"/>
            <w:shd w:val="clear" w:color="auto" w:fill="F0FFF4"/>
          </w:tcPr>
          <w:p>
            <w:r>
              <w:rPr>
                <w:b/>
                <w:sz w:val="20"/>
              </w:rPr>
              <w:t>HBM 심층 분석</w:t>
            </w:r>
          </w:p>
        </w:tc>
        <w:tc>
          <w:tcPr>
            <w:tcW w:type="dxa" w:w="3135"/>
            <w:shd w:val="clear" w:color="auto" w:fill="F0FFF4"/>
          </w:tcPr>
          <w:p>
            <w:r>
              <w:rPr>
                <w:sz w:val="20"/>
              </w:rPr>
              <w:t>Lv.1~3 완료</w:t>
            </w:r>
          </w:p>
        </w:tc>
        <w:tc>
          <w:tcPr>
            <w:tcW w:type="dxa" w:w="3135"/>
            <w:shd w:val="clear" w:color="auto" w:fill="F0FFF4"/>
          </w:tcPr>
          <w:p>
            <w:r>
              <w:rPr>
                <w:sz w:val="20"/>
              </w:rPr>
              <w:t>HBM2→HBM3e→HBM4 로드맵, 8-Hi 스택, TSV 구조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CoWoS 패키징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Lv.1~3 완료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TSMC CoWoS-S/L/R, Fan-out WLP, 120K wpm 확장</w:t>
            </w:r>
          </w:p>
        </w:tc>
      </w:tr>
      <w:tr>
        <w:tc>
          <w:tcPr>
            <w:tcW w:type="dxa" w:w="3135"/>
            <w:shd w:val="clear" w:color="auto" w:fill="F0FFF4"/>
          </w:tcPr>
          <w:p>
            <w:r>
              <w:rPr>
                <w:b/>
                <w:sz w:val="20"/>
              </w:rPr>
              <w:t>AI 네트워킹</w:t>
            </w:r>
          </w:p>
        </w:tc>
        <w:tc>
          <w:tcPr>
            <w:tcW w:type="dxa" w:w="3135"/>
            <w:shd w:val="clear" w:color="auto" w:fill="F0FFF4"/>
          </w:tcPr>
          <w:p>
            <w:r>
              <w:rPr>
                <w:sz w:val="20"/>
              </w:rPr>
              <w:t>Lv.1~3 완료</w:t>
            </w:r>
          </w:p>
        </w:tc>
        <w:tc>
          <w:tcPr>
            <w:tcW w:type="dxa" w:w="3135"/>
            <w:shd w:val="clear" w:color="auto" w:fill="F0FFF4"/>
          </w:tcPr>
          <w:p>
            <w:r>
              <w:rPr>
                <w:sz w:val="20"/>
              </w:rPr>
              <w:t>InfiniBand vs RoCE, 400G/800G, NVLink 비교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하이퍼스케일러 CapEx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Lv.1~3 완료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$340B 투자 분해, Phase별 수혜 기업 매핑</w:t>
            </w:r>
          </w:p>
        </w:tc>
      </w:tr>
      <w:tr>
        <w:tc>
          <w:tcPr>
            <w:tcW w:type="dxa" w:w="3135"/>
            <w:shd w:val="clear" w:color="auto" w:fill="F0FFF4"/>
          </w:tcPr>
          <w:p>
            <w:r>
              <w:rPr>
                <w:b/>
                <w:sz w:val="20"/>
              </w:rPr>
              <w:t>NVIDIA 공급망</w:t>
            </w:r>
          </w:p>
        </w:tc>
        <w:tc>
          <w:tcPr>
            <w:tcW w:type="dxa" w:w="3135"/>
            <w:shd w:val="clear" w:color="auto" w:fill="F0FFF4"/>
          </w:tcPr>
          <w:p>
            <w:r>
              <w:rPr>
                <w:sz w:val="20"/>
              </w:rPr>
              <w:t>Lv.1~3 완료</w:t>
            </w:r>
          </w:p>
        </w:tc>
        <w:tc>
          <w:tcPr>
            <w:tcW w:type="dxa" w:w="3135"/>
            <w:shd w:val="clear" w:color="auto" w:fill="F0FFF4"/>
          </w:tcPr>
          <w:p>
            <w:r>
              <w:rPr>
                <w:sz w:val="20"/>
              </w:rPr>
              <w:t>B200/GB200 NVL72 아키텍처, CoWoS 의존성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전력 인프라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Lv.1~3 완료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데이터센터 전력 수요 2배, 트랜스포머 병목</w:t>
            </w:r>
          </w:p>
        </w:tc>
      </w:tr>
      <w:tr>
        <w:tc>
          <w:tcPr>
            <w:tcW w:type="dxa" w:w="3135"/>
            <w:shd w:val="clear" w:color="auto" w:fill="F0FFF4"/>
          </w:tcPr>
          <w:p>
            <w:r>
              <w:rPr>
                <w:b/>
                <w:sz w:val="20"/>
              </w:rPr>
              <w:t>소버린 AI</w:t>
            </w:r>
          </w:p>
        </w:tc>
        <w:tc>
          <w:tcPr>
            <w:tcW w:type="dxa" w:w="3135"/>
            <w:shd w:val="clear" w:color="auto" w:fill="F0FFF4"/>
          </w:tcPr>
          <w:p>
            <w:r>
              <w:rPr>
                <w:sz w:val="20"/>
              </w:rPr>
              <w:t>Lv.1~3 완료</w:t>
            </w:r>
          </w:p>
        </w:tc>
        <w:tc>
          <w:tcPr>
            <w:tcW w:type="dxa" w:w="3135"/>
            <w:shd w:val="clear" w:color="auto" w:fill="F0FFF4"/>
          </w:tcPr>
          <w:p>
            <w:r>
              <w:rPr>
                <w:sz w:val="20"/>
              </w:rPr>
              <w:t>UAE/Saudi 국가 AI 인프라, Geopolitical 리스크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투자 프레임워크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Lv.1~3 완료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Phase 1~4 로드맵, 병목→투자 시그널 연결 로직</w:t>
            </w:r>
          </w:p>
        </w:tc>
      </w:tr>
    </w:tbl>
    <w:p/>
    <w:p>
      <w:pPr>
        <w:pStyle w:val="Heading2"/>
        <w:spacing w:before="280"/>
      </w:pPr>
      <w:r>
        <w:rPr>
          <w:color w:val="2D3748"/>
        </w:rPr>
        <w:t>학습 시스템 구성</w:t>
      </w:r>
    </w:p>
    <w:p>
      <w:pPr>
        <w:pStyle w:val="ListBullet"/>
        <w:spacing w:after="40"/>
        <w:ind w:left="360"/>
      </w:pPr>
      <w:r>
        <w:t>Progress Agent: 24일 × 3라운드 진도 추적, 퀴즈 스코어 관리</w:t>
      </w:r>
    </w:p>
    <w:p>
      <w:pPr>
        <w:pStyle w:val="ListBullet"/>
        <w:spacing w:after="40"/>
        <w:ind w:left="360"/>
      </w:pPr>
      <w:r>
        <w:t>News Agent: RSS 5개 소스 실시간 AI SCM 뉴스 수집 + seed fallback</w:t>
      </w:r>
    </w:p>
    <w:p>
      <w:pPr>
        <w:pStyle w:val="ListBullet"/>
        <w:spacing w:after="40"/>
        <w:ind w:left="360"/>
      </w:pPr>
      <w:r>
        <w:t>Study Email Agent: Lv.1~3 레벨별 심화 콘텐츠 + COMPACT_RECAP 비중복 설계</w:t>
      </w:r>
    </w:p>
    <w:p>
      <w:pPr>
        <w:pStyle w:val="ListBullet"/>
        <w:spacing w:after="40"/>
        <w:ind w:left="360"/>
      </w:pPr>
      <w:r>
        <w:t>30분 cron: 자동 발송 + Word/HTML 동시 산출 + 뉴스 연동</w:t>
      </w:r>
    </w:p>
    <w:p>
      <w:pPr>
        <w:pStyle w:val="ListBullet"/>
        <w:spacing w:after="40"/>
        <w:ind w:left="360"/>
      </w:pPr>
      <w:r>
        <w:t>산출물: DOCX 24개 + HTML 프리뷰 + 진도 추적 JSON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65D"/>
        </w:rPr>
        <w:t>8. 리스크 매트릭스</w:t>
      </w:r>
    </w:p>
    <w:p>
      <w:pPr>
        <w:spacing w:after="80"/>
      </w:pPr>
      <w:r>
        <w:t>AI 공급망 투자 관련 핵심 리스크를 확률(Likelihood) × 영향(Impact) 기준으로 분류합니다.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35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리스크 항목</w:t>
            </w:r>
          </w:p>
        </w:tc>
        <w:tc>
          <w:tcPr>
            <w:tcW w:type="dxa" w:w="3135"/>
            <w:shd w:val="clear" w:color="auto" w:fill="1A365D"/>
          </w:tcPr>
          <w:p>
            <w:r>
              <w:rPr>
                <w:b/>
                <w:color w:val="FFFFFF"/>
                <w:sz w:val="20"/>
              </w:rPr>
              <w:t>대응 방향</w:t>
            </w:r>
          </w:p>
        </w:tc>
      </w:tr>
      <w:tr>
        <w:tc>
          <w:tcPr>
            <w:tcW w:type="dxa" w:w="3135"/>
            <w:shd w:val="clear" w:color="auto" w:fill="E53E3E"/>
          </w:tcPr>
          <w:p>
            <w:r>
              <w:rPr>
                <w:b/>
                <w:color w:val="FFFFFF"/>
                <w:sz w:val="18"/>
              </w:rPr>
              <w:t>고확률·고영향</w:t>
              <w:br/>
              <w:t>(즉시 대응)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• HBM 공급 타이트 지속 (SK Hynix 독점 구조)</w:t>
              <w:br/>
              <w:t>• DC 전력 인허가 지연 (트랜스포머 30개월)</w:t>
              <w:br/>
              <w:t>• 미중 무역 긴장 심화 (TSMC 지정학)</w:t>
            </w:r>
          </w:p>
        </w:tc>
        <w:tc>
          <w:tcPr>
            <w:tcW w:type="dxa" w:w="3135"/>
            <w:shd w:val="clear" w:color="auto" w:fill="F7F8FA"/>
          </w:tcPr>
          <w:p>
            <w:r>
              <w:rPr>
                <w:sz w:val="18"/>
              </w:rPr>
              <w:t>포트폴리오 비중 조정, 헤지 전략 수립</w:t>
            </w:r>
          </w:p>
        </w:tc>
      </w:tr>
      <w:tr>
        <w:tc>
          <w:tcPr>
            <w:tcW w:type="dxa" w:w="3135"/>
            <w:shd w:val="clear" w:color="auto" w:fill="3182CE"/>
          </w:tcPr>
          <w:p>
            <w:r>
              <w:rPr>
                <w:b/>
                <w:color w:val="FFFFFF"/>
                <w:sz w:val="18"/>
              </w:rPr>
              <w:t>고확률·저영향</w:t>
              <w:br/>
              <w:t>(관리)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• NVIDIA 경쟁 심화 (AMD MI300X)</w:t>
              <w:br/>
              <w:t>• 하이퍼스케일러 CapEx 미세 조정</w:t>
            </w:r>
          </w:p>
        </w:tc>
        <w:tc>
          <w:tcPr>
            <w:tcW w:type="dxa" w:w="3135"/>
            <w:shd w:val="clear" w:color="auto" w:fill="F7F8FA"/>
          </w:tcPr>
          <w:p>
            <w:r>
              <w:rPr>
                <w:sz w:val="18"/>
              </w:rPr>
              <w:t>모니터링 강화, 비용 관리</w:t>
            </w:r>
          </w:p>
        </w:tc>
      </w:tr>
      <w:tr>
        <w:tc>
          <w:tcPr>
            <w:tcW w:type="dxa" w:w="3135"/>
            <w:shd w:val="clear" w:color="auto" w:fill="DD6B20"/>
          </w:tcPr>
          <w:p>
            <w:r>
              <w:rPr>
                <w:b/>
                <w:color w:val="FFFFFF"/>
                <w:sz w:val="18"/>
              </w:rPr>
              <w:t>저확률·고영향</w:t>
              <w:br/>
              <w:t>(모니터링)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• 대만 지정학 이벤트 (TSMC 생산 중단)</w:t>
              <w:br/>
              <w:t>• AGI 조기 진입 (수요 폭발·공급망 재편)</w:t>
              <w:br/>
              <w:t>• PIM/CXL 조기 도입 (HBM 수요 구조 변화)</w:t>
            </w:r>
          </w:p>
        </w:tc>
        <w:tc>
          <w:tcPr>
            <w:tcW w:type="dxa" w:w="3135"/>
            <w:shd w:val="clear" w:color="auto" w:fill="F7F8FA"/>
          </w:tcPr>
          <w:p>
            <w:r>
              <w:rPr>
                <w:sz w:val="18"/>
              </w:rPr>
              <w:t>시나리오 플랜 B 수립, 조기 경보 지표 설정</w:t>
            </w:r>
          </w:p>
        </w:tc>
      </w:tr>
      <w:tr>
        <w:tc>
          <w:tcPr>
            <w:tcW w:type="dxa" w:w="3135"/>
            <w:shd w:val="clear" w:color="auto" w:fill="38A169"/>
          </w:tcPr>
          <w:p>
            <w:r>
              <w:rPr>
                <w:b/>
                <w:color w:val="FFFFFF"/>
                <w:sz w:val="18"/>
              </w:rPr>
              <w:t>저확률·저영향</w:t>
              <w:br/>
              <w:t>(관찰)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• 엣지 AI 보급 지연 (2028+ 이동)</w:t>
              <w:br/>
              <w:t>• 클라우드 업체 칩 내재화 가속</w:t>
            </w:r>
          </w:p>
        </w:tc>
        <w:tc>
          <w:tcPr>
            <w:tcW w:type="dxa" w:w="3135"/>
            <w:shd w:val="clear" w:color="auto" w:fill="F7F8FA"/>
          </w:tcPr>
          <w:p>
            <w:r>
              <w:rPr>
                <w:sz w:val="18"/>
              </w:rPr>
              <w:t>분기별 리뷰, 일상 모니터링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color w:val="1A365D"/>
        </w:rPr>
        <w:t>9. 결론 및 전략 권고</w:t>
      </w:r>
    </w:p>
    <w:p>
      <w:pPr>
        <w:pStyle w:val="Heading2"/>
        <w:spacing w:before="280"/>
      </w:pPr>
      <w:r>
        <w:rPr>
          <w:color w:val="2D3748"/>
        </w:rPr>
        <w:t>8.1 핵심 결론</w:t>
      </w:r>
    </w:p>
    <w:p>
      <w:pPr>
        <w:pStyle w:val="ListBullet"/>
        <w:spacing w:after="40"/>
        <w:ind w:left="360"/>
      </w:pPr>
      <w:r>
        <w:t>현재 AI 공급망은 역사적으로 가장 집약된 병목 구간 — HBM·CoWoS·전력 3중 병목 동시 진행</w:t>
      </w:r>
    </w:p>
    <w:p>
      <w:pPr>
        <w:pStyle w:val="ListBullet"/>
        <w:spacing w:after="40"/>
        <w:ind w:left="360"/>
      </w:pPr>
      <w:r>
        <w:t>하이퍼스케일러 $392B CapEx는 공급망 전체에 걸쳐 균등하지 않게 분배 — 병목 레이어 집중 수혜</w:t>
      </w:r>
    </w:p>
    <w:p>
      <w:pPr>
        <w:pStyle w:val="ListBullet"/>
        <w:spacing w:after="40"/>
        <w:ind w:left="360"/>
      </w:pPr>
      <w:r>
        <w:t>Phase 2~3 전환기는 복수 섹터 동시 투자 기회 — 단순 GPU 보유보다 공급망 다각화가 우월</w:t>
      </w:r>
    </w:p>
    <w:p>
      <w:pPr>
        <w:pStyle w:val="ListBullet"/>
        <w:spacing w:after="40"/>
        <w:ind w:left="360"/>
      </w:pPr>
      <w:r>
        <w:t>소버린 AI(UAE·Saudi·EU)와 엣지 AI가 Phase 4의 핵심 드라이버로 부상 중</w:t>
      </w:r>
    </w:p>
    <w:p/>
    <w:p>
      <w:pPr>
        <w:pStyle w:val="Heading2"/>
        <w:spacing w:before="280"/>
      </w:pPr>
      <w:r>
        <w:rPr>
          <w:color w:val="2D3748"/>
        </w:rPr>
        <w:t>8.2 투자 우선순위 (2026년 기준)</w:t>
      </w:r>
    </w:p>
    <w:p>
      <w:pPr>
        <w:pStyle w:val="Heading3"/>
      </w:pPr>
      <w:r>
        <w:rPr>
          <w:color w:val="3182CE"/>
        </w:rPr>
        <w:t>최우선 (6~12개월) — Strong Buy</w:t>
      </w:r>
    </w:p>
    <w:p>
      <w:pPr>
        <w:spacing w:after="80"/>
      </w:pPr>
      <w:r>
        <w:t>SK Hynix: HBM3e 50% 점유, GB200 핵심 수혜, HBM4 퀄 2026</w:t>
        <w:br/>
        <w:t>근거: 공급 제약이 가장 명확, 대체재 없음, 수요 가시성 최고</w:t>
      </w:r>
    </w:p>
    <w:p/>
    <w:p>
      <w:pPr>
        <w:pStyle w:val="Heading3"/>
      </w:pPr>
      <w:r>
        <w:rPr>
          <w:color w:val="3182CE"/>
        </w:rPr>
        <w:t>우선 (6~18개월) — Buy</w:t>
      </w:r>
    </w:p>
    <w:p>
      <w:pPr>
        <w:spacing w:after="80"/>
      </w:pPr>
      <w:r>
        <w:t>Vertiv / GE Vernova / Eaton: 전력 인프라 병목 직접 수혜</w:t>
        <w:br/>
        <w:t>TSMC CoWoS: 패키징 독점, AI칩 100% 통과</w:t>
        <w:br/>
        <w:t>Marvell / Broadcom: 커스텀 ASIC + 800G 네트워킹</w:t>
      </w:r>
    </w:p>
    <w:p/>
    <w:p>
      <w:pPr>
        <w:pStyle w:val="Heading3"/>
      </w:pPr>
      <w:r>
        <w:rPr>
          <w:color w:val="3182CE"/>
        </w:rPr>
        <w:t>중기 (12~24개월) — Buy/Hold</w:t>
      </w:r>
    </w:p>
    <w:p>
      <w:pPr>
        <w:spacing w:after="80"/>
      </w:pPr>
      <w:r>
        <w:t>Micron: HBM3e 점유율 확대 진행 중 — 실행 리스크 모니터링</w:t>
        <w:br/>
        <w:t>NVIDIA: Blackwell 전환 완료 후 재평가 — 단기 밸류 부담</w:t>
      </w:r>
    </w:p>
    <w:p/>
    <w:p>
      <w:pPr>
        <w:pStyle w:val="Heading3"/>
      </w:pPr>
      <w:r>
        <w:rPr>
          <w:color w:val="3182CE"/>
        </w:rPr>
        <w:t>장기 (24개월+) — Watch</w:t>
      </w:r>
    </w:p>
    <w:p>
      <w:pPr>
        <w:spacing w:after="80"/>
      </w:pPr>
      <w:r>
        <w:t>Qualcomm: 엣지 AI 파도 대비 — AI PC 교체 사이클 + 자동차 AI</w:t>
        <w:br/>
        <w:t>소버린 AI 관련 로컬 클라우드·인프라 기업</w:t>
      </w:r>
    </w:p>
    <w:p/>
    <w:p>
      <w:pPr>
        <w:pStyle w:val="Heading2"/>
        <w:spacing w:before="280"/>
      </w:pPr>
      <w:r>
        <w:rPr>
          <w:color w:val="2D3748"/>
        </w:rPr>
        <w:t>8.3 주요 리스크</w:t>
      </w:r>
    </w:p>
    <w:p>
      <w:pPr>
        <w:pStyle w:val="ListBullet"/>
        <w:spacing w:after="40"/>
        <w:ind w:left="360"/>
      </w:pPr>
      <w:r>
        <w:t>HBM: Samsung의 HBM3e 수율 개선 속도 → SK Hynix 독점 완화 가능성</w:t>
      </w:r>
    </w:p>
    <w:p>
      <w:pPr>
        <w:pStyle w:val="ListBullet"/>
        <w:spacing w:after="40"/>
        <w:ind w:left="360"/>
      </w:pPr>
      <w:r>
        <w:t>지정학: 대만 리스크(TSMC CoWoS), 미중 무역 분쟁(중국 HBM 수출 통제)</w:t>
      </w:r>
    </w:p>
    <w:p>
      <w:pPr>
        <w:pStyle w:val="ListBullet"/>
        <w:spacing w:after="40"/>
        <w:ind w:left="360"/>
      </w:pPr>
      <w:r>
        <w:t>기술 불확실성: 메모리 내 컴퓨팅(PIM/CXL) 가속 시 HBM 수요 구조 변화</w:t>
      </w:r>
    </w:p>
    <w:p>
      <w:pPr>
        <w:pStyle w:val="ListBullet"/>
        <w:spacing w:after="40"/>
        <w:ind w:left="360"/>
      </w:pPr>
      <w:r>
        <w:t>경기 침체: 광고 수익 의존 하이퍼스케일러(Meta·Google) CapEx 감축 리스크</w:t>
      </w:r>
    </w:p>
    <w:p>
      <w:pPr>
        <w:pStyle w:val="ListBullet"/>
        <w:spacing w:after="40"/>
        <w:ind w:left="360"/>
      </w:pPr>
      <w:r>
        <w:t>전력 허가: DC 전력 인허가 지연 → 전력 인프라 투자 타임라인 불확실성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65D"/>
        </w:rPr>
        <w:t>9. 참고 데이터 출처</w:t>
      </w:r>
    </w:p>
    <w:p>
      <w:pPr>
        <w:spacing w:after="60"/>
      </w:pPr>
      <w:r>
        <w:rPr>
          <w:b/>
          <w:sz w:val="20"/>
        </w:rPr>
        <w:t xml:space="preserve">• NVIDIA Investor Relations: </w:t>
      </w:r>
      <w:r>
        <w:rPr>
          <w:sz w:val="20"/>
        </w:rPr>
        <w:t>quarterly earnings, GPU 공급 현황, Blackwell 로드맵</w:t>
      </w:r>
    </w:p>
    <w:p>
      <w:pPr>
        <w:spacing w:after="60"/>
      </w:pPr>
      <w:r>
        <w:rPr>
          <w:b/>
          <w:sz w:val="20"/>
        </w:rPr>
        <w:t xml:space="preserve">• SK Hynix Newsroom: </w:t>
      </w:r>
      <w:r>
        <w:rPr>
          <w:sz w:val="20"/>
        </w:rPr>
        <w:t>HBM3e 출하량, HBM4 개발 로드맵, 가동률</w:t>
      </w:r>
    </w:p>
    <w:p>
      <w:pPr>
        <w:spacing w:after="60"/>
      </w:pPr>
      <w:r>
        <w:rPr>
          <w:b/>
          <w:sz w:val="20"/>
        </w:rPr>
        <w:t xml:space="preserve">• TSMC Annual Report / IR: </w:t>
      </w:r>
      <w:r>
        <w:rPr>
          <w:sz w:val="20"/>
        </w:rPr>
        <w:t>CoWoS 캐파 확장 계획, N3/N2 수율</w:t>
      </w:r>
    </w:p>
    <w:p>
      <w:pPr>
        <w:spacing w:after="60"/>
      </w:pPr>
      <w:r>
        <w:rPr>
          <w:b/>
          <w:sz w:val="20"/>
        </w:rPr>
        <w:t xml:space="preserve">• Goldman Sachs AI Power Report: </w:t>
      </w:r>
      <w:r>
        <w:rPr>
          <w:sz w:val="20"/>
        </w:rPr>
        <w:t>데이터센터 전력 수요 2030 전망, 160GW 추정</w:t>
      </w:r>
    </w:p>
    <w:p>
      <w:pPr>
        <w:spacing w:after="60"/>
      </w:pPr>
      <w:r>
        <w:rPr>
          <w:b/>
          <w:sz w:val="20"/>
        </w:rPr>
        <w:t xml:space="preserve">• Sequoia Capital (AI's $600B Question): </w:t>
      </w:r>
      <w:r>
        <w:rPr>
          <w:sz w:val="20"/>
        </w:rPr>
        <w:t>AI 인프라 투자 ROI 분석, 수익화 갭</w:t>
      </w:r>
    </w:p>
    <w:p>
      <w:pPr>
        <w:spacing w:after="60"/>
      </w:pPr>
      <w:r>
        <w:rPr>
          <w:b/>
          <w:sz w:val="20"/>
        </w:rPr>
        <w:t xml:space="preserve">• Bloomberg AI Investment Data: </w:t>
      </w:r>
      <w:r>
        <w:rPr>
          <w:sz w:val="20"/>
        </w:rPr>
        <w:t>하이퍼스케일러 CapEx 추적, 61개사 네트워크</w:t>
      </w:r>
    </w:p>
    <w:p>
      <w:pPr>
        <w:spacing w:after="60"/>
      </w:pPr>
      <w:r>
        <w:rPr>
          <w:b/>
          <w:sz w:val="20"/>
        </w:rPr>
        <w:t xml:space="preserve">• IDC Worldwide Quarterly Tracker: </w:t>
      </w:r>
      <w:r>
        <w:rPr>
          <w:sz w:val="20"/>
        </w:rPr>
        <w:t>PC 출하량, AI PC 침투율, SSD TAM</w:t>
      </w:r>
    </w:p>
    <w:p>
      <w:pPr>
        <w:spacing w:after="60"/>
      </w:pPr>
      <w:r>
        <w:rPr>
          <w:b/>
          <w:sz w:val="20"/>
        </w:rPr>
        <w:t xml:space="preserve">• TrendForce NAND Report: </w:t>
      </w:r>
      <w:r>
        <w:rPr>
          <w:sz w:val="20"/>
        </w:rPr>
        <w:t>NAND 계약가격, 공급업체별 비트 출하, HBM 시황</w:t>
      </w:r>
    </w:p>
    <w:p>
      <w:pPr>
        <w:spacing w:after="60"/>
      </w:pPr>
      <w:r>
        <w:rPr>
          <w:b/>
          <w:sz w:val="20"/>
        </w:rPr>
        <w:t xml:space="preserve">• USB-IF Adopter Survey: </w:t>
      </w:r>
      <w:r>
        <w:rPr>
          <w:sz w:val="20"/>
        </w:rPr>
        <w:t>USB4/Thunderbolt4 보급률</w:t>
      </w:r>
    </w:p>
    <w:p>
      <w:pPr>
        <w:spacing w:after="60"/>
      </w:pPr>
      <w:r>
        <w:rPr>
          <w:b/>
          <w:sz w:val="20"/>
        </w:rPr>
        <w:t xml:space="preserve">• Counterpoint Research: </w:t>
      </w:r>
      <w:r>
        <w:rPr>
          <w:sz w:val="20"/>
        </w:rPr>
        <w:t>스마트폰 microSD 슬롯 보급률</w:t>
      </w:r>
    </w:p>
    <w:p>
      <w:pPr>
        <w:spacing w:after="60"/>
      </w:pPr>
      <w:r>
        <w:rPr>
          <w:b/>
          <w:sz w:val="20"/>
        </w:rPr>
        <w:t xml:space="preserve">• JP Morgan / Tax Foundation: </w:t>
      </w:r>
      <w:r>
        <w:rPr>
          <w:sz w:val="20"/>
        </w:rPr>
        <w:t>관세 정책, 가계 부담 분석</w:t>
      </w:r>
    </w:p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18096"/>
          <w:sz w:val="18"/>
        </w:rPr>
        <w:t>본 보고서는 공개 데이터 및 AI 모델 분석 기반으로 작성되었으며, 투자 권유가 아닙니다. | 2026년 04월 09일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0AEC0"/>
        <w:sz w:val="16"/>
      </w:rPr>
      <w:t xml:space="preserve">AI 공급망 인텔리전스 최종 보고서   |   </w:t>
    </w:r>
    <w:r>
      <w:rPr>
        <w:b/>
        <w:color w:val="1A365D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