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619" w:lineRule="auto" w:before="205"/>
        <w:ind w:left="3022" w:right="3018"/>
        <w:jc w:val="center"/>
      </w:pPr>
      <w:r>
        <w:rPr/>
        <w:t>7</w:t>
      </w:r>
      <w:r>
        <w:rPr>
          <w:spacing w:val="-9"/>
        </w:rPr>
        <w:t> </w:t>
      </w:r>
      <w:r>
        <w:rPr/>
        <w:t>Ways</w:t>
      </w:r>
      <w:r>
        <w:rPr>
          <w:spacing w:val="-9"/>
        </w:rPr>
        <w:t> </w:t>
      </w:r>
      <w:r>
        <w:rPr/>
        <w:t>to</w:t>
      </w:r>
      <w:r>
        <w:rPr>
          <w:spacing w:val="-9"/>
        </w:rPr>
        <w:t> </w:t>
      </w:r>
      <w:r>
        <w:rPr/>
        <w:t>Spot</w:t>
      </w:r>
      <w:r>
        <w:rPr>
          <w:spacing w:val="-10"/>
        </w:rPr>
        <w:t> </w:t>
      </w:r>
      <w:r>
        <w:rPr/>
        <w:t>Polarizing</w:t>
      </w:r>
      <w:r>
        <w:rPr>
          <w:spacing w:val="-9"/>
        </w:rPr>
        <w:t> </w:t>
      </w:r>
      <w:r>
        <w:rPr/>
        <w:t>Language Abcedi Ilacas</w:t>
      </w:r>
    </w:p>
    <w:p>
      <w:pPr>
        <w:pStyle w:val="BodyText"/>
        <w:spacing w:line="619" w:lineRule="auto"/>
        <w:ind w:left="4040" w:right="4034"/>
        <w:jc w:val="center"/>
      </w:pPr>
      <w:r>
        <w:rPr/>
        <w:t>Seneca</w:t>
      </w:r>
      <w:r>
        <w:rPr>
          <w:spacing w:val="-15"/>
        </w:rPr>
        <w:t> </w:t>
      </w:r>
      <w:r>
        <w:rPr/>
        <w:t>College COM</w:t>
      </w:r>
      <w:r>
        <w:rPr>
          <w:spacing w:val="-3"/>
        </w:rPr>
        <w:t> </w:t>
      </w:r>
      <w:r>
        <w:rPr>
          <w:spacing w:val="-2"/>
        </w:rPr>
        <w:t>101NHE</w:t>
      </w:r>
    </w:p>
    <w:p>
      <w:pPr>
        <w:pStyle w:val="BodyText"/>
        <w:spacing w:line="619" w:lineRule="auto"/>
        <w:ind w:left="3819" w:right="3812" w:hanging="4"/>
        <w:jc w:val="center"/>
      </w:pPr>
      <w:r>
        <w:rPr/>
        <w:t>Nic Labriola September</w:t>
      </w:r>
      <w:r>
        <w:rPr>
          <w:spacing w:val="-15"/>
        </w:rPr>
        <w:t> </w:t>
      </w:r>
      <w:r>
        <w:rPr/>
        <w:t>24,</w:t>
      </w:r>
      <w:r>
        <w:rPr>
          <w:spacing w:val="-15"/>
        </w:rPr>
        <w:t> </w:t>
      </w:r>
      <w:r>
        <w:rPr/>
        <w:t>2023</w:t>
      </w:r>
    </w:p>
    <w:p>
      <w:pPr>
        <w:spacing w:after="0" w:line="619" w:lineRule="auto"/>
        <w:jc w:val="center"/>
        <w:sectPr>
          <w:headerReference w:type="default" r:id="rId5"/>
          <w:type w:val="continuous"/>
          <w:pgSz w:w="12240" w:h="15840"/>
          <w:pgMar w:header="769" w:footer="0" w:top="1880" w:bottom="280" w:left="1340" w:right="1340"/>
          <w:pgNumType w:start="1"/>
        </w:sectPr>
      </w:pPr>
    </w:p>
    <w:p>
      <w:pPr>
        <w:pStyle w:val="BodyText"/>
        <w:rPr>
          <w:sz w:val="20"/>
        </w:rPr>
      </w:pPr>
    </w:p>
    <w:p>
      <w:pPr>
        <w:pStyle w:val="BodyText"/>
        <w:spacing w:before="4"/>
        <w:rPr>
          <w:sz w:val="27"/>
        </w:rPr>
      </w:pPr>
    </w:p>
    <w:p>
      <w:pPr>
        <w:pStyle w:val="BodyText"/>
        <w:spacing w:line="480" w:lineRule="auto" w:before="90"/>
        <w:ind w:left="101" w:right="47" w:firstLine="780"/>
      </w:pPr>
      <w:r>
        <w:rPr/>
        <w:t>In the article “7 Ways to Spot Polarizing Language – How to Choose Responsibly What to Amplify Online or In-Person", Robert Danisch emphasizes the substantial impact that words have on evoking emotions and potentially leading to conflict and violence. He highlights the concern of polarizing language within various contexts, from everyday interactions to political discourse. Danisch outlines seven rhetorical tactics that worsen polarization and could cause aggression. The article mentions Division/Identification, where language that emphasizes “us” versus “them” enhances division and fuels hostility. The author mentions Hyperbole which involves</w:t>
      </w:r>
      <w:r>
        <w:rPr>
          <w:spacing w:val="-1"/>
        </w:rPr>
        <w:t> </w:t>
      </w:r>
      <w:r>
        <w:rPr/>
        <w:t>exaggeration and leads to high emotions</w:t>
      </w:r>
      <w:r>
        <w:rPr>
          <w:spacing w:val="-1"/>
        </w:rPr>
        <w:t> </w:t>
      </w:r>
      <w:r>
        <w:rPr/>
        <w:t>rather than rational debate. He points out False Equivalence/False</w:t>
      </w:r>
      <w:r>
        <w:rPr>
          <w:spacing w:val="-6"/>
        </w:rPr>
        <w:t> </w:t>
      </w:r>
      <w:r>
        <w:rPr/>
        <w:t>Analogy,</w:t>
      </w:r>
      <w:r>
        <w:rPr>
          <w:spacing w:val="-5"/>
        </w:rPr>
        <w:t> </w:t>
      </w:r>
      <w:r>
        <w:rPr/>
        <w:t>marked</w:t>
      </w:r>
      <w:r>
        <w:rPr>
          <w:spacing w:val="-5"/>
        </w:rPr>
        <w:t> </w:t>
      </w:r>
      <w:r>
        <w:rPr/>
        <w:t>by</w:t>
      </w:r>
      <w:r>
        <w:rPr>
          <w:spacing w:val="-5"/>
        </w:rPr>
        <w:t> </w:t>
      </w:r>
      <w:r>
        <w:rPr/>
        <w:t>inappropriate</w:t>
      </w:r>
      <w:r>
        <w:rPr>
          <w:spacing w:val="-6"/>
        </w:rPr>
        <w:t> </w:t>
      </w:r>
      <w:r>
        <w:rPr/>
        <w:t>comparisons</w:t>
      </w:r>
      <w:r>
        <w:rPr>
          <w:spacing w:val="-5"/>
        </w:rPr>
        <w:t> </w:t>
      </w:r>
      <w:r>
        <w:rPr/>
        <w:t>meant</w:t>
      </w:r>
      <w:r>
        <w:rPr>
          <w:spacing w:val="-6"/>
        </w:rPr>
        <w:t> </w:t>
      </w:r>
      <w:r>
        <w:rPr/>
        <w:t>to</w:t>
      </w:r>
      <w:r>
        <w:rPr>
          <w:spacing w:val="-5"/>
        </w:rPr>
        <w:t> </w:t>
      </w:r>
      <w:r>
        <w:rPr/>
        <w:t>escalate</w:t>
      </w:r>
      <w:r>
        <w:rPr>
          <w:spacing w:val="-6"/>
        </w:rPr>
        <w:t> </w:t>
      </w:r>
      <w:r>
        <w:rPr/>
        <w:t>division</w:t>
      </w:r>
      <w:r>
        <w:rPr>
          <w:spacing w:val="-5"/>
        </w:rPr>
        <w:t> </w:t>
      </w:r>
      <w:r>
        <w:rPr/>
        <w:t>and intensify emotions. Danisch brings up the Appealing to Force tactic where threats replace persuasion, avoiding debate and undermining peaceful dialogue. Name Calling is identified as a tactic that amplifies conflict by avoiding debate and directly attacking the individual.</w:t>
      </w:r>
    </w:p>
    <w:p>
      <w:pPr>
        <w:pStyle w:val="BodyText"/>
        <w:spacing w:line="480" w:lineRule="auto" w:before="1"/>
        <w:ind w:left="101" w:right="47"/>
      </w:pPr>
      <w:r>
        <w:rPr/>
        <w:t>Objectification involves dehumanizing language that makes it easier to rationalize violence against</w:t>
      </w:r>
      <w:r>
        <w:rPr>
          <w:spacing w:val="-4"/>
        </w:rPr>
        <w:t> </w:t>
      </w:r>
      <w:r>
        <w:rPr/>
        <w:t>others.</w:t>
      </w:r>
      <w:r>
        <w:rPr>
          <w:spacing w:val="-5"/>
        </w:rPr>
        <w:t> </w:t>
      </w:r>
      <w:r>
        <w:rPr/>
        <w:t>The</w:t>
      </w:r>
      <w:r>
        <w:rPr>
          <w:spacing w:val="-6"/>
        </w:rPr>
        <w:t> </w:t>
      </w:r>
      <w:r>
        <w:rPr/>
        <w:t>author,</w:t>
      </w:r>
      <w:r>
        <w:rPr>
          <w:spacing w:val="-5"/>
        </w:rPr>
        <w:t> </w:t>
      </w:r>
      <w:r>
        <w:rPr/>
        <w:t>Danisch,</w:t>
      </w:r>
      <w:r>
        <w:rPr>
          <w:spacing w:val="-5"/>
        </w:rPr>
        <w:t> </w:t>
      </w:r>
      <w:r>
        <w:rPr/>
        <w:t>presents</w:t>
      </w:r>
      <w:r>
        <w:rPr>
          <w:spacing w:val="-7"/>
        </w:rPr>
        <w:t> </w:t>
      </w:r>
      <w:r>
        <w:rPr/>
        <w:t>Overgeneralization</w:t>
      </w:r>
      <w:r>
        <w:rPr>
          <w:spacing w:val="-5"/>
        </w:rPr>
        <w:t> </w:t>
      </w:r>
      <w:r>
        <w:rPr/>
        <w:t>where</w:t>
      </w:r>
      <w:r>
        <w:rPr>
          <w:spacing w:val="-6"/>
        </w:rPr>
        <w:t> </w:t>
      </w:r>
      <w:r>
        <w:rPr/>
        <w:t>broad,</w:t>
      </w:r>
      <w:r>
        <w:rPr>
          <w:spacing w:val="-5"/>
        </w:rPr>
        <w:t> </w:t>
      </w:r>
      <w:r>
        <w:rPr/>
        <w:t>unfounded</w:t>
      </w:r>
      <w:r>
        <w:rPr>
          <w:spacing w:val="-5"/>
        </w:rPr>
        <w:t> </w:t>
      </w:r>
      <w:r>
        <w:rPr/>
        <w:t>claims further reinforce division and enhance emotional reactions. By recognizing and engaging less from these rhetorical strategies, Danisch puts forward that individuals can give constructively to societal dialogues and reduce the potential for conflict and violence. The author encourages mindful and thoughtful responses promoting a dialogue centered on cooperation that actively counters societal division and polarization.</w:t>
      </w:r>
    </w:p>
    <w:p>
      <w:pPr>
        <w:spacing w:after="0" w:line="480" w:lineRule="auto"/>
        <w:sectPr>
          <w:pgSz w:w="12240" w:h="15840"/>
          <w:pgMar w:header="769" w:footer="0" w:top="1880" w:bottom="280" w:left="1340" w:right="1340"/>
        </w:sectPr>
      </w:pPr>
    </w:p>
    <w:p>
      <w:pPr>
        <w:pStyle w:val="BodyText"/>
        <w:rPr>
          <w:sz w:val="20"/>
        </w:rPr>
      </w:pPr>
    </w:p>
    <w:p>
      <w:pPr>
        <w:pStyle w:val="BodyText"/>
        <w:spacing w:before="7"/>
        <w:rPr>
          <w:sz w:val="28"/>
        </w:rPr>
      </w:pPr>
    </w:p>
    <w:p>
      <w:pPr>
        <w:pStyle w:val="BodyText"/>
        <w:spacing w:before="90"/>
        <w:ind w:left="3022" w:right="3018"/>
        <w:jc w:val="center"/>
      </w:pPr>
      <w:r>
        <w:rPr>
          <w:spacing w:val="-2"/>
        </w:rPr>
        <w:t>References</w:t>
      </w:r>
    </w:p>
    <w:p>
      <w:pPr>
        <w:pStyle w:val="BodyText"/>
        <w:spacing w:before="10"/>
        <w:rPr>
          <w:sz w:val="37"/>
        </w:rPr>
      </w:pPr>
    </w:p>
    <w:p>
      <w:pPr>
        <w:pStyle w:val="BodyText"/>
        <w:spacing w:line="480" w:lineRule="auto"/>
        <w:ind w:left="821" w:right="227" w:hanging="720"/>
      </w:pPr>
      <w:r>
        <w:rPr/>
        <w:t>Danisch, R. (2022). 7 ways to spot polarizing language – how to choose responsibly what to amplify</w:t>
      </w:r>
      <w:r>
        <w:rPr>
          <w:spacing w:val="-8"/>
        </w:rPr>
        <w:t> </w:t>
      </w:r>
      <w:r>
        <w:rPr/>
        <w:t>online</w:t>
      </w:r>
      <w:r>
        <w:rPr>
          <w:spacing w:val="-9"/>
        </w:rPr>
        <w:t> </w:t>
      </w:r>
      <w:r>
        <w:rPr/>
        <w:t>or</w:t>
      </w:r>
      <w:r>
        <w:rPr>
          <w:spacing w:val="-8"/>
        </w:rPr>
        <w:t> </w:t>
      </w:r>
      <w:r>
        <w:rPr/>
        <w:t>in-person.</w:t>
      </w:r>
      <w:r>
        <w:rPr>
          <w:spacing w:val="-8"/>
        </w:rPr>
        <w:t> </w:t>
      </w:r>
      <w:r>
        <w:rPr/>
        <w:t>Retrieved</w:t>
      </w:r>
      <w:r>
        <w:rPr>
          <w:spacing w:val="-8"/>
        </w:rPr>
        <w:t> </w:t>
      </w:r>
      <w:r>
        <w:rPr/>
        <w:t>from</w:t>
      </w:r>
      <w:r>
        <w:rPr>
          <w:spacing w:val="-9"/>
        </w:rPr>
        <w:t> </w:t>
      </w:r>
      <w:r>
        <w:rPr/>
        <w:t>https://theconversation.com/7-ways-to-spot- </w:t>
      </w:r>
      <w:r>
        <w:rPr>
          <w:spacing w:val="-2"/>
        </w:rPr>
        <w:t>polarizing-language-how-to-choose-responsibly-what-to-amplify-online-or-in-person- 177276</w:t>
      </w:r>
    </w:p>
    <w:sectPr>
      <w:pgSz w:w="12240" w:h="15840"/>
      <w:pgMar w:header="769" w:footer="0" w:top="18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58656">
              <wp:simplePos x="0" y="0"/>
              <wp:positionH relativeFrom="page">
                <wp:posOffset>6751319</wp:posOffset>
              </wp:positionH>
              <wp:positionV relativeFrom="page">
                <wp:posOffset>475615</wp:posOffset>
              </wp:positionV>
              <wp:extent cx="160020" cy="1651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100"/>
                      </a:xfrm>
                      <a:prstGeom prst="rect">
                        <a:avLst/>
                      </a:prstGeom>
                    </wps:spPr>
                    <wps:txbx>
                      <w:txbxContent>
                        <w:p>
                          <w:pPr>
                            <w:spacing w:line="244"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w:t>
                          </w:r>
                          <w:r>
                            <w:rPr>
                              <w:rFonts w:ascii="Calibri"/>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599976pt;margin-top:37.450001pt;width:12.6pt;height:13pt;mso-position-horizontal-relative:page;mso-position-vertical-relative:page;z-index:-15757824" type="#_x0000_t202" id="docshape1" filled="false" stroked="false">
              <v:textbox inset="0,0,0,0">
                <w:txbxContent>
                  <w:p>
                    <w:pPr>
                      <w:spacing w:line="244"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w:t>
                    </w:r>
                    <w:r>
                      <w:rPr>
                        <w:rFonts w:ascii="Calibri"/>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59168">
              <wp:simplePos x="0" y="0"/>
              <wp:positionH relativeFrom="page">
                <wp:posOffset>899160</wp:posOffset>
              </wp:positionH>
              <wp:positionV relativeFrom="page">
                <wp:posOffset>620888</wp:posOffset>
              </wp:positionV>
              <wp:extent cx="1889760" cy="166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89760" cy="166370"/>
                      </a:xfrm>
                      <a:prstGeom prst="rect">
                        <a:avLst/>
                      </a:prstGeom>
                    </wps:spPr>
                    <wps:txbx>
                      <w:txbxContent>
                        <w:p>
                          <w:pPr>
                            <w:spacing w:before="11"/>
                            <w:ind w:left="20" w:right="0" w:firstLine="0"/>
                            <w:jc w:val="left"/>
                            <w:rPr>
                              <w:sz w:val="20"/>
                            </w:rPr>
                          </w:pPr>
                          <w:r>
                            <w:rPr>
                              <w:sz w:val="20"/>
                            </w:rPr>
                            <w:t>7</w:t>
                          </w:r>
                          <w:r>
                            <w:rPr>
                              <w:spacing w:val="-2"/>
                              <w:sz w:val="20"/>
                            </w:rPr>
                            <w:t> </w:t>
                          </w:r>
                          <w:r>
                            <w:rPr>
                              <w:sz w:val="20"/>
                            </w:rPr>
                            <w:t>Ways</w:t>
                          </w:r>
                          <w:r>
                            <w:rPr>
                              <w:spacing w:val="-3"/>
                              <w:sz w:val="20"/>
                            </w:rPr>
                            <w:t> </w:t>
                          </w:r>
                          <w:r>
                            <w:rPr>
                              <w:sz w:val="20"/>
                            </w:rPr>
                            <w:t>to</w:t>
                          </w:r>
                          <w:r>
                            <w:rPr>
                              <w:spacing w:val="-2"/>
                              <w:sz w:val="20"/>
                            </w:rPr>
                            <w:t> </w:t>
                          </w:r>
                          <w:r>
                            <w:rPr>
                              <w:sz w:val="20"/>
                            </w:rPr>
                            <w:t>Spot</w:t>
                          </w:r>
                          <w:r>
                            <w:rPr>
                              <w:spacing w:val="-2"/>
                              <w:sz w:val="20"/>
                            </w:rPr>
                            <w:t> </w:t>
                          </w:r>
                          <w:r>
                            <w:rPr>
                              <w:sz w:val="20"/>
                            </w:rPr>
                            <w:t>Polarizing</w:t>
                          </w:r>
                          <w:r>
                            <w:rPr>
                              <w:spacing w:val="-1"/>
                              <w:sz w:val="20"/>
                            </w:rPr>
                            <w:t> </w:t>
                          </w:r>
                          <w:r>
                            <w:rPr>
                              <w:spacing w:val="-2"/>
                              <w:sz w:val="20"/>
                            </w:rPr>
                            <w:t>Language</w:t>
                          </w:r>
                        </w:p>
                      </w:txbxContent>
                    </wps:txbx>
                    <wps:bodyPr wrap="square" lIns="0" tIns="0" rIns="0" bIns="0" rtlCol="0">
                      <a:noAutofit/>
                    </wps:bodyPr>
                  </wps:wsp>
                </a:graphicData>
              </a:graphic>
            </wp:anchor>
          </w:drawing>
        </mc:Choice>
        <mc:Fallback>
          <w:pict>
            <v:shape style="position:absolute;margin-left:70.800003pt;margin-top:48.888866pt;width:148.8pt;height:13.1pt;mso-position-horizontal-relative:page;mso-position-vertical-relative:page;z-index:-15757312" type="#_x0000_t202" id="docshape2" filled="false" stroked="false">
              <v:textbox inset="0,0,0,0">
                <w:txbxContent>
                  <w:p>
                    <w:pPr>
                      <w:spacing w:before="11"/>
                      <w:ind w:left="20" w:right="0" w:firstLine="0"/>
                      <w:jc w:val="left"/>
                      <w:rPr>
                        <w:sz w:val="20"/>
                      </w:rPr>
                    </w:pPr>
                    <w:r>
                      <w:rPr>
                        <w:sz w:val="20"/>
                      </w:rPr>
                      <w:t>7</w:t>
                    </w:r>
                    <w:r>
                      <w:rPr>
                        <w:spacing w:val="-2"/>
                        <w:sz w:val="20"/>
                      </w:rPr>
                      <w:t> </w:t>
                    </w:r>
                    <w:r>
                      <w:rPr>
                        <w:sz w:val="20"/>
                      </w:rPr>
                      <w:t>Ways</w:t>
                    </w:r>
                    <w:r>
                      <w:rPr>
                        <w:spacing w:val="-3"/>
                        <w:sz w:val="20"/>
                      </w:rPr>
                      <w:t> </w:t>
                    </w:r>
                    <w:r>
                      <w:rPr>
                        <w:sz w:val="20"/>
                      </w:rPr>
                      <w:t>to</w:t>
                    </w:r>
                    <w:r>
                      <w:rPr>
                        <w:spacing w:val="-2"/>
                        <w:sz w:val="20"/>
                      </w:rPr>
                      <w:t> </w:t>
                    </w:r>
                    <w:r>
                      <w:rPr>
                        <w:sz w:val="20"/>
                      </w:rPr>
                      <w:t>Spot</w:t>
                    </w:r>
                    <w:r>
                      <w:rPr>
                        <w:spacing w:val="-2"/>
                        <w:sz w:val="20"/>
                      </w:rPr>
                      <w:t> </w:t>
                    </w:r>
                    <w:r>
                      <w:rPr>
                        <w:sz w:val="20"/>
                      </w:rPr>
                      <w:t>Polarizing</w:t>
                    </w:r>
                    <w:r>
                      <w:rPr>
                        <w:spacing w:val="-1"/>
                        <w:sz w:val="20"/>
                      </w:rPr>
                      <w:t> </w:t>
                    </w:r>
                    <w:r>
                      <w:rPr>
                        <w:spacing w:val="-2"/>
                        <w:sz w:val="20"/>
                      </w:rPr>
                      <w:t>Language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Abcedi Ilacas</dc:creator>
  <dcterms:created xsi:type="dcterms:W3CDTF">2023-10-27T18:19:13Z</dcterms:created>
  <dcterms:modified xsi:type="dcterms:W3CDTF">2023-10-27T18:19:13Z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Writer</vt:lpwstr>
  </property>
  <property fmtid="{D5CDD505-2E9C-101B-9397-08002B2CF9AE}" pid="4" name="Producer">
    <vt:lpwstr>LibreOffice 7.4</vt:lpwstr>
  </property>
  <property fmtid="{D5CDD505-2E9C-101B-9397-08002B2CF9AE}" pid="5" name="LastSaved">
    <vt:filetime>2023-09-24T00:00:00Z</vt:filetime>
  </property>
</Properties>
</file>