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2A38"/>
          <w:sz w:val="44"/>
          <w:szCs w:val="44"/>
        </w:rPr>
        <w:t xml:space="preserve">HIDDEN PARTNER CLOUD</w:t>
      </w:r>
    </w:p>
    <w:p>
      <w:pPr>
        <w:spacing w:after="260"/>
      </w:pPr>
      <w:r>
        <w:rPr>
          <w:b/>
          <w:bCs/>
          <w:color w:val="2F6FED"/>
          <w:sz w:val="26"/>
          <w:szCs w:val="26"/>
        </w:rPr>
        <w:t xml:space="preserve">Partner Package — Why Partners Choose HPC</w:t>
      </w:r>
    </w:p>
    <w:p>
      <w:pPr>
        <w:spacing w:after="140" w:line="300"/>
      </w:pPr>
      <w:r>
        <w:rPr>
          <w:i w:val="false"/>
          <w:iCs w:val="false"/>
          <w:color w:val="222222"/>
          <w:sz w:val="22"/>
          <w:szCs w:val="22"/>
        </w:rPr>
        <w:t xml:space="preserve">HPC is the operations engine behind a credit-repair business: document intake, AI-verified identity checks, dispute letter generation, per-bureau tracking, and client-facing reporting — all sitting on infrastructure that's independently audited, not just self-described as “secure.” This package covers the three things partners ask about most: security, whether they have to give up their current tools, and what actually makes HPC different day to day.</w:t>
      </w:r>
    </w:p>
    <w:p>
      <w:pPr>
        <w:pStyle w:val="Heading1"/>
        <w:pBdr>
          <w:bottom w:val="single" w:color="2F6FED" w:sz="6" w:space="4"/>
        </w:pBdr>
        <w:spacing w:after="160" w:before="360"/>
      </w:pPr>
      <w:r>
        <w:rPr>
          <w:b/>
          <w:bCs/>
          <w:color w:val="1E2A38"/>
          <w:sz w:val="28"/>
          <w:szCs w:val="28"/>
        </w:rPr>
        <w:t xml:space="preserve">1. Security You Can Verify</w:t>
      </w:r>
    </w:p>
    <w:p>
      <w:pPr>
        <w:spacing w:after="140" w:line="300"/>
      </w:pPr>
      <w:r>
        <w:rPr>
          <w:i w:val="false"/>
          <w:iCs w:val="false"/>
          <w:color w:val="222222"/>
          <w:sz w:val="22"/>
          <w:szCs w:val="22"/>
        </w:rPr>
        <w:t xml:space="preserve">Security here works in two layers, the way a bank works: the vault, and the safe deposit box inside it. The vault is the infrastructure HPC runs on (Supabase). The box is what HPC itself adds on top, built specifically for handling credit-repair client data.</w:t>
      </w:r>
    </w:p>
    <w:p>
      <w:pPr>
        <w:pStyle w:val="Heading2"/>
        <w:spacing w:after="100" w:before="240"/>
      </w:pPr>
      <w:r>
        <w:rPr>
          <w:b/>
          <w:bCs/>
          <w:color w:val="2F6FED"/>
          <w:sz w:val="24"/>
          <w:szCs w:val="24"/>
        </w:rPr>
        <w:t xml:space="preserve">The Vault — Infrastructure (Supabase)</w:t>
      </w:r>
    </w:p>
    <w:p>
      <w:pPr>
        <w:pStyle w:val="ListParagraph"/>
        <w:numPr>
          <w:ilvl w:val="0"/>
          <w:numId w:val="2"/>
        </w:numPr>
        <w:spacing w:after="80" w:line="280"/>
      </w:pPr>
      <w:r>
        <w:rPr>
          <w:b/>
          <w:bCs/>
          <w:color w:val="111111"/>
          <w:sz w:val="21"/>
          <w:szCs w:val="21"/>
        </w:rPr>
        <w:t xml:space="preserve">SOC 2 Type 2 compliant:</w:t>
      </w:r>
      <w:r>
        <w:rPr>
          <w:color w:val="222222"/>
          <w:sz w:val="21"/>
          <w:szCs w:val="21"/>
        </w:rPr>
        <w:t xml:space="preserve"> independently audited every year against the SOC 2 Trust Services Criteria — security, availability, confidentiality — by a third party, not self-certified.</w:t>
      </w:r>
    </w:p>
    <w:p>
      <w:pPr>
        <w:pStyle w:val="ListParagraph"/>
        <w:numPr>
          <w:ilvl w:val="0"/>
          <w:numId w:val="2"/>
        </w:numPr>
        <w:spacing w:after="80" w:line="280"/>
      </w:pPr>
      <w:r>
        <w:rPr>
          <w:b/>
          <w:bCs/>
          <w:color w:val="111111"/>
          <w:sz w:val="21"/>
          <w:szCs w:val="21"/>
        </w:rPr>
        <w:t xml:space="preserve">ISO 27001 certified:</w:t>
      </w:r>
      <w:r>
        <w:rPr>
          <w:color w:val="222222"/>
          <w:sz w:val="21"/>
          <w:szCs w:val="21"/>
        </w:rPr>
        <w:t xml:space="preserve"> certified against the international standard for information security management.</w:t>
      </w:r>
    </w:p>
    <w:p>
      <w:pPr>
        <w:pStyle w:val="ListParagraph"/>
        <w:numPr>
          <w:ilvl w:val="0"/>
          <w:numId w:val="2"/>
        </w:numPr>
        <w:spacing w:after="80" w:line="280"/>
      </w:pPr>
      <w:r>
        <w:rPr>
          <w:b/>
          <w:bCs/>
          <w:color w:val="111111"/>
          <w:sz w:val="21"/>
          <w:szCs w:val="21"/>
        </w:rPr>
        <w:t xml:space="preserve">HIPAA compliant:</w:t>
      </w:r>
      <w:r>
        <w:rPr>
          <w:color w:val="222222"/>
          <w:sz w:val="21"/>
          <w:szCs w:val="21"/>
        </w:rPr>
        <w:t xml:space="preserve"> built to handle protected health-level data under a signed Business Associate Agreement, if that's ever relevant.</w:t>
      </w:r>
    </w:p>
    <w:p>
      <w:pPr>
        <w:pStyle w:val="ListParagraph"/>
        <w:numPr>
          <w:ilvl w:val="0"/>
          <w:numId w:val="2"/>
        </w:numPr>
        <w:spacing w:after="80" w:line="280"/>
      </w:pPr>
      <w:r>
        <w:rPr>
          <w:b/>
          <w:bCs/>
          <w:color w:val="111111"/>
          <w:sz w:val="21"/>
          <w:szCs w:val="21"/>
        </w:rPr>
        <w:t xml:space="preserve">Encryption:</w:t>
      </w:r>
      <w:r>
        <w:rPr>
          <w:color w:val="222222"/>
          <w:sz w:val="21"/>
          <w:szCs w:val="21"/>
        </w:rPr>
        <w:t xml:space="preserve"> all data encrypted at rest with AES-256 — the same standard used in banking — and encrypted in transit via TLS, the same padlock-in-the-browser encryption as any secure banking site.</w:t>
      </w:r>
    </w:p>
    <w:p>
      <w:pPr>
        <w:pStyle w:val="ListParagraph"/>
        <w:numPr>
          <w:ilvl w:val="0"/>
          <w:numId w:val="2"/>
        </w:numPr>
        <w:spacing w:after="80" w:line="280"/>
      </w:pPr>
      <w:r>
        <w:rPr>
          <w:b/>
          <w:bCs/>
          <w:color w:val="111111"/>
          <w:sz w:val="21"/>
          <w:szCs w:val="21"/>
        </w:rPr>
        <w:t xml:space="preserve">Backups:</w:t>
      </w:r>
      <w:r>
        <w:rPr>
          <w:color w:val="222222"/>
          <w:sz w:val="21"/>
          <w:szCs w:val="21"/>
        </w:rPr>
        <w:t xml:space="preserve"> daily automatic backups, with point-in-time recovery available — the database can be restored to any specific moment if something is ever deleted or corrupted by mistake.</w:t>
      </w:r>
    </w:p>
    <w:p>
      <w:pPr>
        <w:pStyle w:val="ListParagraph"/>
        <w:numPr>
          <w:ilvl w:val="0"/>
          <w:numId w:val="2"/>
        </w:numPr>
        <w:spacing w:after="80" w:line="280"/>
      </w:pPr>
      <w:r>
        <w:rPr>
          <w:b/>
          <w:bCs/>
          <w:color w:val="111111"/>
          <w:sz w:val="21"/>
          <w:szCs w:val="21"/>
        </w:rPr>
        <w:t xml:space="preserve">DDoS protection:</w:t>
      </w:r>
      <w:r>
        <w:rPr>
          <w:color w:val="222222"/>
          <w:sz w:val="21"/>
          <w:szCs w:val="21"/>
        </w:rPr>
        <w:t xml:space="preserve"> network-level protection (Cloudflare) plus brute-force login protection, so the platform can't be knocked offline or hammered by bots.</w:t>
      </w:r>
    </w:p>
    <w:p>
      <w:pPr>
        <w:pStyle w:val="ListParagraph"/>
        <w:numPr>
          <w:ilvl w:val="0"/>
          <w:numId w:val="2"/>
        </w:numPr>
        <w:spacing w:after="80" w:line="280"/>
      </w:pPr>
      <w:r>
        <w:rPr>
          <w:b/>
          <w:bCs/>
          <w:color w:val="111111"/>
          <w:sz w:val="21"/>
          <w:szCs w:val="21"/>
        </w:rPr>
        <w:t xml:space="preserve">Multi-factor authentication:</w:t>
      </w:r>
      <w:r>
        <w:rPr>
          <w:color w:val="222222"/>
          <w:sz w:val="21"/>
          <w:szCs w:val="21"/>
        </w:rPr>
        <w:t xml:space="preserve"> available for account logins as an extra layer beyond a password.</w:t>
      </w:r>
    </w:p>
    <w:p>
      <w:pPr>
        <w:pStyle w:val="Heading2"/>
        <w:spacing w:after="100" w:before="240"/>
      </w:pPr>
      <w:r>
        <w:rPr>
          <w:b/>
          <w:bCs/>
          <w:color w:val="2F6FED"/>
          <w:sz w:val="24"/>
          <w:szCs w:val="24"/>
        </w:rPr>
        <w:t xml:space="preserve">The Box — What HPC Adds on Top</w:t>
      </w:r>
    </w:p>
    <w:p>
      <w:pPr>
        <w:pStyle w:val="ListParagraph"/>
        <w:numPr>
          <w:ilvl w:val="0"/>
          <w:numId w:val="2"/>
        </w:numPr>
        <w:spacing w:after="80" w:line="280"/>
      </w:pPr>
      <w:r>
        <w:rPr>
          <w:b/>
          <w:bCs/>
          <w:color w:val="111111"/>
          <w:sz w:val="21"/>
          <w:szCs w:val="21"/>
        </w:rPr>
        <w:t xml:space="preserve">Partner data isolation:</w:t>
      </w:r>
      <w:r>
        <w:rPr>
          <w:color w:val="222222"/>
          <w:sz w:val="21"/>
          <w:szCs w:val="21"/>
        </w:rPr>
        <w:t xml:space="preserve"> every partner's clients are walled off from every other partner's clients at the database level (Row Level Security) — not just filtered in the app's code, which means even a bug in HPC's own code can't leak one partner's data into another's.</w:t>
      </w:r>
    </w:p>
    <w:p>
      <w:pPr>
        <w:pStyle w:val="ListParagraph"/>
        <w:numPr>
          <w:ilvl w:val="0"/>
          <w:numId w:val="2"/>
        </w:numPr>
        <w:spacing w:after="80" w:line="280"/>
      </w:pPr>
      <w:r>
        <w:rPr>
          <w:b/>
          <w:bCs/>
          <w:color w:val="111111"/>
          <w:sz w:val="21"/>
          <w:szCs w:val="21"/>
        </w:rPr>
        <w:t xml:space="preserve">PII hidden by default:</w:t>
      </w:r>
      <w:r>
        <w:rPr>
          <w:color w:val="222222"/>
          <w:sz w:val="21"/>
          <w:szCs w:val="21"/>
        </w:rPr>
        <w:t xml:space="preserve"> SSNs, addresses, and other sensitive fields are blurred on screen by default. Staff have to actively click to reveal them, and the reveal auto-expires after 30 seconds.</w:t>
      </w:r>
    </w:p>
    <w:p>
      <w:pPr>
        <w:pStyle w:val="ListParagraph"/>
        <w:numPr>
          <w:ilvl w:val="0"/>
          <w:numId w:val="2"/>
        </w:numPr>
        <w:spacing w:after="80" w:line="280"/>
      </w:pPr>
      <w:r>
        <w:rPr>
          <w:b/>
          <w:bCs/>
          <w:color w:val="111111"/>
          <w:sz w:val="21"/>
          <w:szCs w:val="21"/>
        </w:rPr>
        <w:t xml:space="preserve">Granular permissions:</w:t>
      </w:r>
      <w:r>
        <w:rPr>
          <w:color w:val="222222"/>
          <w:sz w:val="21"/>
          <w:szCs w:val="21"/>
        </w:rPr>
        <w:t xml:space="preserve"> who can do what — delete a document, edit a client, view sensitive fields — is controlled per staff member with individual permissions, not a fixed “admin vs. everyone” switch.</w:t>
      </w:r>
    </w:p>
    <w:p>
      <w:pPr>
        <w:pStyle w:val="ListParagraph"/>
        <w:numPr>
          <w:ilvl w:val="0"/>
          <w:numId w:val="2"/>
        </w:numPr>
        <w:spacing w:after="80" w:line="280"/>
      </w:pPr>
      <w:r>
        <w:rPr>
          <w:b/>
          <w:bCs/>
          <w:color w:val="111111"/>
          <w:sz w:val="21"/>
          <w:szCs w:val="21"/>
        </w:rPr>
        <w:t xml:space="preserve">AI-verified identity documents:</w:t>
      </w:r>
      <w:r>
        <w:rPr>
          <w:color w:val="222222"/>
          <w:sz w:val="21"/>
          <w:szCs w:val="21"/>
        </w:rPr>
        <w:t xml:space="preserve"> every uploaded ID, SSN card, and proof-of-address document is read by AI and cross-checked against the name, date of birth, SSN, and address already on file — catching a mismatched or fraudulent document before a dispute goes out under the wrong identity.</w:t>
      </w:r>
    </w:p>
    <w:p>
      <w:pPr>
        <w:pStyle w:val="ListParagraph"/>
        <w:numPr>
          <w:ilvl w:val="0"/>
          <w:numId w:val="2"/>
        </w:numPr>
        <w:spacing w:after="80" w:line="280"/>
      </w:pPr>
      <w:r>
        <w:rPr>
          <w:b/>
          <w:bCs/>
          <w:color w:val="111111"/>
          <w:sz w:val="21"/>
          <w:szCs w:val="21"/>
        </w:rPr>
        <w:t xml:space="preserve">Full audit trail:</w:t>
      </w:r>
      <w:r>
        <w:rPr>
          <w:color w:val="222222"/>
          <w:sz w:val="21"/>
          <w:szCs w:val="21"/>
        </w:rPr>
        <w:t xml:space="preserve"> every upload, edit, letter generated, and payment status change is logged against the specific staff member who did it, with a timestamp — a real answer to “who touched this,” not a guess.</w:t>
      </w:r>
    </w:p>
    <w:p>
      <w:pPr>
        <w:pStyle w:val="Heading1"/>
        <w:pBdr>
          <w:bottom w:val="single" w:color="2F6FED" w:sz="6" w:space="4"/>
        </w:pBdr>
        <w:spacing w:after="160" w:before="360"/>
      </w:pPr>
      <w:r>
        <w:rPr>
          <w:b/>
          <w:bCs/>
          <w:color w:val="1E2A38"/>
          <w:sz w:val="28"/>
          <w:szCs w:val="28"/>
        </w:rPr>
        <w:t xml:space="preserve">2. Works With What Partners Already Use</w:t>
      </w:r>
    </w:p>
    <w:p>
      <w:pPr>
        <w:spacing w:after="140" w:line="300"/>
      </w:pPr>
      <w:r>
        <w:rPr>
          <w:i w:val="false"/>
          <w:iCs w:val="false"/>
          <w:color w:val="222222"/>
          <w:sz w:val="22"/>
          <w:szCs w:val="22"/>
        </w:rPr>
        <w:t xml:space="preserve">A partner doesn't have to leave GoHighLevel to use HPC. HPC already pushes live updates into a partner's GoHighLevel account automatically, the moment specific things happen — using GoHighLevel's own webhook system, the same mechanism GHL is built to receive updates through.</w:t>
      </w:r>
    </w:p>
    <w:p>
      <w:pPr>
        <w:spacing w:after="140" w:line="300"/>
      </w:pPr>
      <w:r>
        <w:rPr>
          <w:i w:val="false"/>
          <w:iCs w:val="false"/>
          <w:color w:val="222222"/>
          <w:sz w:val="22"/>
          <w:szCs w:val="22"/>
        </w:rPr>
        <w:t xml:space="preserve">Today, these events already fire into GoHighLevel automatically:</w:t>
      </w:r>
    </w:p>
    <w:p>
      <w:pPr>
        <w:pStyle w:val="ListParagraph"/>
        <w:numPr>
          <w:ilvl w:val="0"/>
          <w:numId w:val="2"/>
        </w:numPr>
        <w:spacing w:after="80" w:line="280"/>
      </w:pPr>
      <w:r>
        <w:rPr>
          <w:color w:val="222222"/>
          <w:sz w:val="21"/>
          <w:szCs w:val="21"/>
        </w:rPr>
        <w:t xml:space="preserve">a specific bureau (Experian, TransUnion, or Equifax) is marked complete on a client's dispute</w:t>
      </w:r>
    </w:p>
    <w:p>
      <w:pPr>
        <w:pStyle w:val="ListParagraph"/>
        <w:numPr>
          <w:ilvl w:val="0"/>
          <w:numId w:val="2"/>
        </w:numPr>
        <w:spacing w:after="80" w:line="280"/>
      </w:pPr>
      <w:r>
        <w:rPr>
          <w:color w:val="222222"/>
          <w:sz w:val="21"/>
          <w:szCs w:val="21"/>
        </w:rPr>
        <w:t xml:space="preserve">a client is marked paid</w:t>
      </w:r>
    </w:p>
    <w:p>
      <w:pPr>
        <w:pStyle w:val="ListParagraph"/>
        <w:numPr>
          <w:ilvl w:val="0"/>
          <w:numId w:val="2"/>
        </w:numPr>
        <w:spacing w:after="80" w:line="280"/>
      </w:pPr>
      <w:r>
        <w:rPr>
          <w:color w:val="222222"/>
          <w:sz w:val="21"/>
          <w:szCs w:val="21"/>
        </w:rPr>
        <w:t xml:space="preserve">a client's credit score moves</w:t>
      </w:r>
    </w:p>
    <w:p>
      <w:pPr>
        <w:pStyle w:val="ListParagraph"/>
        <w:numPr>
          <w:ilvl w:val="0"/>
          <w:numId w:val="2"/>
        </w:numPr>
        <w:spacing w:after="80" w:line="280"/>
      </w:pPr>
      <w:r>
        <w:rPr>
          <w:color w:val="222222"/>
          <w:sz w:val="21"/>
          <w:szCs w:val="21"/>
        </w:rPr>
        <w:t xml:space="preserve">a document is logged on a client's file</w:t>
      </w:r>
    </w:p>
    <w:p>
      <w:pPr>
        <w:pStyle w:val="ListParagraph"/>
        <w:numPr>
          <w:ilvl w:val="0"/>
          <w:numId w:val="2"/>
        </w:numPr>
        <w:spacing w:after="80" w:line="280"/>
      </w:pPr>
      <w:r>
        <w:rPr>
          <w:color w:val="222222"/>
          <w:sz w:val="21"/>
          <w:szCs w:val="21"/>
        </w:rPr>
        <w:t xml:space="preserve">a support request comes in</w:t>
      </w:r>
    </w:p>
    <w:p>
      <w:pPr>
        <w:spacing w:after="140" w:line="300"/>
      </w:pPr>
      <w:r>
        <w:rPr>
          <w:i w:val="false"/>
          <w:iCs w:val="false"/>
          <w:color w:val="222222"/>
          <w:sz w:val="22"/>
          <w:szCs w:val="22"/>
        </w:rPr>
        <w:t xml:space="preserve">In practice, this means a partner keeps living inside GoHighLevel — their pipelines, their automations, their texts — and HPC quietly becomes the engine underneath doing the credit-repair-specific work, feeding GHL updates as they happen instead of requiring anyone to log into a second system to check status.</w:t>
      </w:r>
    </w:p>
    <w:p>
      <w:pPr>
        <w:spacing w:after="200" w:line="260"/>
        <w:ind w:left="360"/>
      </w:pPr>
      <w:r>
        <w:rPr>
          <w:i/>
          <w:iCs/>
          <w:color w:val="555555"/>
          <w:sz w:val="20"/>
          <w:szCs w:val="20"/>
        </w:rPr>
        <w:t xml:space="preserve">Honest scope note: this currently flows one direction — HPC notifies GoHighLevel. Pulling new leads from GHL into HPC automatically (the reverse direction) uses the same webhook approach on GHL's side and is a straightforward next step, not something already built.</w:t>
      </w:r>
    </w:p>
    <w:p>
      <w:pPr>
        <w:pStyle w:val="Heading1"/>
        <w:pBdr>
          <w:bottom w:val="single" w:color="2F6FED" w:sz="6" w:space="4"/>
        </w:pBdr>
        <w:spacing w:after="160" w:before="360"/>
      </w:pPr>
      <w:r>
        <w:rPr>
          <w:b/>
          <w:bCs/>
          <w:color w:val="1E2A38"/>
          <w:sz w:val="28"/>
          <w:szCs w:val="28"/>
        </w:rPr>
        <w:t xml:space="preserve">3. Built Specifically for Credit Repair Operations</w:t>
      </w:r>
    </w:p>
    <w:p>
      <w:pPr>
        <w:spacing w:after="140" w:line="300"/>
      </w:pPr>
      <w:r>
        <w:rPr>
          <w:i w:val="false"/>
          <w:iCs w:val="false"/>
          <w:color w:val="222222"/>
          <w:sz w:val="22"/>
          <w:szCs w:val="22"/>
        </w:rPr>
        <w:t xml:space="preserve">This is the part a generic CRM or spreadsheet workflow doesn't do:</w:t>
      </w:r>
    </w:p>
    <w:p>
      <w:pPr>
        <w:pStyle w:val="ListParagraph"/>
        <w:numPr>
          <w:ilvl w:val="0"/>
          <w:numId w:val="2"/>
        </w:numPr>
        <w:spacing w:after="80" w:line="280"/>
      </w:pPr>
      <w:r>
        <w:rPr>
          <w:b/>
          <w:bCs/>
          <w:color w:val="111111"/>
          <w:sz w:val="21"/>
          <w:szCs w:val="21"/>
        </w:rPr>
        <w:t xml:space="preserve">AI Document Alignment Check:</w:t>
      </w:r>
      <w:r>
        <w:rPr>
          <w:color w:val="222222"/>
          <w:sz w:val="21"/>
          <w:szCs w:val="21"/>
        </w:rPr>
        <w:t xml:space="preserve"> automatically cross-checks the name, DOB, SSN, and address on every uploaded ID and proof-of-address document against the client's record — flagging mismatches before they become a problem, without a human having to eyeball every document.</w:t>
      </w:r>
    </w:p>
    <w:p>
      <w:pPr>
        <w:pStyle w:val="ListParagraph"/>
        <w:numPr>
          <w:ilvl w:val="0"/>
          <w:numId w:val="2"/>
        </w:numPr>
        <w:spacing w:after="80" w:line="280"/>
      </w:pPr>
      <w:r>
        <w:rPr>
          <w:b/>
          <w:bCs/>
          <w:color w:val="111111"/>
          <w:sz w:val="21"/>
          <w:szCs w:val="21"/>
        </w:rPr>
        <w:t xml:space="preserve">Automated dispute letters &amp; per-bureau tracking:</w:t>
      </w:r>
      <w:r>
        <w:rPr>
          <w:color w:val="222222"/>
          <w:sz w:val="21"/>
          <w:szCs w:val="21"/>
        </w:rPr>
        <w:t xml:space="preserve"> dispute letters are generated and tracked per bureau, per round, with a client's full dispute history preserved across rounds if they return for another engagement.</w:t>
      </w:r>
    </w:p>
    <w:p>
      <w:pPr>
        <w:pStyle w:val="ListParagraph"/>
        <w:numPr>
          <w:ilvl w:val="0"/>
          <w:numId w:val="2"/>
        </w:numPr>
        <w:spacing w:after="80" w:line="280"/>
      </w:pPr>
      <w:r>
        <w:rPr>
          <w:b/>
          <w:bCs/>
          <w:color w:val="111111"/>
          <w:sz w:val="21"/>
          <w:szCs w:val="21"/>
        </w:rPr>
        <w:t xml:space="preserve">Client-facing reporting:</w:t>
      </w:r>
      <w:r>
        <w:rPr>
          <w:color w:val="222222"/>
          <w:sz w:val="21"/>
          <w:szCs w:val="21"/>
        </w:rPr>
        <w:t xml:space="preserve"> clients get a shareable, read-only link showing their credit report and dispute progress — no separate client portal to build or maintain.</w:t>
      </w:r>
    </w:p>
    <w:p>
      <w:pPr>
        <w:pStyle w:val="ListParagraph"/>
        <w:numPr>
          <w:ilvl w:val="0"/>
          <w:numId w:val="2"/>
        </w:numPr>
        <w:spacing w:after="80" w:line="280"/>
      </w:pPr>
      <w:r>
        <w:rPr>
          <w:b/>
          <w:bCs/>
          <w:color w:val="111111"/>
          <w:sz w:val="21"/>
          <w:szCs w:val="21"/>
        </w:rPr>
        <w:t xml:space="preserve">Self-service inquiry flagging:</w:t>
      </w:r>
      <w:r>
        <w:rPr>
          <w:color w:val="222222"/>
          <w:sz w:val="21"/>
          <w:szCs w:val="21"/>
        </w:rPr>
        <w:t xml:space="preserve"> clients can flag an inquiry they don't recognize directly from their report link, which queues it for staff review instead of requiring a phone call.</w:t>
      </w:r>
    </w:p>
    <w:p>
      <w:pPr>
        <w:pStyle w:val="Heading1"/>
        <w:pBdr>
          <w:bottom w:val="single" w:color="2F6FED" w:sz="6" w:space="4"/>
        </w:pBdr>
        <w:spacing w:after="160" w:before="360"/>
      </w:pPr>
      <w:r>
        <w:rPr>
          <w:b/>
          <w:bCs/>
          <w:color w:val="1E2A38"/>
          <w:sz w:val="28"/>
          <w:szCs w:val="28"/>
        </w:rPr>
        <w:t xml:space="preserve">Bottom Line</w:t>
      </w:r>
    </w:p>
    <w:p>
      <w:pPr>
        <w:spacing w:after="140" w:line="300"/>
      </w:pPr>
      <w:r>
        <w:rPr>
          <w:i w:val="false"/>
          <w:iCs w:val="false"/>
          <w:color w:val="222222"/>
          <w:sz w:val="22"/>
          <w:szCs w:val="22"/>
        </w:rPr>
        <w:t xml:space="preserve">The short version for a partner who doesn't want to switch systems: the infrastructure is independently audited (not self-certified), their clients' data is walled off from every other partner at the database level, sensitive fields are hidden until someone actively reveals them, every document gets AI-verified against what's on file, and updates already flow automatically into the GoHighLevel account they're already running — no new system for their team to learn.</w:t>
      </w:r>
    </w:p>
    <w:p>
      <w:pPr>
        <w:spacing w:after="200" w:line="260"/>
        <w:ind w:left="360"/>
      </w:pPr>
      <w:r>
        <w:rPr>
          <w:i/>
          <w:iCs/>
          <w:color w:val="555555"/>
          <w:sz w:val="20"/>
          <w:szCs w:val="20"/>
        </w:rPr>
        <w:t xml:space="preserve">Not included here: pricing/tiers — add those once finalized. This document is written to work both as internal reference and as something you can hand directly to a partner or prospect.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2026-08-25T22:19:25.028Z</dcterms:created>
  <dcterms:modified xsi:type="dcterms:W3CDTF">2026-08-25T22:19:25.045Z</dcterms:modified>
</cp:coreProperties>
</file>

<file path=docProps/custom.xml><?xml version="1.0" encoding="utf-8"?>
<Properties xmlns="http://schemas.openxmlformats.org/officeDocument/2006/custom-properties" xmlns:vt="http://schemas.openxmlformats.org/officeDocument/2006/docPropsVTypes"/>
</file>