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A38"/>
          <w:sz w:val="44"/>
          <w:szCs w:val="44"/>
        </w:rPr>
        <w:t xml:space="preserve">HIDDEN PARTNER CLOUD</w:t>
      </w:r>
    </w:p>
    <w:p>
      <w:pPr>
        <w:spacing w:after="260"/>
      </w:pPr>
      <w:r>
        <w:rPr>
          <w:b/>
          <w:bCs/>
          <w:color w:val="2F6FED"/>
          <w:sz w:val="26"/>
          <w:szCs w:val="26"/>
        </w:rPr>
        <w:t xml:space="preserve">Partner Platform — Pricing &amp; What's Included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Everything a credit-repair partner needs to run their operation — document intake, AI-verified identity checks, automated dispute letters, per-bureau tracking, and client-facing reporting — on infrastructure that's independently audited, plugged into the tools you already run.</w:t>
      </w:r>
    </w:p>
    <w:tbl>
      <w:tblPr>
        <w:tblW w:type="dxa" w:w="9360"/>
        <w:tblBorders>
          <w:top w:val="single" w:color="2F6FED" w:sz="4"/>
          <w:left w:val="single" w:color="2F6FED" w:sz="4"/>
          <w:bottom w:val="single" w:color="2F6FED" w:sz="4"/>
          <w:right w:val="single" w:color="2F6FED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F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PARTNER PLATFORM ACCESS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E2A38"/>
                <w:sz w:val="56"/>
                <w:szCs w:val="56"/>
              </w:rPr>
              <w:t xml:space="preserve">$497</w:t>
            </w:r>
            <w:r>
              <w:rPr>
                <w:b/>
                <w:bCs/>
                <w:color w:val="555555"/>
                <w:sz w:val="26"/>
                <w:szCs w:val="26"/>
              </w:rPr>
              <w:t xml:space="preserve"> / month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Flat rate. Unlimited clients. Every feature included — no add-ons, no per-client fees.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b/>
          <w:bCs/>
          <w:color w:val="1E2A38"/>
          <w:sz w:val="28"/>
          <w:szCs w:val="28"/>
        </w:rPr>
        <w:t xml:space="preserve">What's Included</w:t>
      </w:r>
    </w:p>
    <w:p>
      <w:pPr>
        <w:pStyle w:val="Heading2"/>
        <w:spacing w:after="100" w:before="240"/>
      </w:pPr>
      <w:r>
        <w:rPr>
          <w:b/>
          <w:bCs/>
          <w:color w:val="2F6FED"/>
          <w:sz w:val="24"/>
          <w:szCs w:val="24"/>
        </w:rPr>
        <w:t xml:space="preserve">Security You Can Verify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Infrastructure:</w:t>
      </w:r>
      <w:r>
        <w:rPr>
          <w:color w:val="222222"/>
          <w:sz w:val="21"/>
          <w:szCs w:val="21"/>
        </w:rPr>
        <w:t xml:space="preserve"> SOC 2 Type 2 audited annually, ISO 27001 certified, HIPAA compliant, AES-256 encryption at rest, TLS in transit, daily backups with point-in-time recovery, DDoS protection, MFA available.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Partner data isolation:</w:t>
      </w:r>
      <w:r>
        <w:rPr>
          <w:color w:val="222222"/>
          <w:sz w:val="21"/>
          <w:szCs w:val="21"/>
        </w:rPr>
        <w:t xml:space="preserve"> your clients are walled off from every other partner's clients at the database level — not just filtered in app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Hidden-by-default PII:</w:t>
      </w:r>
      <w:r>
        <w:rPr>
          <w:color w:val="222222"/>
          <w:sz w:val="21"/>
          <w:szCs w:val="21"/>
        </w:rPr>
        <w:t xml:space="preserve"> SSNs, addresses, and other sensitive fields are blurred by default and only shown on an active, time-limited reveal.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Granular access control:</w:t>
      </w:r>
      <w:r>
        <w:rPr>
          <w:color w:val="222222"/>
          <w:sz w:val="21"/>
          <w:szCs w:val="21"/>
        </w:rPr>
        <w:t xml:space="preserve"> individual staff permissions instead of a fixed admin/everyone switch.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Full audit trail:</w:t>
      </w:r>
      <w:r>
        <w:rPr>
          <w:color w:val="222222"/>
          <w:sz w:val="21"/>
          <w:szCs w:val="21"/>
        </w:rPr>
        <w:t xml:space="preserve"> every upload, edit, letter, and payment status change is logged to the specific staff member and timestamp.</w:t>
      </w:r>
    </w:p>
    <w:p>
      <w:pPr>
        <w:pStyle w:val="Heading2"/>
        <w:spacing w:after="100" w:before="240"/>
      </w:pPr>
      <w:r>
        <w:rPr>
          <w:b/>
          <w:bCs/>
          <w:color w:val="2F6FED"/>
          <w:sz w:val="24"/>
          <w:szCs w:val="24"/>
        </w:rPr>
        <w:t xml:space="preserve">Works With What You Already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Live GoHighLevel updates:</w:t>
      </w:r>
      <w:r>
        <w:rPr>
          <w:color w:val="222222"/>
          <w:sz w:val="21"/>
          <w:szCs w:val="21"/>
        </w:rPr>
        <w:t xml:space="preserve"> HPC automatically notifies your GoHighLevel account when a bureau is marked complete, a client is marked paid, a client's score moves, a document is logged, or a support request comes in — no manual status checks, no second system to log into.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No workflow change required:</w:t>
      </w:r>
      <w:r>
        <w:rPr>
          <w:color w:val="222222"/>
          <w:sz w:val="21"/>
          <w:szCs w:val="21"/>
        </w:rPr>
        <w:t xml:space="preserve"> keep running your pipelines, automations, and texting exactly as you do today.</w:t>
      </w:r>
    </w:p>
    <w:p>
      <w:pPr>
        <w:pStyle w:val="Heading2"/>
        <w:spacing w:after="100" w:before="240"/>
      </w:pPr>
      <w:r>
        <w:rPr>
          <w:b/>
          <w:bCs/>
          <w:color w:val="2F6FED"/>
          <w:sz w:val="24"/>
          <w:szCs w:val="24"/>
        </w:rPr>
        <w:t xml:space="preserve">Built for Credit Repair, Not Generic CRM 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AI Document Alignment Check:</w:t>
      </w:r>
      <w:r>
        <w:rPr>
          <w:color w:val="222222"/>
          <w:sz w:val="21"/>
          <w:szCs w:val="21"/>
        </w:rPr>
        <w:t xml:space="preserve"> every uploaded ID, SSN card, and proof-of-address document is AI-cross-checked against name, DOB, SSN, and address on 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Automated dispute letters:</w:t>
      </w:r>
      <w:r>
        <w:rPr>
          <w:color w:val="222222"/>
          <w:sz w:val="21"/>
          <w:szCs w:val="21"/>
        </w:rPr>
        <w:t xml:space="preserve"> generated and tracked per bureau, per round, with full dispute history preserved across returning engagements.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Client-facing progress reports:</w:t>
      </w:r>
      <w:r>
        <w:rPr>
          <w:color w:val="222222"/>
          <w:sz w:val="21"/>
          <w:szCs w:val="21"/>
        </w:rPr>
        <w:t xml:space="preserve"> clients get a shareable, read-only report link — no separate portal for you to build.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Self-service inquiry flagging:</w:t>
      </w:r>
      <w:r>
        <w:rPr>
          <w:color w:val="222222"/>
          <w:sz w:val="21"/>
          <w:szCs w:val="21"/>
        </w:rPr>
        <w:t xml:space="preserve"> clients can flag an inquiry they don't recognize straight from their report link, queued for your team to 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Unlimited staff seats:</w:t>
      </w:r>
      <w:r>
        <w:rPr>
          <w:color w:val="222222"/>
          <w:sz w:val="21"/>
          <w:szCs w:val="21"/>
        </w:rPr>
        <w:t xml:space="preserve"> included at no extra cost — every partner account gets the full feature set above.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b/>
          <w:bCs/>
          <w:color w:val="1E2A38"/>
          <w:sz w:val="28"/>
          <w:szCs w:val="28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Billing:</w:t>
      </w:r>
      <w:r>
        <w:rPr>
          <w:color w:val="222222"/>
          <w:sz w:val="21"/>
          <w:szCs w:val="21"/>
        </w:rPr>
        <w:t xml:space="preserve"> month-to-month, cancel anytime.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11111"/>
          <w:sz w:val="21"/>
          <w:szCs w:val="21"/>
        </w:rPr>
        <w:t xml:space="preserve">What's not extra:</w:t>
      </w:r>
      <w:r>
        <w:rPr>
          <w:color w:val="222222"/>
          <w:sz w:val="21"/>
          <w:szCs w:val="21"/>
        </w:rPr>
        <w:t xml:space="preserve"> $497/month covers the platform, unlimited clients, and every feature above — no setup fee, no per-client add-on pricing.</w:t>
      </w:r>
    </w:p>
    <w:p>
      <w:pPr>
        <w:spacing w:after="200" w:line="260"/>
        <w:ind w:left="360"/>
      </w:pPr>
      <w:r>
        <w:rPr>
          <w:i/>
          <w:iCs/>
          <w:color w:val="555555"/>
          <w:sz w:val="20"/>
          <w:szCs w:val="20"/>
        </w:rPr>
        <w:t xml:space="preserve">Terms above (billing cadence, cancellation, setup fee) are placeholders based on “flat rate, everything included” — confirm actual contract terms before this goes out to a partner, and I'll update the wording to match exactly.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2026-08-25T22:37:38.570Z</dcterms:created>
  <dcterms:modified xsi:type="dcterms:W3CDTF">2026-08-25T22:37:38.571Z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