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bcfarmsil-model-fit-map-1-page"/>
    <w:p>
      <w:pPr>
        <w:pStyle w:val="Heading1"/>
      </w:pPr>
      <w:r>
        <w:t xml:space="preserve">ABCFarmsIL — Model Fit Map (1-page)</w:t>
      </w:r>
    </w:p>
    <w:p>
      <w:pPr>
        <w:pStyle w:val="FirstParagraph"/>
      </w:pPr>
      <w:r>
        <w:rPr>
          <w:i/>
          <w:iCs/>
        </w:rPr>
        <w:t xml:space="preserve">(System + KPI map for partners, grants, and site owners)</w:t>
      </w:r>
    </w:p>
    <w:bookmarkStart w:id="20" w:name="what-this-is-in-one-line"/>
    <w:p>
      <w:pPr>
        <w:pStyle w:val="Heading2"/>
      </w:pPr>
      <w:r>
        <w:t xml:space="preserve">What this is (in one line)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modular, removable</w:t>
      </w:r>
      <w:r>
        <w:rPr>
          <w:b/>
          <w:bCs/>
        </w:rPr>
        <w:t xml:space="preserve"> </w:t>
      </w:r>
      <w:r>
        <w:rPr>
          <w:b/>
          <w:bCs/>
        </w:rPr>
        <w:t xml:space="preserve">“proxy industrial user + local food node”</w:t>
      </w:r>
      <w:r>
        <w:t xml:space="preserve"> </w:t>
      </w:r>
      <w:r>
        <w:t xml:space="preserve">that activates underused/development-ready parcels,</w:t>
      </w:r>
      <w:r>
        <w:t xml:space="preserve"> </w:t>
      </w:r>
      <w:r>
        <w:rPr>
          <w:b/>
          <w:bCs/>
        </w:rPr>
        <w:t xml:space="preserve">validates utilities with real loads</w:t>
      </w:r>
      <w:r>
        <w:t xml:space="preserve">, and produces</w:t>
      </w:r>
      <w:r>
        <w:t xml:space="preserve"> </w:t>
      </w:r>
      <w:r>
        <w:rPr>
          <w:b/>
          <w:bCs/>
        </w:rPr>
        <w:t xml:space="preserve">measurable outcomes</w:t>
      </w:r>
      <w:r>
        <w:t xml:space="preserve"> </w:t>
      </w:r>
      <w:r>
        <w:t xml:space="preserve">without locking in future site use.</w:t>
      </w:r>
    </w:p>
    <w:p>
      <w:r>
        <w:pict>
          <v:rect style="width:0;height:1.5pt" o:hralign="center" o:hrstd="t" o:hr="t"/>
        </w:pict>
      </w:r>
    </w:p>
    <w:bookmarkEnd w:id="20"/>
    <w:bookmarkStart w:id="22" w:name="system-architecture-how-it-works"/>
    <w:p>
      <w:pPr>
        <w:pStyle w:val="Heading2"/>
      </w:pPr>
      <w:r>
        <w:t xml:space="preserve">System architecture (how it works)</w:t>
      </w:r>
    </w:p>
    <w:bookmarkStart w:id="21" w:name="two-site-operating-logic"/>
    <w:p>
      <w:pPr>
        <w:pStyle w:val="Heading3"/>
      </w:pPr>
      <w:r>
        <w:t xml:space="preserve">Two-site operating logic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Site A — Production Hub</w:t>
      </w:r>
      <w:r>
        <w:t xml:space="preserve">: modules + cold chain + workflows + QA + data backbone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Site B —</w:t>
      </w:r>
      <w:r>
        <w:rPr>
          <w:b/>
          <w:bCs/>
        </w:rPr>
        <w:t xml:space="preserve"> </w:t>
      </w:r>
      <w:r>
        <w:rPr>
          <w:b/>
          <w:bCs/>
        </w:rPr>
        <w:t xml:space="preserve">“Living Store”</w:t>
      </w:r>
      <w:r>
        <w:t xml:space="preserve">: visible growing + CSA/retail anchor + community trust + (later) delivery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A[Site A: Production Hub\n• volume + reliability\n• cold chain\n• SOP + QA\n• sub-metering + logs] --&gt;|inventory + standards| B[Site B: Living Store\n• visible production\n• retail + CSA pickup first\n• education + brand trust]</w:t>
      </w:r>
      <w:r>
        <w:br/>
      </w:r>
      <w:r>
        <w:br/>
      </w:r>
      <w:r>
        <w:rPr>
          <w:rStyle w:val="VerbatimChar"/>
        </w:rPr>
        <w:t xml:space="preserve">  A --&gt;|operational telemetry| D[Data Outputs\n• kWh/unit\n• gal/lb\n• yield/sqft\n• demand profiles\n• uptime]</w:t>
      </w:r>
      <w:r>
        <w:br/>
      </w:r>
      <w:r>
        <w:rPr>
          <w:rStyle w:val="VerbatimChar"/>
        </w:rPr>
        <w:t xml:space="preserve">  B --&gt;|market signals| D</w:t>
      </w:r>
      <w:r>
        <w:br/>
      </w:r>
      <w:r>
        <w:br/>
      </w:r>
      <w:r>
        <w:rPr>
          <w:rStyle w:val="VerbatimChar"/>
        </w:rPr>
        <w:t xml:space="preserve">  D --&gt; U[Utility + Planner Value\n• load validation\n• service capacity\n• engineering docs\n• reduced uncertainty]</w:t>
      </w:r>
      <w:r>
        <w:br/>
      </w:r>
      <w:r>
        <w:br/>
      </w:r>
      <w:r>
        <w:rPr>
          <w:rStyle w:val="VerbatimChar"/>
        </w:rPr>
        <w:t xml:space="preserve">  U --&gt;|de-risking| S[Site Readiness\n• shorter dev timeline\n• clearer tenant pathway]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rimary-levers-what-changes-the-system"/>
    <w:p>
      <w:pPr>
        <w:pStyle w:val="Heading2"/>
      </w:pPr>
      <w:r>
        <w:t xml:space="preserve">Primary levers (what changes the system)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Utility tie-ins + sub-metering</w:t>
      </w:r>
      <w:r>
        <w:t xml:space="preserve"> </w:t>
      </w:r>
      <w:r>
        <w:t xml:space="preserve">→ converts infrastructure into</w:t>
      </w:r>
      <w:r>
        <w:t xml:space="preserve"> </w:t>
      </w:r>
      <w:r>
        <w:rPr>
          <w:i/>
          <w:iCs/>
        </w:rPr>
        <w:t xml:space="preserve">measured performance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Always-on load profiles</w:t>
      </w:r>
      <w:r>
        <w:t xml:space="preserve"> </w:t>
      </w:r>
      <w:r>
        <w:t xml:space="preserve">→ creates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demand data (not estimates)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Grid-interactive behaviors (optional)</w:t>
      </w:r>
      <w:r>
        <w:t xml:space="preserve"> </w:t>
      </w:r>
      <w:r>
        <w:t xml:space="preserve">→ demonstrates controllability (shift/storage/control)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Reversible deployment</w:t>
      </w:r>
      <w:r>
        <w:t xml:space="preserve"> </w:t>
      </w:r>
      <w:r>
        <w:t xml:space="preserve">→ enables pilots on constrained parcels without</w:t>
      </w:r>
      <w:r>
        <w:t xml:space="preserve"> </w:t>
      </w:r>
      <w:r>
        <w:t xml:space="preserve">“site lock-in”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Two-site synchronization (shared SOPs)</w:t>
      </w:r>
      <w:r>
        <w:t xml:space="preserve"> </w:t>
      </w:r>
      <w:r>
        <w:t xml:space="preserve">→ makes scale/train/quality repeatable</w:t>
      </w:r>
    </w:p>
    <w:p>
      <w:r>
        <w:pict>
          <v:rect style="width:0;height:1.5pt" o:hralign="center" o:hrstd="t" o:hr="t"/>
        </w:pict>
      </w:r>
    </w:p>
    <w:bookmarkEnd w:id="23"/>
    <w:bookmarkStart w:id="24" w:name="boundaries-non-negotiables"/>
    <w:p>
      <w:pPr>
        <w:pStyle w:val="Heading2"/>
      </w:pPr>
      <w:r>
        <w:t xml:space="preserve">Boundaries (non-negotiables)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permanent buildings / foundations / fixed structures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Modules removable; exit protocol + site restoration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Demonstration mode can run without public retail (when required)</w:t>
      </w:r>
    </w:p>
    <w:p>
      <w:r>
        <w:pict>
          <v:rect style="width:0;height:1.5pt" o:hralign="center" o:hrstd="t" o:hr="t"/>
        </w:pict>
      </w:r>
    </w:p>
    <w:bookmarkEnd w:id="24"/>
    <w:bookmarkStart w:id="25" w:name="kpi-dashboard-the-measurement-spine"/>
    <w:p>
      <w:pPr>
        <w:pStyle w:val="Heading2"/>
      </w:pPr>
      <w:r>
        <w:t xml:space="preserve">KPI dashboard (the measurement spine)</w:t>
      </w:r>
    </w:p>
    <w:p>
      <w:pPr>
        <w:pStyle w:val="FirstParagraph"/>
      </w:pPr>
      <w:r>
        <w:rPr>
          <w:b/>
          <w:bCs/>
        </w:rPr>
        <w:t xml:space="preserve">Infrastructure / industrial relevance</w:t>
      </w:r>
      <w:r>
        <w:t xml:space="preserve"> </w:t>
      </w:r>
      <w:r>
        <w:t xml:space="preserve">- Electrical:</w:t>
      </w:r>
      <w:r>
        <w:t xml:space="preserve"> </w:t>
      </w:r>
      <w:r>
        <w:rPr>
          <w:b/>
          <w:bCs/>
        </w:rPr>
        <w:t xml:space="preserve">kWh/day</w:t>
      </w:r>
      <w:r>
        <w:t xml:space="preserve">, peak kW,</w:t>
      </w:r>
      <w:r>
        <w:t xml:space="preserve"> </w:t>
      </w:r>
      <w:r>
        <w:rPr>
          <w:b/>
          <w:bCs/>
        </w:rPr>
        <w:t xml:space="preserve">kWh per unit</w:t>
      </w:r>
      <w:r>
        <w:t xml:space="preserve"> </w:t>
      </w:r>
      <w:r>
        <w:t xml:space="preserve">(tray / lb)</w:t>
      </w:r>
      <w:r>
        <w:t xml:space="preserve"> </w:t>
      </w:r>
      <w:r>
        <w:t xml:space="preserve">- Water:</w:t>
      </w:r>
      <w:r>
        <w:t xml:space="preserve"> </w:t>
      </w:r>
      <w:r>
        <w:rPr>
          <w:b/>
          <w:bCs/>
        </w:rPr>
        <w:t xml:space="preserve">gal/day</w:t>
      </w:r>
      <w:r>
        <w:t xml:space="preserve">,</w:t>
      </w:r>
      <w:r>
        <w:t xml:space="preserve"> </w:t>
      </w:r>
      <w:r>
        <w:rPr>
          <w:b/>
          <w:bCs/>
        </w:rPr>
        <w:t xml:space="preserve">gal per lb</w:t>
      </w:r>
      <w:r>
        <w:t xml:space="preserve">, irrigation recirculation %</w:t>
      </w:r>
      <w:r>
        <w:t xml:space="preserve"> </w:t>
      </w:r>
      <w:r>
        <w:t xml:space="preserve">- Demand profile: hourly curve, uptime %, downtime causes</w:t>
      </w:r>
    </w:p>
    <w:p>
      <w:pPr>
        <w:pStyle w:val="BodyText"/>
      </w:pPr>
      <w:r>
        <w:rPr>
          <w:b/>
          <w:bCs/>
        </w:rPr>
        <w:t xml:space="preserve">Production + operations</w:t>
      </w:r>
      <w:r>
        <w:t xml:space="preserve"> </w:t>
      </w:r>
      <w:r>
        <w:t xml:space="preserve">- Yield:</w:t>
      </w:r>
      <w:r>
        <w:t xml:space="preserve"> </w:t>
      </w:r>
      <w:r>
        <w:rPr>
          <w:b/>
          <w:bCs/>
        </w:rPr>
        <w:t xml:space="preserve">lb/week</w:t>
      </w:r>
      <w:r>
        <w:t xml:space="preserve">,</w:t>
      </w:r>
      <w:r>
        <w:t xml:space="preserve"> </w:t>
      </w:r>
      <w:r>
        <w:rPr>
          <w:b/>
          <w:bCs/>
        </w:rPr>
        <w:t xml:space="preserve">yield per sqft</w:t>
      </w:r>
      <w:r>
        <w:t xml:space="preserve"> </w:t>
      </w:r>
      <w:r>
        <w:t xml:space="preserve">- Quality: shrink %, returns %, temp compliance (cold chain)</w:t>
      </w:r>
      <w:r>
        <w:t xml:space="preserve"> </w:t>
      </w:r>
      <w:r>
        <w:t xml:space="preserve">- Labor: labor hours per lb, training hours, SOP adherence checks</w:t>
      </w:r>
    </w:p>
    <w:p>
      <w:pPr>
        <w:pStyle w:val="BodyText"/>
      </w:pPr>
      <w:r>
        <w:rPr>
          <w:b/>
          <w:bCs/>
        </w:rPr>
        <w:t xml:space="preserve">Community + workforce (optional)</w:t>
      </w:r>
      <w:r>
        <w:t xml:space="preserve"> </w:t>
      </w:r>
      <w:r>
        <w:t xml:space="preserve">- CSA pickups/week, repeat rate</w:t>
      </w:r>
      <w:r>
        <w:t xml:space="preserve"> </w:t>
      </w:r>
      <w:r>
        <w:t xml:space="preserve">- Local jobs created, internships/CTE touchpoints</w:t>
      </w:r>
    </w:p>
    <w:p>
      <w:r>
        <w:pict>
          <v:rect style="width:0;height:1.5pt" o:hralign="center" o:hrstd="t" o:hr="t"/>
        </w:pict>
      </w:r>
    </w:p>
    <w:bookmarkEnd w:id="25"/>
    <w:bookmarkStart w:id="26" w:name="feedback-loops-what-to-watch"/>
    <w:p>
      <w:pPr>
        <w:pStyle w:val="Heading2"/>
      </w:pPr>
      <w:r>
        <w:t xml:space="preserve">Feedback loops (what to watch)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Learning loop (good):</w:t>
      </w:r>
      <w:r>
        <w:t xml:space="preserve"> </w:t>
      </w:r>
      <w:r>
        <w:t xml:space="preserve">sub-metering → tuning → lower kWh/unit → stronger grant story → easier replication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Founder bottleneck (risk):</w:t>
      </w:r>
      <w:r>
        <w:t xml:space="preserve"> </w:t>
      </w:r>
      <w:r>
        <w:t xml:space="preserve">two sites → split attention → quality slips → shrink rises → cash stress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Countermeasure:</w:t>
      </w:r>
      <w:r>
        <w:t xml:space="preserve"> </w:t>
      </w:r>
      <w:r>
        <w:t xml:space="preserve">dedicated Site B manager early + standardized SOPs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Rebound risk (watch):</w:t>
      </w:r>
      <w:r>
        <w:t xml:space="preserve"> </w:t>
      </w:r>
      <w:r>
        <w:t xml:space="preserve">growth in demand → energy use rises → must keep intensity (kWh/lb) improving</w:t>
      </w:r>
    </w:p>
    <w:p>
      <w:r>
        <w:pict>
          <v:rect style="width:0;height:1.5pt" o:hralign="center" o:hrstd="t" o:hr="t"/>
        </w:pict>
      </w:r>
    </w:p>
    <w:bookmarkEnd w:id="26"/>
    <w:bookmarkStart w:id="27" w:name="day-proof-sequence-partner-friendly"/>
    <w:p>
      <w:pPr>
        <w:pStyle w:val="Heading2"/>
      </w:pPr>
      <w:r>
        <w:t xml:space="preserve">90-day proof sequence (partner-friendly)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Days 0–30:</w:t>
      </w:r>
      <w:r>
        <w:t xml:space="preserve"> </w:t>
      </w:r>
      <w:r>
        <w:t xml:space="preserve">secure permissions + confirm utilities + lock layouts + staffing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Days 30–90:</w:t>
      </w:r>
      <w:r>
        <w:t xml:space="preserve"> </w:t>
      </w:r>
      <w:r>
        <w:t xml:space="preserve">steady cadence + limited retail/CSA + telemetry + baseline KPIs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Day 90+:</w:t>
      </w:r>
      <w:r>
        <w:t xml:space="preserve"> </w:t>
      </w:r>
      <w:r>
        <w:t xml:space="preserve">publish report + define replication playbook (or exit cleanly)</w:t>
      </w:r>
    </w:p>
    <w:p>
      <w:r>
        <w:pict>
          <v:rect style="width:0;height:1.5pt" o:hralign="center" o:hrstd="t" o:hr="t"/>
        </w:pict>
      </w:r>
    </w:p>
    <w:bookmarkEnd w:id="27"/>
    <w:bookmarkStart w:id="28" w:name="resonance-fit-4-lenses"/>
    <w:p>
      <w:pPr>
        <w:pStyle w:val="Heading2"/>
      </w:pPr>
      <w:r>
        <w:t xml:space="preserve">Resonance fit (4 lenses)</w:t>
      </w:r>
    </w:p>
    <w:p>
      <w:pPr>
        <w:pStyle w:val="Compact"/>
        <w:numPr>
          <w:ilvl w:val="0"/>
          <w:numId w:val="1007"/>
        </w:numPr>
      </w:pPr>
      <w:r>
        <w:t xml:space="preserve">🌍</w:t>
      </w:r>
      <w:r>
        <w:t xml:space="preserve"> </w:t>
      </w:r>
      <w:r>
        <w:rPr>
          <w:b/>
          <w:bCs/>
        </w:rPr>
        <w:t xml:space="preserve">Climate Clarity:</w:t>
      </w:r>
      <w:r>
        <w:t xml:space="preserve"> </w:t>
      </w:r>
      <w:r>
        <w:t xml:space="preserve">strong (measurable electrified production + demand profiles)</w:t>
      </w:r>
    </w:p>
    <w:p>
      <w:pPr>
        <w:pStyle w:val="Compact"/>
        <w:numPr>
          <w:ilvl w:val="0"/>
          <w:numId w:val="1007"/>
        </w:numPr>
      </w:pPr>
      <w:r>
        <w:t xml:space="preserve">🌱</w:t>
      </w:r>
      <w:r>
        <w:t xml:space="preserve"> </w:t>
      </w:r>
      <w:r>
        <w:rPr>
          <w:b/>
          <w:bCs/>
        </w:rPr>
        <w:t xml:space="preserve">Regenerative Systems:</w:t>
      </w:r>
      <w:r>
        <w:t xml:space="preserve"> </w:t>
      </w:r>
      <w:r>
        <w:t xml:space="preserve">medium (reversibility strong; add closed-loop nutrient/water proof)</w:t>
      </w:r>
    </w:p>
    <w:p>
      <w:pPr>
        <w:pStyle w:val="Compact"/>
        <w:numPr>
          <w:ilvl w:val="0"/>
          <w:numId w:val="1007"/>
        </w:numPr>
      </w:pPr>
      <w:r>
        <w:t xml:space="preserve">🧭</w:t>
      </w:r>
      <w:r>
        <w:t xml:space="preserve"> </w:t>
      </w:r>
      <w:r>
        <w:rPr>
          <w:b/>
          <w:bCs/>
        </w:rPr>
        <w:t xml:space="preserve">Eco-Ethics:</w:t>
      </w:r>
      <w:r>
        <w:t xml:space="preserve"> </w:t>
      </w:r>
      <w:r>
        <w:t xml:space="preserve">medium-strong (clear boundaries + low-risk siting; add equity/access one-pager)</w:t>
      </w:r>
    </w:p>
    <w:p>
      <w:pPr>
        <w:pStyle w:val="Compact"/>
        <w:numPr>
          <w:ilvl w:val="0"/>
          <w:numId w:val="1007"/>
        </w:numPr>
      </w:pPr>
      <w:r>
        <w:t xml:space="preserve">💨</w:t>
      </w:r>
      <w:r>
        <w:t xml:space="preserve"> </w:t>
      </w:r>
      <w:r>
        <w:rPr>
          <w:b/>
          <w:bCs/>
        </w:rPr>
        <w:t xml:space="preserve">Planetary Breath:</w:t>
      </w:r>
      <w:r>
        <w:t xml:space="preserve"> </w:t>
      </w:r>
      <w:r>
        <w:t xml:space="preserve">strong signal (explicit staffing/pace realism; track labor intensity + burnout risk)</w:t>
      </w:r>
    </w:p>
    <w:p>
      <w:r>
        <w:pict>
          <v:rect style="width:0;height:1.5pt" o:hralign="center" o:hrstd="t" o:hr="t"/>
        </w:pict>
      </w:r>
    </w:p>
    <w:bookmarkEnd w:id="28"/>
    <w:bookmarkStart w:id="29" w:name="Xc1f1d7c4661ef3677fe0daf9d8571ea2158b072"/>
    <w:p>
      <w:pPr>
        <w:pStyle w:val="Heading2"/>
      </w:pPr>
      <w:r>
        <w:t xml:space="preserve">Highest-leverage upgrades (to</w:t>
      </w:r>
      <w:r>
        <w:t xml:space="preserve"> </w:t>
      </w:r>
      <w:r>
        <w:t xml:space="preserve">“lock”</w:t>
      </w:r>
      <w:r>
        <w:t xml:space="preserve"> </w:t>
      </w:r>
      <w:r>
        <w:t xml:space="preserve">the model)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One unified KPI sheet</w:t>
      </w:r>
      <w:r>
        <w:t xml:space="preserve"> </w:t>
      </w:r>
      <w:r>
        <w:t xml:space="preserve">used across all narratives (site readiness + retail + demo)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Grid-interactive demo mode</w:t>
      </w:r>
      <w:r>
        <w:t xml:space="preserve"> </w:t>
      </w:r>
      <w:r>
        <w:t xml:space="preserve">(2–3 controllable behaviors with logged outcomes)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Standard</w:t>
      </w:r>
      <w:r>
        <w:rPr>
          <w:b/>
          <w:bCs/>
        </w:rPr>
        <w:t xml:space="preserve"> </w:t>
      </w:r>
      <w:r>
        <w:rPr>
          <w:b/>
          <w:bCs/>
        </w:rPr>
        <w:t xml:space="preserve">“leave-behind package”</w:t>
      </w:r>
      <w:r>
        <w:t xml:space="preserve">: validated utility connections + engineering docs + demand profiles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QA/traceability appendix</w:t>
      </w:r>
      <w:r>
        <w:t xml:space="preserve"> </w:t>
      </w:r>
      <w:r>
        <w:t xml:space="preserve">(reduces perceived food-safety risk)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Equity + access module</w:t>
      </w:r>
      <w:r>
        <w:t xml:space="preserve"> </w:t>
      </w:r>
      <w:r>
        <w:t xml:space="preserve">for the living store (simple, explicit, measurable)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2026-02-12T10:15:48Z</dcterms:created>
  <dcterms:modified xsi:type="dcterms:W3CDTF">2026-02-12T10:15:48Z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