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ABCFarmsIL 2026 Business Plan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3"/>
      </w:pPr>
      <w:r>
        <w:t xml:space="preserve">Executive Summary</w:t>
      </w:r>
    </w:p>
    <w:p>
      <w:pPr>
        <w:pStyle w:val="FirstParagraph"/>
      </w:pPr>
      <w:r>
        <w:rPr>
          <w:b/>
          <w:bCs/>
        </w:rPr>
        <w:t xml:space="preserve">ABCFarmsIL</w:t>
      </w:r>
      <w:r>
        <w:t xml:space="preserve"> </w:t>
      </w:r>
      <w:r>
        <w:t xml:space="preserve">builds modular, closed-loop urban microfarms that grow premium microgreens and gourmet mushrooms using solar power, rainwater harvesting, and regenerative practices. These chef-first units operate on a CSA subscription model, delivering living trays within 24 hours of harvest. The system is scalable, replicable, and designed for Chicago’s urban spaces.</w:t>
      </w:r>
    </w:p>
    <w:p>
      <w:pPr>
        <w:pStyle w:val="BodyText"/>
      </w:pPr>
      <w:r>
        <w:rPr>
          <w:b/>
          <w:bCs/>
        </w:rPr>
        <w:t xml:space="preserve">2026 Goals:</w:t>
      </w:r>
      <w:r>
        <w:t xml:space="preserve"> </w:t>
      </w:r>
      <w:r>
        <w:t xml:space="preserve">- Scale to 2 full microfarm modules</w:t>
      </w:r>
      <w:r>
        <w:t xml:space="preserve"> </w:t>
      </w:r>
      <w:r>
        <w:t xml:space="preserve">- Launch mushroom product line</w:t>
      </w:r>
      <w:r>
        <w:t xml:space="preserve"> </w:t>
      </w:r>
      <w:r>
        <w:t xml:space="preserve">- Serve 20+ chefs in the Chicago region</w:t>
      </w:r>
      <w:r>
        <w:t xml:space="preserve"> </w:t>
      </w:r>
      <w:r>
        <w:t xml:space="preserve">- Reach $280,000 in revenue by year-end with 60%+ gross margins</w:t>
      </w:r>
      <w:r>
        <w:t xml:space="preserve"> </w:t>
      </w:r>
      <w:r>
        <w:t xml:space="preserve">- Introduce dome-integrated systems and on-site</w:t>
      </w:r>
      <w:r>
        <w:t xml:space="preserve"> </w:t>
      </w:r>
      <w:r>
        <w:t xml:space="preserve">“Cuddle”</w:t>
      </w:r>
      <w:r>
        <w:t xml:space="preserve"> </w:t>
      </w:r>
      <w:r>
        <w:t xml:space="preserve">farm pilots</w:t>
      </w:r>
    </w:p>
    <w:p>
      <w:pPr>
        <w:pStyle w:val="BodyText"/>
      </w:pPr>
      <w:r>
        <w:rPr>
          <w:b/>
          <w:bCs/>
        </w:rPr>
        <w:t xml:space="preserve">Traction:</w:t>
      </w:r>
      <w:r>
        <w:t xml:space="preserve"> </w:t>
      </w:r>
      <w:r>
        <w:t xml:space="preserve">- $12,400 in purchase commitments</w:t>
      </w:r>
      <w:r>
        <w:t xml:space="preserve"> </w:t>
      </w:r>
      <w:r>
        <w:t xml:space="preserve">- 8 LOIs signed</w:t>
      </w:r>
      <w:r>
        <w:t xml:space="preserve"> </w:t>
      </w:r>
      <w:r>
        <w:t xml:space="preserve">- First container complete; second in development</w:t>
      </w:r>
      <w:r>
        <w:t xml:space="preserve"> </w:t>
      </w:r>
      <w:r>
        <w:t xml:space="preserve">- IAM/USDA grant secured; CEJA-aligned design and metrics【9†ABCFARMSIL — Regenerative Microfarm†】</w:t>
      </w:r>
    </w:p>
    <w:p>
      <w:r>
        <w:pict>
          <v:rect style="width:0;height:1.5pt" o:hralign="center" o:hrstd="t" o:hr="t"/>
        </w:pict>
      </w:r>
    </w:p>
    <w:bookmarkEnd w:id="20"/>
    <w:bookmarkStart w:id="21" w:name="business-description"/>
    <w:p>
      <w:pPr>
        <w:pStyle w:val="Heading3"/>
      </w:pPr>
      <w:r>
        <w:t xml:space="preserve">Business Description</w:t>
      </w:r>
    </w:p>
    <w:p>
      <w:pPr>
        <w:pStyle w:val="FirstParagraph"/>
      </w:pPr>
      <w:r>
        <w:rPr>
          <w:b/>
          <w:bCs/>
        </w:rPr>
        <w:t xml:space="preserve">Mission:</w:t>
      </w:r>
      <w:r>
        <w:t xml:space="preserve"> </w:t>
      </w:r>
      <w:r>
        <w:t xml:space="preserve">To transform vacant and underused urban spaces into closed-loop microfarms that deliver nutrient-dense, hyper-local produce with zero waste.</w:t>
      </w:r>
    </w:p>
    <w:p>
      <w:pPr>
        <w:pStyle w:val="BodyText"/>
      </w:pPr>
      <w:r>
        <w:rPr>
          <w:b/>
          <w:bCs/>
        </w:rPr>
        <w:t xml:space="preserve">Vision:</w:t>
      </w:r>
      <w:r>
        <w:t xml:space="preserve"> </w:t>
      </w:r>
      <w:r>
        <w:t xml:space="preserve">A scalable network of regenerative microfarms bringing food, flavor, and sustainability back into the heart of urban communities.</w:t>
      </w:r>
    </w:p>
    <w:p>
      <w:pPr>
        <w:pStyle w:val="BodyText"/>
      </w:pPr>
      <w:r>
        <w:rPr>
          <w:b/>
          <w:bCs/>
        </w:rPr>
        <w:t xml:space="preserve">Background:</w:t>
      </w:r>
      <w:r>
        <w:t xml:space="preserve"> </w:t>
      </w:r>
      <w:r>
        <w:t xml:space="preserve">Founded in 2025 by Jon Aaron James, ABCFarmsIL launched with a single retrofitted shipping container farm in Lansing, IL. The model now includes automated microgreen racks, mushroom fruiting chambers, QR tracking, and solar-powered rainwater-fed systems.</w:t>
      </w:r>
    </w:p>
    <w:p>
      <w:r>
        <w:pict>
          <v:rect style="width:0;height:1.5pt" o:hralign="center" o:hrstd="t" o:hr="t"/>
        </w:pict>
      </w:r>
    </w:p>
    <w:bookmarkEnd w:id="21"/>
    <w:bookmarkStart w:id="22" w:name="market-analysis"/>
    <w:p>
      <w:pPr>
        <w:pStyle w:val="Heading3"/>
      </w:pPr>
      <w:r>
        <w:t xml:space="preserve">Market Analysis</w:t>
      </w:r>
    </w:p>
    <w:p>
      <w:pPr>
        <w:pStyle w:val="FirstParagraph"/>
      </w:pPr>
      <w:r>
        <w:rPr>
          <w:b/>
          <w:bCs/>
        </w:rPr>
        <w:t xml:space="preserve">Industry Overview:</w:t>
      </w:r>
      <w:r>
        <w:t xml:space="preserve"> </w:t>
      </w:r>
      <w:r>
        <w:t xml:space="preserve">- Controlled-environment agriculture is growing rapidly</w:t>
      </w:r>
      <w:r>
        <w:t xml:space="preserve"> </w:t>
      </w:r>
      <w:r>
        <w:t xml:space="preserve">- Demand for microgreens and gourmet mushrooms in high-end dining is rising</w:t>
      </w:r>
      <w:r>
        <w:t xml:space="preserve"> </w:t>
      </w:r>
      <w:r>
        <w:t xml:space="preserve">- Urban vertical farming gaining acceptance and funding traction</w:t>
      </w:r>
    </w:p>
    <w:p>
      <w:pPr>
        <w:pStyle w:val="BodyText"/>
      </w:pPr>
      <w:r>
        <w:rPr>
          <w:b/>
          <w:bCs/>
        </w:rPr>
        <w:t xml:space="preserve">Target Market:</w:t>
      </w:r>
      <w:r>
        <w:t xml:space="preserve"> </w:t>
      </w:r>
      <w:r>
        <w:t xml:space="preserve">- Executive chefs and F&amp;B directors in Chicago’s fine dining, country clubs, and plant-forward kitchens</w:t>
      </w:r>
      <w:r>
        <w:t xml:space="preserve"> </w:t>
      </w:r>
      <w:r>
        <w:t xml:space="preserve">- Secondary targets: culinary schools, caterers, upscale banquet venues</w:t>
      </w:r>
    </w:p>
    <w:p>
      <w:pPr>
        <w:pStyle w:val="BodyText"/>
      </w:pPr>
      <w:r>
        <w:rPr>
          <w:b/>
          <w:bCs/>
        </w:rPr>
        <w:t xml:space="preserve">Market Size &amp; Segments:</w:t>
      </w:r>
      <w:r>
        <w:t xml:space="preserve"> </w:t>
      </w:r>
      <w:r>
        <w:t xml:space="preserve">- $90M spent annually in Chicagoland on microgreens and mushrooms</w:t>
      </w:r>
      <w:r>
        <w:t xml:space="preserve"> </w:t>
      </w:r>
      <w:r>
        <w:t xml:space="preserve">- $18M in premium segment (ABCFarmsIL target)</w:t>
      </w:r>
      <w:r>
        <w:t xml:space="preserve"> </w:t>
      </w:r>
      <w:r>
        <w:t xml:space="preserve">- Capturing 5% funds 5 full farm modules【13†2025-08-03 - abcfarmsil_plan_v1754203680307†】</w:t>
      </w:r>
    </w:p>
    <w:p>
      <w:pPr>
        <w:pStyle w:val="BodyText"/>
      </w:pPr>
      <w:r>
        <w:rPr>
          <w:b/>
          <w:bCs/>
        </w:rPr>
        <w:t xml:space="preserve">Competitor Snapshot:</w:t>
      </w:r>
      <w:r>
        <w:t xml:space="preserve"> </w:t>
      </w:r>
      <w:r>
        <w:t xml:space="preserve">- Traditional farms: long supply chains, spoilage, generic products</w:t>
      </w:r>
      <w:r>
        <w:t xml:space="preserve"> </w:t>
      </w:r>
      <w:r>
        <w:t xml:space="preserve">- Other urban farms: capital-heavy, energy-hungry</w:t>
      </w:r>
    </w:p>
    <w:p>
      <w:pPr>
        <w:pStyle w:val="BodyText"/>
      </w:pPr>
      <w:r>
        <w:rPr>
          <w:b/>
          <w:bCs/>
        </w:rPr>
        <w:t xml:space="preserve">SWOT Analysis:</w:t>
      </w:r>
      <w:r>
        <w:t xml:space="preserve"> </w:t>
      </w:r>
      <w:r>
        <w:rPr>
          <w:b/>
          <w:bCs/>
        </w:rPr>
        <w:t xml:space="preserve">Strengths:</w:t>
      </w:r>
      <w:r>
        <w:t xml:space="preserve"> </w:t>
      </w:r>
      <w:r>
        <w:t xml:space="preserve">- Living tray freshness</w:t>
      </w:r>
      <w:r>
        <w:t xml:space="preserve"> </w:t>
      </w:r>
      <w:r>
        <w:t xml:space="preserve">- Closed-loop, eco-efficient model (80% resource savings)</w:t>
      </w:r>
      <w:r>
        <w:t xml:space="preserve"> </w:t>
      </w:r>
      <w:r>
        <w:t xml:space="preserve">- Chef-first CSA model with traceability</w:t>
      </w:r>
    </w:p>
    <w:p>
      <w:pPr>
        <w:pStyle w:val="BodyText"/>
      </w:pPr>
      <w:r>
        <w:rPr>
          <w:b/>
          <w:bCs/>
        </w:rPr>
        <w:t xml:space="preserve">Weaknesses:</w:t>
      </w:r>
      <w:r>
        <w:t xml:space="preserve"> </w:t>
      </w:r>
      <w:r>
        <w:t xml:space="preserve">- Single-founder bandwidth</w:t>
      </w:r>
      <w:r>
        <w:t xml:space="preserve"> </w:t>
      </w:r>
      <w:r>
        <w:t xml:space="preserve">- High capex per module</w:t>
      </w:r>
    </w:p>
    <w:p>
      <w:pPr>
        <w:pStyle w:val="BodyText"/>
      </w:pPr>
      <w:r>
        <w:rPr>
          <w:b/>
          <w:bCs/>
        </w:rPr>
        <w:t xml:space="preserve">Opportunities:</w:t>
      </w:r>
      <w:r>
        <w:t xml:space="preserve"> </w:t>
      </w:r>
      <w:r>
        <w:t xml:space="preserve">- Site replication in other cities</w:t>
      </w:r>
      <w:r>
        <w:t xml:space="preserve"> </w:t>
      </w:r>
      <w:r>
        <w:t xml:space="preserve">- Carbon credit and ESG-aligned funding</w:t>
      </w:r>
      <w:r>
        <w:t xml:space="preserve"> </w:t>
      </w:r>
      <w:r>
        <w:t xml:space="preserve">- Retail expansion (Phase 3+)</w:t>
      </w:r>
    </w:p>
    <w:p>
      <w:pPr>
        <w:pStyle w:val="BodyText"/>
      </w:pPr>
      <w:r>
        <w:rPr>
          <w:b/>
          <w:bCs/>
        </w:rPr>
        <w:t xml:space="preserve">Threats:</w:t>
      </w:r>
      <w:r>
        <w:t xml:space="preserve"> </w:t>
      </w:r>
      <w:r>
        <w:t xml:space="preserve">- Better-funded competitors</w:t>
      </w:r>
      <w:r>
        <w:t xml:space="preserve"> </w:t>
      </w:r>
      <w:r>
        <w:t xml:space="preserve">- Regulatory/zoning lead times</w:t>
      </w:r>
    </w:p>
    <w:p>
      <w:r>
        <w:pict>
          <v:rect style="width:0;height:1.5pt" o:hralign="center" o:hrstd="t" o:hr="t"/>
        </w:pict>
      </w:r>
    </w:p>
    <w:bookmarkEnd w:id="22"/>
    <w:bookmarkStart w:id="23" w:name="organization-and-management"/>
    <w:p>
      <w:pPr>
        <w:pStyle w:val="Heading3"/>
      </w:pPr>
      <w:r>
        <w:t xml:space="preserve">Organization and Management</w:t>
      </w:r>
    </w:p>
    <w:p>
      <w:pPr>
        <w:pStyle w:val="FirstParagraph"/>
      </w:pPr>
      <w:r>
        <w:rPr>
          <w:b/>
          <w:bCs/>
        </w:rPr>
        <w:t xml:space="preserve">Legal Structure:</w:t>
      </w:r>
      <w:r>
        <w:t xml:space="preserve"> </w:t>
      </w:r>
      <w:r>
        <w:t xml:space="preserve">- C-Corp (Illinois, 2025)</w:t>
      </w:r>
      <w:r>
        <w:t xml:space="preserve"> </w:t>
      </w:r>
      <w:r>
        <w:t xml:space="preserve">- EIN: 39-3072169</w:t>
      </w:r>
      <w:r>
        <w:t xml:space="preserve"> </w:t>
      </w:r>
      <w:r>
        <w:t xml:space="preserve">- 100% owned by founder Jon Aaron James</w:t>
      </w:r>
    </w:p>
    <w:p>
      <w:pPr>
        <w:pStyle w:val="BodyText"/>
      </w:pPr>
      <w:r>
        <w:rPr>
          <w:b/>
          <w:bCs/>
        </w:rPr>
        <w:t xml:space="preserve">Team &amp; Roles:</w:t>
      </w:r>
      <w:r>
        <w:t xml:space="preserve"> </w:t>
      </w:r>
      <w:r>
        <w:t xml:space="preserve">- Jon James (Founder/Operator)</w:t>
      </w:r>
      <w:r>
        <w:t xml:space="preserve"> </w:t>
      </w:r>
      <w:r>
        <w:t xml:space="preserve">- Advisory board: 3 members (finance, logistics, sustainability)</w:t>
      </w:r>
      <w:r>
        <w:t xml:space="preserve"> </w:t>
      </w:r>
      <w:r>
        <w:t xml:space="preserve">- 2026 hiring: 1 farm tech, 1 sales rep</w:t>
      </w:r>
    </w:p>
    <w:p>
      <w:pPr>
        <w:pStyle w:val="BodyText"/>
      </w:pPr>
      <w:r>
        <w:rPr>
          <w:b/>
          <w:bCs/>
        </w:rPr>
        <w:t xml:space="preserve">Org Chart:</w:t>
      </w:r>
      <w:r>
        <w:t xml:space="preserve"> </w:t>
      </w:r>
      <w:r>
        <w:t xml:space="preserve">Founder → Farm Operations + Sales/Accounts</w:t>
      </w:r>
    </w:p>
    <w:p>
      <w:r>
        <w:pict>
          <v:rect style="width:0;height:1.5pt" o:hralign="center" o:hrstd="t" o:hr="t"/>
        </w:pict>
      </w:r>
    </w:p>
    <w:bookmarkEnd w:id="23"/>
    <w:bookmarkStart w:id="24" w:name="products-and-services"/>
    <w:p>
      <w:pPr>
        <w:pStyle w:val="Heading3"/>
      </w:pPr>
      <w:r>
        <w:t xml:space="preserve">Products and Services</w:t>
      </w:r>
    </w:p>
    <w:p>
      <w:pPr>
        <w:pStyle w:val="FirstParagraph"/>
      </w:pPr>
      <w:r>
        <w:rPr>
          <w:b/>
          <w:bCs/>
        </w:rPr>
        <w:t xml:space="preserve">Living Microgreen Trays:</w:t>
      </w:r>
      <w:r>
        <w:t xml:space="preserve"> </w:t>
      </w:r>
      <w:r>
        <w:t xml:space="preserve">- Delivered with roots, harvested by chefs</w:t>
      </w:r>
      <w:r>
        <w:t xml:space="preserve"> </w:t>
      </w:r>
      <w:r>
        <w:t xml:space="preserve">- 10+ varieties: arugula, kale, broccoli, radish, red cabbage, etc.</w:t>
      </w:r>
      <w:r>
        <w:t xml:space="preserve"> </w:t>
      </w:r>
      <w:r>
        <w:t xml:space="preserve">- 7–10 day shelf life, $35–$40/tray</w:t>
      </w:r>
    </w:p>
    <w:p>
      <w:pPr>
        <w:pStyle w:val="BodyText"/>
      </w:pPr>
      <w:r>
        <w:rPr>
          <w:b/>
          <w:bCs/>
        </w:rPr>
        <w:t xml:space="preserve">Gourmet Mushrooms:</w:t>
      </w:r>
      <w:r>
        <w:t xml:space="preserve"> </w:t>
      </w:r>
      <w:r>
        <w:t xml:space="preserve">- Lion’s Mane, Blue Oyster, King Oyster, seasonal exotics</w:t>
      </w:r>
      <w:r>
        <w:t xml:space="preserve"> </w:t>
      </w:r>
      <w:r>
        <w:t xml:space="preserve">- Chilled, delivered 2x weekly, premium pricing (avg $11/lb)</w:t>
      </w:r>
    </w:p>
    <w:p>
      <w:pPr>
        <w:pStyle w:val="BodyText"/>
      </w:pPr>
      <w:r>
        <w:rPr>
          <w:b/>
          <w:bCs/>
        </w:rPr>
        <w:t xml:space="preserve">On-Site</w:t>
      </w:r>
      <w:r>
        <w:rPr>
          <w:b/>
          <w:bCs/>
        </w:rPr>
        <w:t xml:space="preserve"> </w:t>
      </w:r>
      <w:r>
        <w:rPr>
          <w:b/>
          <w:bCs/>
        </w:rPr>
        <w:t xml:space="preserve">“Cuddle”</w:t>
      </w:r>
      <w:r>
        <w:rPr>
          <w:b/>
          <w:bCs/>
        </w:rPr>
        <w:t xml:space="preserve"> </w:t>
      </w:r>
      <w:r>
        <w:rPr>
          <w:b/>
          <w:bCs/>
        </w:rPr>
        <w:t xml:space="preserve">Farms (Phase 2):</w:t>
      </w:r>
      <w:r>
        <w:t xml:space="preserve"> </w:t>
      </w:r>
      <w:r>
        <w:t xml:space="preserve">- Leaseable turnkey microfarms for country clubs, luxury kitchens</w:t>
      </w:r>
    </w:p>
    <w:p>
      <w:pPr>
        <w:pStyle w:val="BodyText"/>
      </w:pPr>
      <w:r>
        <w:rPr>
          <w:b/>
          <w:bCs/>
        </w:rPr>
        <w:t xml:space="preserve">Workshops, Tastings, and CSA Add-Ons:</w:t>
      </w:r>
      <w:r>
        <w:t xml:space="preserve"> </w:t>
      </w:r>
      <w:r>
        <w:t xml:space="preserve">- Paid chef experiences, plant-forward events, QR-based tray tracking</w:t>
      </w:r>
    </w:p>
    <w:p>
      <w:pPr>
        <w:pStyle w:val="BodyText"/>
      </w:pPr>
      <w:r>
        <w:rPr>
          <w:b/>
          <w:bCs/>
        </w:rPr>
        <w:t xml:space="preserve">Tech Integration:</w:t>
      </w:r>
      <w:r>
        <w:t xml:space="preserve"> </w:t>
      </w:r>
      <w:r>
        <w:t xml:space="preserve">- QR codes link trays to rack, seed date, sanitation logs</w:t>
      </w:r>
      <w:r>
        <w:t xml:space="preserve"> </w:t>
      </w:r>
      <w:r>
        <w:t xml:space="preserve">- App in development for clients to flag tray returns</w:t>
      </w:r>
    </w:p>
    <w:p>
      <w:r>
        <w:pict>
          <v:rect style="width:0;height:1.5pt" o:hralign="center" o:hrstd="t" o:hr="t"/>
        </w:pict>
      </w:r>
    </w:p>
    <w:bookmarkEnd w:id="24"/>
    <w:bookmarkStart w:id="25" w:name="marketing-and-sales-strategy"/>
    <w:p>
      <w:pPr>
        <w:pStyle w:val="Heading3"/>
      </w:pPr>
      <w:r>
        <w:t xml:space="preserve">Marketing and Sales Strategy</w:t>
      </w:r>
    </w:p>
    <w:p>
      <w:pPr>
        <w:pStyle w:val="FirstParagraph"/>
      </w:pPr>
      <w:r>
        <w:rPr>
          <w:b/>
          <w:bCs/>
        </w:rPr>
        <w:t xml:space="preserve">Go-to-Market:</w:t>
      </w:r>
      <w:r>
        <w:t xml:space="preserve"> </w:t>
      </w:r>
      <w:r>
        <w:t xml:space="preserve">- Direct-to-chef sampling and demo drops</w:t>
      </w:r>
      <w:r>
        <w:t xml:space="preserve"> </w:t>
      </w:r>
      <w:r>
        <w:t xml:space="preserve">- Referrals earn 10% invoice credits</w:t>
      </w:r>
      <w:r>
        <w:t xml:space="preserve"> </w:t>
      </w:r>
      <w:r>
        <w:t xml:space="preserve">- 30-day subscription trial + flexible cancellation</w:t>
      </w:r>
    </w:p>
    <w:p>
      <w:pPr>
        <w:pStyle w:val="BodyText"/>
      </w:pPr>
      <w:r>
        <w:rPr>
          <w:b/>
          <w:bCs/>
        </w:rPr>
        <w:t xml:space="preserve">Channels:</w:t>
      </w:r>
      <w:r>
        <w:t xml:space="preserve"> </w:t>
      </w:r>
      <w:r>
        <w:t xml:space="preserve">- Online: Instagram, LinkedIn, email blasts (</w:t>
      </w:r>
      <w:r>
        <w:t xml:space="preserve">“Fresh Sheet”</w:t>
      </w:r>
      <w:r>
        <w:t xml:space="preserve">), SEO/SEM ads</w:t>
      </w:r>
      <w:r>
        <w:t xml:space="preserve"> </w:t>
      </w:r>
      <w:r>
        <w:t xml:space="preserve">- Offline: culinary events, trade shows, referrals, chef collabs</w:t>
      </w:r>
    </w:p>
    <w:p>
      <w:pPr>
        <w:pStyle w:val="BodyText"/>
      </w:pPr>
      <w:r>
        <w:rPr>
          <w:b/>
          <w:bCs/>
        </w:rPr>
        <w:t xml:space="preserve">Sales Plan:</w:t>
      </w:r>
      <w:r>
        <w:t xml:space="preserve"> </w:t>
      </w:r>
      <w:r>
        <w:t xml:space="preserve">- Sample → Demo → LOI → CSA Subscription</w:t>
      </w:r>
      <w:r>
        <w:t xml:space="preserve"> </w:t>
      </w:r>
      <w:r>
        <w:t xml:space="preserve">- KPIs: 95% tray sell-through, chef churn &lt;5%, $800 MRR per client</w:t>
      </w:r>
    </w:p>
    <w:p>
      <w:pPr>
        <w:pStyle w:val="BodyText"/>
      </w:pPr>
      <w:r>
        <w:rPr>
          <w:b/>
          <w:bCs/>
        </w:rPr>
        <w:t xml:space="preserve">Pricing:</w:t>
      </w:r>
      <w:r>
        <w:t xml:space="preserve"> </w:t>
      </w:r>
      <w:r>
        <w:t xml:space="preserve">- Microgreens: $35–40/tray</w:t>
      </w:r>
      <w:r>
        <w:t xml:space="preserve"> </w:t>
      </w:r>
      <w:r>
        <w:t xml:space="preserve">- Mushrooms: $11/lb avg</w:t>
      </w:r>
      <w:r>
        <w:t xml:space="preserve"> </w:t>
      </w:r>
      <w:r>
        <w:t xml:space="preserve">- Tiered volume discounts; referral credits; free first tray at tasting</w:t>
      </w:r>
    </w:p>
    <w:p>
      <w:r>
        <w:pict>
          <v:rect style="width:0;height:1.5pt" o:hralign="center" o:hrstd="t" o:hr="t"/>
        </w:pict>
      </w:r>
    </w:p>
    <w:bookmarkEnd w:id="25"/>
    <w:bookmarkStart w:id="26" w:name="funding-request"/>
    <w:p>
      <w:pPr>
        <w:pStyle w:val="Heading3"/>
      </w:pPr>
      <w:r>
        <w:t xml:space="preserve">Funding Request</w:t>
      </w:r>
    </w:p>
    <w:p>
      <w:pPr>
        <w:pStyle w:val="FirstParagraph"/>
      </w:pPr>
      <w:r>
        <w:rPr>
          <w:b/>
          <w:bCs/>
        </w:rPr>
        <w:t xml:space="preserve">Total Raise:</w:t>
      </w:r>
      <w:r>
        <w:t xml:space="preserve"> </w:t>
      </w:r>
      <w:r>
        <w:t xml:space="preserve">$69,000 Seed Equity</w:t>
      </w:r>
    </w:p>
    <w:p>
      <w:pPr>
        <w:pStyle w:val="BodyText"/>
      </w:pPr>
      <w:r>
        <w:rPr>
          <w:b/>
          <w:bCs/>
        </w:rPr>
        <w:t xml:space="preserve">Use of Funds:</w:t>
      </w:r>
      <w:r>
        <w:t xml:space="preserve"> </w:t>
      </w:r>
      <w:r>
        <w:t xml:space="preserve">- Complete Phase 1B container build: $54,000</w:t>
      </w:r>
      <w:r>
        <w:t xml:space="preserve"> </w:t>
      </w:r>
      <w:r>
        <w:t xml:space="preserve">- Finish second module: $15,000</w:t>
      </w:r>
      <w:r>
        <w:t xml:space="preserve"> </w:t>
      </w:r>
      <w:r>
        <w:t xml:space="preserve">- Marketing, onboarding, and working capital</w:t>
      </w:r>
    </w:p>
    <w:p>
      <w:pPr>
        <w:pStyle w:val="BodyText"/>
      </w:pPr>
      <w:r>
        <w:rPr>
          <w:b/>
          <w:bCs/>
        </w:rPr>
        <w:t xml:space="preserve">Financial Projections:</w:t>
      </w:r>
      <w:r>
        <w:t xml:space="preserve"> </w:t>
      </w:r>
      <w:r>
        <w:t xml:space="preserve">- Break-even by Q3 2026</w:t>
      </w:r>
      <w:r>
        <w:t xml:space="preserve"> </w:t>
      </w:r>
      <w:r>
        <w:t xml:space="preserve">- Revenue: $280K (2026), $1.1M (2029)</w:t>
      </w:r>
      <w:r>
        <w:t xml:space="preserve"> </w:t>
      </w:r>
      <w:r>
        <w:t xml:space="preserve">- Gross Margin: 60–64%</w:t>
      </w:r>
      <w:r>
        <w:t xml:space="preserve"> </w:t>
      </w:r>
      <w:r>
        <w:t xml:space="preserve">- EBITDA &gt; 45% by Year 3</w:t>
      </w:r>
    </w:p>
    <w:p>
      <w:r>
        <w:pict>
          <v:rect style="width:0;height:1.5pt" o:hralign="center" o:hrstd="t" o:hr="t"/>
        </w:pict>
      </w:r>
    </w:p>
    <w:bookmarkEnd w:id="26"/>
    <w:bookmarkStart w:id="27" w:name="exit-strategy-optional"/>
    <w:p>
      <w:pPr>
        <w:pStyle w:val="Heading3"/>
      </w:pPr>
      <w:r>
        <w:t xml:space="preserve">Exit Strategy (Optional)</w:t>
      </w:r>
    </w:p>
    <w:p>
      <w:pPr>
        <w:pStyle w:val="FirstParagraph"/>
      </w:pPr>
      <w:r>
        <w:t xml:space="preserve">By 2029, ABCFarmsIL aims to:</w:t>
      </w:r>
      <w:r>
        <w:t xml:space="preserve"> </w:t>
      </w:r>
      <w:r>
        <w:t xml:space="preserve">- Operate 5+ modules in Chicago</w:t>
      </w:r>
      <w:r>
        <w:t xml:space="preserve"> </w:t>
      </w:r>
      <w:r>
        <w:t xml:space="preserve">- Launch a branded retail line</w:t>
      </w:r>
      <w:r>
        <w:t xml:space="preserve"> </w:t>
      </w:r>
      <w:r>
        <w:t xml:space="preserve">- Obtain B-Corp certification</w:t>
      </w:r>
      <w:r>
        <w:t xml:space="preserve"> </w:t>
      </w:r>
      <w:r>
        <w:t xml:space="preserve">- Position for strategic acquisition or Series A funding with &gt;$1.1M revenue and strong cashflow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Appendices (Available):</w:t>
      </w:r>
      <w:r>
        <w:t xml:space="preserve"> </w:t>
      </w:r>
      <w:r>
        <w:t xml:space="preserve">- Microgreen yield matrix, fungi specs, rack diagrams, SOPs</w:t>
      </w:r>
      <w:r>
        <w:t xml:space="preserve"> </w:t>
      </w:r>
      <w:r>
        <w:t xml:space="preserve">- Cap table, phase budget, water/energy metrics</w:t>
      </w:r>
      <w:r>
        <w:t xml:space="preserve"> </w:t>
      </w:r>
      <w:r>
        <w:t xml:space="preserve">- Customer personas and chef referral data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2026-01-17T05:19:37Z</dcterms:created>
  <dcterms:modified xsi:type="dcterms:W3CDTF">2026-01-17T05:19:37Z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