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jc w:val="center"/>
      </w:pPr>
      <w:r>
        <w:rPr>
          <w:rFonts w:ascii="Arial" w:hAnsi="Arial" w:eastAsia="Arial"/>
          <w:b/>
          <w:color w:val="52606D"/>
          <w:sz w:val="22"/>
        </w:rPr>
        <w:t>НАУЧНО-ИССЛЕДОВАТЕЛЬСКАЯ РАБОТА</w:t>
      </w:r>
    </w:p>
    <w:p>
      <w:pPr>
        <w:pStyle w:val="Title"/>
        <w:spacing w:before="900" w:after="360"/>
        <w:jc w:val="center"/>
      </w:pPr>
      <w:r>
        <w:rPr>
          <w:rFonts w:ascii="Arial" w:hAnsi="Arial" w:eastAsia="Arial"/>
          <w:b/>
          <w:color w:val="000000"/>
          <w:sz w:val="42"/>
        </w:rPr>
        <w:t>Прогнозирование фактических ошибок больших языковых моделей</w:t>
      </w:r>
    </w:p>
    <w:p>
      <w:pPr>
        <w:spacing w:after="1000"/>
        <w:jc w:val="center"/>
      </w:pPr>
      <w:r>
        <w:rPr>
          <w:rFonts w:ascii="Arial" w:hAnsi="Arial" w:eastAsia="Arial"/>
          <w:b w:val="0"/>
          <w:color w:val="1F6E8C"/>
          <w:sz w:val="28"/>
        </w:rPr>
        <w:t>по динамике семантической согласованности повторных генераций</w:t>
      </w:r>
    </w:p>
    <w:p>
      <w:pPr>
        <w:spacing w:after="140"/>
        <w:ind w:left="1701"/>
        <w:jc w:val="left"/>
      </w:pPr>
      <w:r>
        <w:rPr>
          <w:rFonts w:ascii="Times New Roman" w:hAnsi="Times New Roman" w:eastAsia="Times New Roman"/>
          <w:color w:val="000000"/>
          <w:sz w:val="22"/>
        </w:rPr>
        <w:t>Автор: Саурыков Ихсан Азаматович</w:t>
      </w:r>
    </w:p>
    <w:p>
      <w:pPr>
        <w:spacing w:after="140"/>
        <w:ind w:left="1701"/>
        <w:jc w:val="left"/>
      </w:pPr>
      <w:r>
        <w:rPr>
          <w:rFonts w:ascii="Times New Roman" w:hAnsi="Times New Roman" w:eastAsia="Times New Roman"/>
          <w:color w:val="000000"/>
          <w:sz w:val="22"/>
        </w:rPr>
        <w:t>Класс: 12D</w:t>
      </w:r>
    </w:p>
    <w:p>
      <w:pPr>
        <w:spacing w:after="140"/>
        <w:ind w:left="1701"/>
        <w:jc w:val="left"/>
      </w:pPr>
      <w:r>
        <w:rPr>
          <w:rFonts w:ascii="Times New Roman" w:hAnsi="Times New Roman" w:eastAsia="Times New Roman"/>
          <w:color w:val="000000"/>
          <w:sz w:val="22"/>
        </w:rPr>
        <w:t>Руководитель: Авдюнин Николай Владимирович</w:t>
      </w:r>
    </w:p>
    <w:p>
      <w:pPr>
        <w:spacing w:after="140"/>
        <w:ind w:left="1701"/>
        <w:jc w:val="left"/>
      </w:pPr>
      <w:r>
        <w:rPr>
          <w:rFonts w:ascii="Times New Roman" w:hAnsi="Times New Roman" w:eastAsia="Times New Roman"/>
          <w:color w:val="000000"/>
          <w:sz w:val="22"/>
        </w:rPr>
        <w:t>Школа: Назарбаевская Интеллектуальная Школа физико-математического направления города Талдыкорган</w:t>
      </w:r>
    </w:p>
    <w:p>
      <w:pPr>
        <w:spacing w:after="140"/>
        <w:ind w:left="1701"/>
        <w:jc w:val="left"/>
      </w:pPr>
      <w:r>
        <w:rPr>
          <w:rFonts w:ascii="Times New Roman" w:hAnsi="Times New Roman" w:eastAsia="Times New Roman"/>
          <w:color w:val="000000"/>
          <w:sz w:val="22"/>
        </w:rPr>
        <w:t>Секция: Информационные системы и технологии. Вычислительная нейронаука</w:t>
      </w:r>
    </w:p>
    <w:p>
      <w:pPr>
        <w:spacing w:before="1500"/>
        <w:jc w:val="center"/>
      </w:pPr>
      <w:r>
        <w:rPr>
          <w:rFonts w:ascii="Arial" w:hAnsi="Arial" w:eastAsia="Arial"/>
          <w:b w:val="0"/>
          <w:color w:val="52606D"/>
          <w:sz w:val="20"/>
        </w:rPr>
        <w:t>Казахстан 2026</w:t>
      </w:r>
    </w:p>
    <w:p>
      <w:r>
        <w:br w:type="page"/>
      </w:r>
    </w:p>
    <w:p>
      <w:pPr>
        <w:pStyle w:val="Heading1"/>
      </w:pPr>
      <w:r>
        <w:t>Аннотация</w:t>
      </w:r>
    </w:p>
    <w:p>
      <w:pPr>
        <w:pStyle w:val="BodyText"/>
        <w:spacing w:after="120" w:line="276" w:lineRule="auto"/>
        <w:ind w:firstLine="567"/>
        <w:jc w:val="both"/>
      </w:pPr>
      <w:r>
        <w:rPr>
          <w:rFonts w:ascii="Times New Roman" w:hAnsi="Times New Roman" w:eastAsia="Times New Roman"/>
          <w:color w:val="000000"/>
          <w:sz w:val="22"/>
        </w:rPr>
        <w:t>Работа исследует, можно ли прогнозировать фактическую ошибку основного ответа большой языковой модели по поведению этой же модели при нескольких независимых генерациях. В отличие от проверки по внешней базе знаний, метод использует распределение собственных ответов модели: смысловые группы, энтропию, долю доминирующего утверждения, поддержку target-ответа и изменение этих признаков при добавлении samples от k=2 до k=5.</w:t>
      </w:r>
    </w:p>
    <w:p>
      <w:pPr>
        <w:pStyle w:val="BodyText"/>
        <w:spacing w:after="120" w:line="276" w:lineRule="auto"/>
        <w:ind w:firstLine="567"/>
        <w:jc w:val="both"/>
      </w:pPr>
      <w:r>
        <w:rPr>
          <w:rFonts w:ascii="Times New Roman" w:hAnsi="Times New Roman" w:eastAsia="Times New Roman"/>
          <w:color w:val="000000"/>
          <w:sz w:val="22"/>
        </w:rPr>
        <w:t>Для pilot100_v1 подготовлены 100 фактов с официальными источниками и эквивалентными вопросами на английском, русском и казахском языках. Три модели Groq сформировали 5400 ответов: один low-temperature target и пять стохастических samples для каждого из 900 сочетаний факт–язык–модель. Система сохранила каждый запрос в журнале, исключила дубликаты и отделила оборванные ответы от фактических ошибок.</w:t>
      </w:r>
    </w:p>
    <w:p>
      <w:pPr>
        <w:pStyle w:val="BodyText"/>
        <w:spacing w:after="120" w:line="276" w:lineRule="auto"/>
        <w:ind w:firstLine="567"/>
        <w:jc w:val="both"/>
      </w:pPr>
      <w:r>
        <w:rPr>
          <w:rFonts w:ascii="Times New Roman" w:hAnsi="Times New Roman" w:eastAsia="Times New Roman"/>
          <w:color w:val="000000"/>
          <w:sz w:val="22"/>
        </w:rPr>
        <w:t>Фактическая разметка завершена для 889 target-ответов; 11 оборванных targets оставлены без искусственной оценки. Из 900 случаев 866 содержат полный набор 1+5 ответов, semantic_v4_joint завершён для всех 866, а 832 случая вошли в признаки после исключения 34 judge-uncertain случаев. На заранее закрытом test split динамическая логистическая модель получила AUROC 0,879 (95% CI 0,817–0,934) и AUPRC 0,622. Парное преимущество над статической моделью по AUROC составило 0,038; bootstrap CI 0,001–0,084.</w:t>
      </w:r>
    </w:p>
    <w:p>
      <w:pPr>
        <w:pStyle w:val="BodyText"/>
        <w:spacing w:after="120" w:line="276" w:lineRule="auto"/>
        <w:ind w:firstLine="567"/>
        <w:jc w:val="both"/>
      </w:pPr>
      <w:r>
        <w:rPr>
          <w:rFonts w:ascii="Times New Roman" w:hAnsi="Times New Roman" w:eastAsia="Times New Roman"/>
          <w:color w:val="000000"/>
          <w:sz w:val="22"/>
        </w:rPr>
        <w:t>Ключевые слова: большие языковые модели, фактические ошибки, семантическая энтропия, self-consistency, неопределённость, многоязычный benchmark, Groq.</w:t>
      </w:r>
    </w:p>
    <w:p>
      <w:r>
        <w:br w:type="page"/>
      </w:r>
    </w:p>
    <w:p>
      <w:pPr>
        <w:pStyle w:val="Heading1"/>
      </w:pPr>
      <w:r>
        <w:t>Abstract</w:t>
      </w:r>
    </w:p>
    <w:p>
      <w:pPr>
        <w:pStyle w:val="BodyText"/>
        <w:spacing w:after="120" w:line="276" w:lineRule="auto"/>
        <w:ind w:firstLine="567"/>
        <w:jc w:val="both"/>
      </w:pPr>
      <w:r>
        <w:rPr>
          <w:rFonts w:ascii="Times New Roman" w:hAnsi="Times New Roman" w:eastAsia="Times New Roman"/>
          <w:color w:val="000000"/>
          <w:sz w:val="22"/>
        </w:rPr>
        <w:t>This project tests whether a factual error in a low-temperature target answer can be predicted from the behavior of the same language model across repeated stochastic generations. The method measures semantic clusters, entropy, dominant-claim share, target support, and their trajectories as the visible sample count grows from k=2 to k=5.</w:t>
      </w:r>
    </w:p>
    <w:p>
      <w:pPr>
        <w:pStyle w:val="BodyText"/>
        <w:spacing w:after="120" w:line="276" w:lineRule="auto"/>
        <w:ind w:firstLine="567"/>
        <w:jc w:val="both"/>
      </w:pPr>
      <w:r>
        <w:rPr>
          <w:rFonts w:ascii="Times New Roman" w:hAnsi="Times New Roman" w:eastAsia="Times New Roman"/>
          <w:color w:val="000000"/>
          <w:sz w:val="22"/>
        </w:rPr>
        <w:t>The pilot contains 100 source-backed facts expressed in English, Russian, and Kazakh. Three Groq models produced 5,400 responses across 900 fact-language-model cases. Each case contains one target answer and five samples. Every request is stored in a durable journal with immutable parameters, hashes, model fingerprints, completion status, and retry history.</w:t>
      </w:r>
    </w:p>
    <w:p>
      <w:pPr>
        <w:pStyle w:val="BodyText"/>
        <w:spacing w:after="120" w:line="276" w:lineRule="auto"/>
        <w:ind w:firstLine="567"/>
        <w:jc w:val="both"/>
      </w:pPr>
      <w:r>
        <w:rPr>
          <w:rFonts w:ascii="Times New Roman" w:hAnsi="Times New Roman" w:eastAsia="Times New Roman"/>
          <w:color w:val="000000"/>
          <w:sz w:val="22"/>
        </w:rPr>
        <w:t>Binary factual labels are available for 889 target answers, while 11 truncated targets remain invalid. Semantic grouping is complete for all 866 fixed-five cases; 832 cases entered the feature table after excluding 34 judge-uncertain cases. On the locked test split, the selected dynamic logistic model achieved AUROC 0.879 (95% CI 0.817–0.934) and AUPRC 0.622. Its paired AUROC improvement over the static comparator was 0.038 (95% CI 0.001–0.084).</w:t>
      </w:r>
    </w:p>
    <w:p>
      <w:pPr>
        <w:pStyle w:val="BodyText"/>
        <w:spacing w:after="120" w:line="276" w:lineRule="auto"/>
        <w:ind w:firstLine="567"/>
        <w:jc w:val="both"/>
      </w:pPr>
      <w:r>
        <w:rPr>
          <w:rFonts w:ascii="Times New Roman" w:hAnsi="Times New Roman" w:eastAsia="Times New Roman"/>
          <w:color w:val="000000"/>
          <w:sz w:val="22"/>
        </w:rPr>
        <w:t>Keywords: large language models, factual errors, semantic entropy, self-consistency, uncertainty, multilingual benchmark, Groq.</w:t>
      </w:r>
    </w:p>
    <w:p>
      <w:r>
        <w:br w:type="page"/>
      </w:r>
    </w:p>
    <w:p>
      <w:pPr>
        <w:pStyle w:val="Heading1"/>
      </w:pPr>
      <w:r>
        <w:t>Аңдатпа</w:t>
      </w:r>
    </w:p>
    <w:p>
      <w:pPr>
        <w:pStyle w:val="BodyText"/>
        <w:spacing w:after="120" w:line="276" w:lineRule="auto"/>
        <w:ind w:firstLine="567"/>
        <w:jc w:val="both"/>
      </w:pPr>
      <w:r>
        <w:rPr>
          <w:rFonts w:ascii="Times New Roman" w:hAnsi="Times New Roman" w:eastAsia="Times New Roman"/>
          <w:color w:val="000000"/>
          <w:sz w:val="22"/>
        </w:rPr>
        <w:t>Бұл жұмыста үлкен тілдік модельдің төмен температурада алынған негізгі жауабының фактілік қатесін сол модельдің бірнеше тәуелсіз генерациясындағы мінез-құлқы арқылы болжау мүмкіндігі зерттеледі. Әдіс жауаптардың мағыналық топтарын, энтропиясын, басым тұжырым үлесін, target жауабын қолдау деңгейін және k=2-ден k=5-ке дейінгі өзгеріс траекториясын өлшейді.</w:t>
      </w:r>
    </w:p>
    <w:p>
      <w:pPr>
        <w:pStyle w:val="BodyText"/>
        <w:spacing w:after="120" w:line="276" w:lineRule="auto"/>
        <w:ind w:firstLine="567"/>
        <w:jc w:val="both"/>
      </w:pPr>
      <w:r>
        <w:rPr>
          <w:rFonts w:ascii="Times New Roman" w:hAnsi="Times New Roman" w:eastAsia="Times New Roman"/>
          <w:color w:val="000000"/>
          <w:sz w:val="22"/>
        </w:rPr>
        <w:t>Pilot100_v1 деректер жиыны ресми дереккөздермен расталған 100 фактіден және ағылшын, орыс, қазақ тілдеріндегі мағынасы тең сұрақтардан тұрады. Үш Groq моделі 900 факт–тіл–модель жағдайы үшін 5400 жауап берді. Әр жағдайда бір target жауап және бес стохастикалық sample бар. Барлық сұраулар параметрлерімен, hash мәндерімен, model fingerprint және аяқталу күйімен бірге тұрақты журналға жазылды.</w:t>
      </w:r>
    </w:p>
    <w:p>
      <w:pPr>
        <w:pStyle w:val="BodyText"/>
        <w:spacing w:after="120" w:line="276" w:lineRule="auto"/>
        <w:ind w:firstLine="567"/>
        <w:jc w:val="both"/>
      </w:pPr>
      <w:r>
        <w:rPr>
          <w:rFonts w:ascii="Times New Roman" w:hAnsi="Times New Roman" w:eastAsia="Times New Roman"/>
          <w:color w:val="000000"/>
          <w:sz w:val="22"/>
        </w:rPr>
        <w:t>889 target жауапқа бинарлық фактілік белгі берілді, ал 11 үзілген target жауап қате классына күштеп енгізілмеді. Толық 866 жағдайдың барлығына semantic grouping аяқталды; judge-uncertain 34 жағдайды алып тастағаннан кейін 832 жағдай белгілер кестесіне енді. Жабық test split нәтижесінде динамикалық логистикалық модель AUROC 0,879 (95% CI 0,817–0,934) және AUPRC 0,622 көрсетті. Статикалық модельмен салыстырғандағы AUROC өсімі 0,038 болды.</w:t>
      </w:r>
    </w:p>
    <w:p>
      <w:pPr>
        <w:pStyle w:val="BodyText"/>
        <w:spacing w:after="120" w:line="276" w:lineRule="auto"/>
        <w:ind w:firstLine="567"/>
        <w:jc w:val="both"/>
      </w:pPr>
      <w:r>
        <w:rPr>
          <w:rFonts w:ascii="Times New Roman" w:hAnsi="Times New Roman" w:eastAsia="Times New Roman"/>
          <w:color w:val="000000"/>
          <w:sz w:val="22"/>
        </w:rPr>
        <w:t>Түйін сөздер: үлкен тілдік модельдер, фактілік қателер, семантикалық энтропия, self-consistency, белгісіздік, көптілді benchmark, Groq.</w:t>
      </w:r>
    </w:p>
    <w:p>
      <w:r>
        <w:br w:type="page"/>
      </w:r>
    </w:p>
    <w:p>
      <w:pPr>
        <w:pStyle w:val="Heading1"/>
      </w:pPr>
      <w:r>
        <w:t>Оглавление</w:t>
      </w:r>
    </w:p>
    <w:p>
      <w:r>
        <w:fldChar w:fldCharType="begin"/>
        <w:instrText xml:space="preserve"> TOC \o "1-3" \h \z \u </w:instrText>
        <w:fldChar w:fldCharType="separate"/>
        <w:t>Оглавление обновится при открытии документа в Word</w:t>
        <w:fldChar w:fldCharType="end"/>
      </w:r>
    </w:p>
    <w:p>
      <w:pPr>
        <w:pStyle w:val="Heading1"/>
      </w:pPr>
      <w:r>
        <w:t>1 Введение</w:t>
      </w:r>
    </w:p>
    <w:p>
      <w:pPr>
        <w:pStyle w:val="BodyText"/>
        <w:spacing w:after="120" w:line="276" w:lineRule="auto"/>
        <w:ind w:firstLine="567"/>
        <w:jc w:val="both"/>
      </w:pPr>
      <w:r>
        <w:rPr>
          <w:rFonts w:ascii="Times New Roman" w:hAnsi="Times New Roman" w:eastAsia="Times New Roman"/>
          <w:color w:val="000000"/>
          <w:sz w:val="22"/>
        </w:rPr>
        <w:t>Большие языковые модели формируют связные ответы даже тогда, когда содержащийся в них факт неверен. Уверенный тон не позволяет пользователю определить надёжность ответа без внешней проверки. Особенно сложно оценивать системы, доступные только через API: внутренние вероятности токенов и состояния модели могут быть недоступны.</w:t>
      </w:r>
    </w:p>
    <w:p>
      <w:pPr>
        <w:pStyle w:val="BodyText"/>
        <w:spacing w:after="120" w:line="276" w:lineRule="auto"/>
        <w:ind w:firstLine="567"/>
        <w:jc w:val="both"/>
      </w:pPr>
      <w:r>
        <w:rPr>
          <w:rFonts w:ascii="Times New Roman" w:hAnsi="Times New Roman" w:eastAsia="Times New Roman"/>
          <w:color w:val="000000"/>
          <w:sz w:val="22"/>
        </w:rPr>
        <w:t>Исследования SelfCheckGPT и semantic entropy показывают, что повторные генерации дают полезный сигнал: при устойчивом знании ответы чаще поддерживают одно утверждение, а при конфабуляции расходятся по смыслу [1, 2]. Однако итоговая согласованность при фиксированном числе samples скрывает процесс формирования консенсуса. В данном проекте проверяется дополнительная идея: траектория признаков при k=2, 3, 4 и 5 может содержать сигнал, которого нет в одном финальном измерении.</w:t>
      </w:r>
    </w:p>
    <w:p>
      <w:pPr>
        <w:pStyle w:val="BodyText"/>
        <w:spacing w:after="120" w:line="276" w:lineRule="auto"/>
        <w:ind w:firstLine="567"/>
        <w:jc w:val="both"/>
      </w:pPr>
      <w:r>
        <w:rPr>
          <w:rFonts w:ascii="Times New Roman" w:hAnsi="Times New Roman" w:eastAsia="Times New Roman"/>
          <w:color w:val="000000"/>
          <w:sz w:val="22"/>
        </w:rPr>
        <w:t>Работа выполняется как black-box эксперимент на моделях бесплатного тарифа Groq. Ground truth создаётся из заранее проверенных фактов и строгой оценки всего target-ответа. Семантический judge не видит эталонный ответ и не решает, что истинно; он только группирует эквивалентные утверждения.</w:t>
      </w:r>
    </w:p>
    <w:p>
      <w:pPr>
        <w:pStyle w:val="Heading2"/>
      </w:pPr>
      <w:r>
        <w:t>1.1 Исследовательский вопрос</w:t>
      </w:r>
    </w:p>
    <w:p>
      <w:pPr>
        <w:pStyle w:val="BodyText"/>
        <w:spacing w:after="120" w:line="276" w:lineRule="auto"/>
        <w:ind w:firstLine="567"/>
        <w:jc w:val="both"/>
      </w:pPr>
      <w:r>
        <w:rPr>
          <w:rFonts w:ascii="Times New Roman" w:hAnsi="Times New Roman" w:eastAsia="Times New Roman"/>
          <w:color w:val="000000"/>
          <w:sz w:val="22"/>
        </w:rPr>
        <w:t>Даёт ли динамика изменения семантической согласованности при k=2–5 дополнительный сигнал для прогнозирования фактической ошибки target-ответа по сравнению со статическими признаками при k=5?</w:t>
      </w:r>
    </w:p>
    <w:p>
      <w:pPr>
        <w:pStyle w:val="Heading2"/>
      </w:pPr>
      <w:r>
        <w:t>1.2 Цель и задачи</w:t>
      </w:r>
    </w:p>
    <w:p>
      <w:pPr>
        <w:pStyle w:val="BodyText"/>
        <w:spacing w:after="120" w:line="276" w:lineRule="auto"/>
        <w:ind w:firstLine="567"/>
        <w:jc w:val="both"/>
      </w:pPr>
      <w:r>
        <w:rPr>
          <w:rFonts w:ascii="Times New Roman" w:hAnsi="Times New Roman" w:eastAsia="Times New Roman"/>
          <w:color w:val="000000"/>
          <w:sz w:val="22"/>
        </w:rPr>
        <w:t>Цель работы — разработать и проверить воспроизводимый метод оценки риска фактической ошибки LLM по нескольким ответам той же модели без доступа к logprobs.</w:t>
      </w:r>
    </w:p>
    <w:p>
      <w:pPr>
        <w:pStyle w:val="ListBullet"/>
        <w:spacing w:after="60"/>
        <w:ind w:left="425" w:hanging="198"/>
      </w:pPr>
      <w:r>
        <w:rPr>
          <w:rFonts w:ascii="Times New Roman" w:hAnsi="Times New Roman" w:eastAsia="Times New Roman"/>
          <w:color w:val="000000"/>
          <w:sz w:val="21"/>
        </w:rPr>
        <w:t>создать многоязычный benchmark с проверенными фактами и ложными предпосылками;</w:t>
      </w:r>
    </w:p>
    <w:p>
      <w:pPr>
        <w:pStyle w:val="ListBullet"/>
        <w:spacing w:after="60"/>
        <w:ind w:left="425" w:hanging="198"/>
      </w:pPr>
      <w:r>
        <w:rPr>
          <w:rFonts w:ascii="Times New Roman" w:hAnsi="Times New Roman" w:eastAsia="Times New Roman"/>
          <w:color w:val="000000"/>
          <w:sz w:val="21"/>
        </w:rPr>
        <w:t>собрать target и пять samples для каждой комбинации факта, языка и модели;</w:t>
      </w:r>
    </w:p>
    <w:p>
      <w:pPr>
        <w:pStyle w:val="ListBullet"/>
        <w:spacing w:after="60"/>
        <w:ind w:left="425" w:hanging="198"/>
      </w:pPr>
      <w:r>
        <w:rPr>
          <w:rFonts w:ascii="Times New Roman" w:hAnsi="Times New Roman" w:eastAsia="Times New Roman"/>
          <w:color w:val="000000"/>
          <w:sz w:val="21"/>
        </w:rPr>
        <w:t>получить независимые фактические labels для target-ответов;</w:t>
      </w:r>
    </w:p>
    <w:p>
      <w:pPr>
        <w:pStyle w:val="ListBullet"/>
        <w:spacing w:after="60"/>
        <w:ind w:left="425" w:hanging="198"/>
      </w:pPr>
      <w:r>
        <w:rPr>
          <w:rFonts w:ascii="Times New Roman" w:hAnsi="Times New Roman" w:eastAsia="Times New Roman"/>
          <w:color w:val="000000"/>
          <w:sz w:val="21"/>
        </w:rPr>
        <w:t>построить семантические группы и траектории неопределённости при k=2–5;</w:t>
      </w:r>
    </w:p>
    <w:p>
      <w:pPr>
        <w:pStyle w:val="ListBullet"/>
        <w:spacing w:after="60"/>
        <w:ind w:left="425" w:hanging="198"/>
      </w:pPr>
      <w:r>
        <w:rPr>
          <w:rFonts w:ascii="Times New Roman" w:hAnsi="Times New Roman" w:eastAsia="Times New Roman"/>
          <w:color w:val="000000"/>
          <w:sz w:val="21"/>
        </w:rPr>
        <w:t>сравнить лексические, статические и динамические модели на fact-level split;</w:t>
      </w:r>
    </w:p>
    <w:p>
      <w:pPr>
        <w:pStyle w:val="ListBullet"/>
        <w:spacing w:after="60"/>
        <w:ind w:left="425" w:hanging="198"/>
      </w:pPr>
      <w:r>
        <w:rPr>
          <w:rFonts w:ascii="Times New Roman" w:hAnsi="Times New Roman" w:eastAsia="Times New Roman"/>
          <w:color w:val="000000"/>
          <w:sz w:val="21"/>
        </w:rPr>
        <w:t>оценить калибровку, перенос между языками и практическое правило ранней остановки.</w:t>
      </w:r>
    </w:p>
    <w:p>
      <w:pPr>
        <w:pStyle w:val="Heading2"/>
      </w:pPr>
      <w:r>
        <w:t>1.3 Объект предмет и гипотеза</w:t>
      </w:r>
    </w:p>
    <w:p>
      <w:pPr>
        <w:pStyle w:val="BodyText"/>
        <w:spacing w:after="120" w:line="276" w:lineRule="auto"/>
        <w:ind w:firstLine="567"/>
        <w:jc w:val="both"/>
      </w:pPr>
      <w:r>
        <w:rPr>
          <w:rFonts w:ascii="Times New Roman" w:hAnsi="Times New Roman" w:eastAsia="Times New Roman"/>
          <w:color w:val="000000"/>
          <w:sz w:val="22"/>
        </w:rPr>
        <w:t>Объект исследования — ответы больших языковых моделей на фактологические вопросы. Предмет исследования — связь фактической ошибки target-ответа с распределением смыслов в повторных генерациях.</w:t>
      </w:r>
    </w:p>
    <w:p>
      <w:pPr>
        <w:pStyle w:val="BodyText"/>
        <w:spacing w:after="120" w:line="276" w:lineRule="auto"/>
        <w:ind w:firstLine="567"/>
        <w:jc w:val="both"/>
      </w:pPr>
      <w:r>
        <w:rPr>
          <w:rFonts w:ascii="Times New Roman" w:hAnsi="Times New Roman" w:eastAsia="Times New Roman"/>
          <w:color w:val="000000"/>
          <w:sz w:val="22"/>
        </w:rPr>
        <w:t>Гипотеза: признаки изменения semantic entropy, числа кластеров, доли доминирующего утверждения и поддержки target при k=2–5 повышают качество прогнозирования ошибки относительно модели, использующей только финальные признаки при k=5.</w:t>
      </w:r>
    </w:p>
    <w:p>
      <w:pPr>
        <w:pStyle w:val="Heading1"/>
      </w:pPr>
      <w:r>
        <w:t>2 Теоретические основы</w:t>
      </w:r>
    </w:p>
    <w:p>
      <w:pPr>
        <w:pStyle w:val="Heading2"/>
      </w:pPr>
      <w:r>
        <w:t>2.1 Повторная генерация как black box сигнал</w:t>
      </w:r>
    </w:p>
    <w:p>
      <w:pPr>
        <w:pStyle w:val="BodyText"/>
        <w:spacing w:after="120" w:line="276" w:lineRule="auto"/>
        <w:ind w:firstLine="567"/>
        <w:jc w:val="both"/>
      </w:pPr>
      <w:r>
        <w:rPr>
          <w:rFonts w:ascii="Times New Roman" w:hAnsi="Times New Roman" w:eastAsia="Times New Roman"/>
          <w:color w:val="000000"/>
          <w:sz w:val="22"/>
        </w:rPr>
        <w:t>Self-consistency использует несколько стохастических путей генерации и выбирает согласованный ответ [3]. SelfCheckGPT применяет близкую интуицию к factuality: если модель располагает устойчивым знанием, независимые samples чаще поддерживают одно и то же утверждение; расхождение может указывать на ненадёжность [1]. Такой подход не требует доступа к параметрам или внутренним активациям модели.</w:t>
      </w:r>
    </w:p>
    <w:p>
      <w:pPr>
        <w:pStyle w:val="Heading2"/>
      </w:pPr>
      <w:r>
        <w:t>2.2 Семантическая неопределённость</w:t>
      </w:r>
    </w:p>
    <w:p>
      <w:pPr>
        <w:pStyle w:val="BodyText"/>
        <w:spacing w:after="120" w:line="276" w:lineRule="auto"/>
        <w:ind w:firstLine="567"/>
        <w:jc w:val="both"/>
      </w:pPr>
      <w:r>
        <w:rPr>
          <w:rFonts w:ascii="Times New Roman" w:hAnsi="Times New Roman" w:eastAsia="Times New Roman"/>
          <w:color w:val="000000"/>
          <w:sz w:val="22"/>
        </w:rPr>
        <w:t>Лексическое разнообразие нельзя напрямую считать неопределённостью: выражения «Neil Armstrong» и «Нил Армстронг командовал Apollo 11» различаются строково, но передают один факт. Semantic entropy объединяет ответы по смыслу и вычисляет неопределённость по массе смысловых групп. Farquhar и соавторы показали, что дискретный вариант можно применять без точных вероятностей токенов [2].</w:t>
      </w:r>
    </w:p>
    <w:p>
      <w:pPr>
        <w:pStyle w:val="Heading2"/>
      </w:pPr>
      <w:r>
        <w:t>2.3 Отличие предлагаемого подхода</w:t>
      </w:r>
    </w:p>
    <w:p>
      <w:pPr>
        <w:pStyle w:val="BodyText"/>
        <w:spacing w:after="120" w:line="276" w:lineRule="auto"/>
        <w:ind w:firstLine="567"/>
        <w:jc w:val="both"/>
      </w:pPr>
      <w:r>
        <w:rPr>
          <w:rFonts w:ascii="Times New Roman" w:hAnsi="Times New Roman" w:eastAsia="Times New Roman"/>
          <w:color w:val="000000"/>
          <w:sz w:val="22"/>
        </w:rPr>
        <w:t>Проект не ограничивается одной оценкой при пяти samples. Для каждого префикса k=2, 3, 4, 5 строится собственное состояние согласованности. Из последовательности извлекаются рост энтропии, переключение доминирующей группы, момент стабилизации, минимальная поддержка target и площадь под траекторией несогласия. Эти признаки затем сравниваются со статическим k=5 и лексическими baseline.</w:t>
      </w:r>
    </w:p>
    <w:p>
      <w:pPr>
        <w:pStyle w:val="Heading1"/>
      </w:pPr>
      <w:r>
        <w:t>3 Дизайн исследования</w:t>
      </w:r>
    </w:p>
    <w:p>
      <w:pPr>
        <w:pStyle w:val="Heading2"/>
      </w:pPr>
      <w:r>
        <w:t>3.1 Benchmark</w:t>
      </w:r>
    </w:p>
    <w:p>
      <w:pPr>
        <w:pStyle w:val="BodyText"/>
        <w:spacing w:after="120" w:line="276" w:lineRule="auto"/>
        <w:ind w:firstLine="567"/>
        <w:jc w:val="both"/>
      </w:pPr>
      <w:r>
        <w:rPr>
          <w:rFonts w:ascii="Times New Roman" w:hAnsi="Times New Roman" w:eastAsia="Times New Roman"/>
          <w:color w:val="000000"/>
          <w:sz w:val="22"/>
        </w:rPr>
        <w:t>Pilot benchmark содержит 100 фактов. Каждый факт имеет canonical answer, допустимые aliases, официальный или первичный источник и три семантически эквивалентных вопроса. Все 100 строк проверены человеком до генерации. Категории сбалансированы: по 16 фактов для истории, географии, науки, культуры и Казахстана, а также 20 вопросов с ложной предпосылкой.</w:t>
      </w:r>
    </w:p>
    <w:tbl>
      <w:tblPr>
        <w:tblW w:type="auto" w:w="0"/>
        <w:jc w:val="center"/>
        <w:tblLayout w:type="fixed"/>
        <w:tblLook w:firstColumn="1" w:firstRow="1" w:lastColumn="0" w:lastRow="0" w:noHBand="0" w:noVBand="1" w:val="04A0"/>
      </w:tblPr>
      <w:tblGrid>
        <w:gridCol w:w="3062"/>
        <w:gridCol w:w="3062"/>
        <w:gridCol w:w="3062"/>
      </w:tblGrid>
      <w:tr>
        <w:trPr>
          <w:tblHeader w:val="true"/>
        </w:trPr>
        <w:tc>
          <w:tcPr>
            <w:tcW w:type="dxa" w:w="4762"/>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Категория</w:t>
            </w:r>
          </w:p>
        </w:tc>
        <w:tc>
          <w:tcPr>
            <w:tcW w:type="dxa" w:w="1701"/>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Фактов</w:t>
            </w:r>
          </w:p>
        </w:tc>
        <w:tc>
          <w:tcPr>
            <w:tcW w:type="dxa" w:w="1928"/>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Формулировок</w:t>
            </w:r>
          </w:p>
        </w:tc>
      </w:tr>
      <w:tr>
        <w:tc>
          <w:tcPr>
            <w:tcW w:type="dxa" w:w="476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История</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w:t>
            </w:r>
          </w:p>
        </w:tc>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48</w:t>
            </w:r>
          </w:p>
        </w:tc>
      </w:tr>
      <w:tr>
        <w:tc>
          <w:tcPr>
            <w:tcW w:type="dxa" w:w="476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География</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w:t>
            </w:r>
          </w:p>
        </w:tc>
        <w:tc>
          <w:tcPr>
            <w:tcW w:type="dxa" w:w="192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48</w:t>
            </w:r>
          </w:p>
        </w:tc>
      </w:tr>
      <w:tr>
        <w:tc>
          <w:tcPr>
            <w:tcW w:type="dxa" w:w="476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Наука</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w:t>
            </w:r>
          </w:p>
        </w:tc>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48</w:t>
            </w:r>
          </w:p>
        </w:tc>
      </w:tr>
      <w:tr>
        <w:tc>
          <w:tcPr>
            <w:tcW w:type="dxa" w:w="476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Культура</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w:t>
            </w:r>
          </w:p>
        </w:tc>
        <w:tc>
          <w:tcPr>
            <w:tcW w:type="dxa" w:w="192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48</w:t>
            </w:r>
          </w:p>
        </w:tc>
      </w:tr>
      <w:tr>
        <w:tc>
          <w:tcPr>
            <w:tcW w:type="dxa" w:w="476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Казахстан</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w:t>
            </w:r>
          </w:p>
        </w:tc>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48</w:t>
            </w:r>
          </w:p>
        </w:tc>
      </w:tr>
      <w:tr>
        <w:tc>
          <w:tcPr>
            <w:tcW w:type="dxa" w:w="476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Ложная предпосылка</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20</w:t>
            </w:r>
          </w:p>
        </w:tc>
        <w:tc>
          <w:tcPr>
            <w:tcW w:type="dxa" w:w="192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60</w:t>
            </w:r>
          </w:p>
        </w:tc>
      </w:tr>
    </w:tbl>
    <w:p>
      <w:pPr>
        <w:spacing w:after="40"/>
      </w:pPr>
    </w:p>
    <w:p>
      <w:pPr>
        <w:spacing w:after="120"/>
        <w:jc w:val="center"/>
      </w:pPr>
      <w:r>
        <w:rPr>
          <w:rFonts w:ascii="Arial" w:hAnsi="Arial" w:eastAsia="Arial"/>
          <w:b w:val="0"/>
          <w:i/>
          <w:color w:val="52606D"/>
          <w:sz w:val="18"/>
        </w:rPr>
        <w:t>Таблица 1  Состав pilot benchmark</w:t>
      </w:r>
    </w:p>
    <w:p>
      <w:pPr>
        <w:pStyle w:val="Heading2"/>
      </w:pPr>
      <w:r>
        <w:t>3.2 Модели и генерация</w:t>
      </w:r>
    </w:p>
    <w:p>
      <w:pPr>
        <w:pStyle w:val="BodyText"/>
        <w:spacing w:after="120" w:line="276" w:lineRule="auto"/>
        <w:ind w:firstLine="567"/>
        <w:jc w:val="both"/>
      </w:pPr>
      <w:r>
        <w:rPr>
          <w:rFonts w:ascii="Times New Roman" w:hAnsi="Times New Roman" w:eastAsia="Times New Roman"/>
          <w:color w:val="000000"/>
          <w:sz w:val="22"/>
        </w:rPr>
        <w:t>В эксперименте участвуют openai/gpt-oss-20b, qwen/qwen3.6-27b и qwen/qwen3.8-27b. Для каждого вопроса формируется target при temperature=0.0 и seed=42, затем пять samples при temperature=0.7, top_p=0.95 и фиксированных seeds 101, 202, 303, 404, 505. Таким образом, 100 фактов × 3 языка × 3 модели × 6 ответов дают 5400 запросов.</w:t>
      </w:r>
    </w:p>
    <w:tbl>
      <w:tblPr>
        <w:tblW w:type="auto" w:w="0"/>
        <w:jc w:val="center"/>
        <w:tblLayout w:type="fixed"/>
        <w:tblLook w:firstColumn="1" w:firstRow="1" w:lastColumn="0" w:lastRow="0" w:noHBand="0" w:noVBand="1" w:val="04A0"/>
      </w:tblPr>
      <w:tblGrid>
        <w:gridCol w:w="4592"/>
        <w:gridCol w:w="4592"/>
      </w:tblGrid>
      <w:tr>
        <w:trPr>
          <w:tblHeader w:val="true"/>
        </w:trPr>
        <w:tc>
          <w:tcPr>
            <w:tcW w:type="dxa" w:w="2381"/>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Компонент</w:t>
            </w:r>
          </w:p>
        </w:tc>
        <w:tc>
          <w:tcPr>
            <w:tcW w:type="dxa" w:w="6009"/>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Параметры</w:t>
            </w:r>
          </w:p>
        </w:tc>
      </w:tr>
      <w:tr>
        <w:tc>
          <w:tcPr>
            <w:tcW w:type="dxa" w:w="238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Target</w:t>
            </w:r>
          </w:p>
        </w:tc>
        <w:tc>
          <w:tcPr>
            <w:tcW w:type="dxa" w:w="600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temperature 0.0; seed 42; max 512 tokens</w:t>
            </w:r>
          </w:p>
        </w:tc>
      </w:tr>
      <w:tr>
        <w:tc>
          <w:tcPr>
            <w:tcW w:type="dxa" w:w="238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Samples</w:t>
            </w:r>
          </w:p>
        </w:tc>
        <w:tc>
          <w:tcPr>
            <w:tcW w:type="dxa" w:w="600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5 ответов; temperature 0.7; top_p 0.95; max 512 tokens</w:t>
            </w:r>
          </w:p>
        </w:tc>
      </w:tr>
      <w:tr>
        <w:tc>
          <w:tcPr>
            <w:tcW w:type="dxa" w:w="238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Языки</w:t>
            </w:r>
          </w:p>
        </w:tc>
        <w:tc>
          <w:tcPr>
            <w:tcW w:type="dxa" w:w="600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English, русский, қазақша</w:t>
            </w:r>
          </w:p>
        </w:tc>
      </w:tr>
      <w:tr>
        <w:tc>
          <w:tcPr>
            <w:tcW w:type="dxa" w:w="238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Semantic judge</w:t>
            </w:r>
          </w:p>
        </w:tc>
        <w:tc>
          <w:tcPr>
            <w:tcW w:type="dxa" w:w="600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openai/gpt-oss-120b; temperature 0.0; ground truth скрыт</w:t>
            </w:r>
          </w:p>
        </w:tc>
      </w:tr>
    </w:tbl>
    <w:p>
      <w:pPr>
        <w:spacing w:after="40"/>
      </w:pPr>
    </w:p>
    <w:p>
      <w:pPr>
        <w:spacing w:after="120"/>
        <w:jc w:val="center"/>
      </w:pPr>
      <w:r>
        <w:rPr>
          <w:rFonts w:ascii="Arial" w:hAnsi="Arial" w:eastAsia="Arial"/>
          <w:b w:val="0"/>
          <w:i/>
          <w:color w:val="52606D"/>
          <w:sz w:val="18"/>
        </w:rPr>
        <w:t>Таблица 2  Зафиксированные параметры</w:t>
      </w:r>
    </w:p>
    <w:p>
      <w:pPr>
        <w:pStyle w:val="Heading2"/>
      </w:pPr>
      <w:r>
        <w:t>3.3 Разбиение и защита от утечки</w:t>
      </w:r>
    </w:p>
    <w:p>
      <w:pPr>
        <w:pStyle w:val="BodyText"/>
        <w:spacing w:after="120" w:line="276" w:lineRule="auto"/>
        <w:ind w:firstLine="567"/>
        <w:jc w:val="both"/>
      </w:pPr>
      <w:r>
        <w:rPr>
          <w:rFonts w:ascii="Times New Roman" w:hAnsi="Times New Roman" w:eastAsia="Times New Roman"/>
          <w:color w:val="000000"/>
          <w:sz w:val="22"/>
        </w:rPr>
        <w:t>Разбиение 70/15/15 выполняется на уровне fact_id. Все языки, модели и генерации одного факта остаются в одном split. Test set не используется для выбора признаков, модели, threshold или калибровки. Конфигурация, benchmark и split закреплены SHA-256 до запуска.</w:t>
      </w:r>
    </w:p>
    <w:p>
      <w:pPr>
        <w:pStyle w:val="Heading1"/>
      </w:pPr>
      <w:r>
        <w:t>4 Система сбора и контроля данных</w:t>
      </w:r>
    </w:p>
    <w:p>
      <w:pPr>
        <w:pStyle w:val="BodyText"/>
        <w:spacing w:after="120" w:line="276" w:lineRule="auto"/>
        <w:ind w:firstLine="567"/>
        <w:jc w:val="both"/>
      </w:pPr>
      <w:r>
        <w:rPr>
          <w:rFonts w:ascii="Times New Roman" w:hAnsi="Times New Roman" w:eastAsia="Times New Roman"/>
          <w:color w:val="000000"/>
          <w:sz w:val="22"/>
        </w:rPr>
        <w:t>Каждый запрос сначала получает стабильный request key из experiment_id, факта, языка, модели, типа генерации, sample index, prompt version и параметров. Ответ немедленно записывается в SQLite с FULL synchronous режимом. При повторном запуске успешные ключи пропускаются; незавершённые попытки проверяются отдельно. Такой порядок позволил собрать pilot через суточные ограничения Groq без повторной генерации уже сохранённых данных.</w:t>
      </w:r>
    </w:p>
    <w:tbl>
      <w:tblPr>
        <w:tblW w:type="auto" w:w="0"/>
        <w:jc w:val="center"/>
        <w:tblLayout w:type="fixed"/>
        <w:tblLook w:firstColumn="1" w:firstRow="1" w:lastColumn="0" w:lastRow="0" w:noHBand="0" w:noVBand="1" w:val="04A0"/>
      </w:tblPr>
      <w:tblGrid>
        <w:gridCol w:w="3062"/>
        <w:gridCol w:w="3062"/>
        <w:gridCol w:w="3062"/>
      </w:tblGrid>
      <w:tr>
        <w:trPr>
          <w:tblHeader w:val="true"/>
        </w:trPr>
        <w:tc>
          <w:tcPr>
            <w:tcW w:type="dxa" w:w="1928"/>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Контроль</w:t>
            </w:r>
          </w:p>
        </w:tc>
        <w:tc>
          <w:tcPr>
            <w:tcW w:type="dxa" w:w="3061"/>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Реализация</w:t>
            </w:r>
          </w:p>
        </w:tc>
        <w:tc>
          <w:tcPr>
            <w:tcW w:type="dxa" w:w="3402"/>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Назначение</w:t>
            </w:r>
          </w:p>
        </w:tc>
      </w:tr>
      <w:tr>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Дедупликация</w:t>
            </w:r>
          </w:p>
        </w:tc>
        <w:tc>
          <w:tcPr>
            <w:tcW w:type="dxa" w:w="306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7"/>
              </w:rPr>
              <w:t>Стабильный request key</w:t>
            </w:r>
          </w:p>
        </w:tc>
        <w:tc>
          <w:tcPr>
            <w:tcW w:type="dxa" w:w="340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Исключает повторный вызов</w:t>
            </w:r>
          </w:p>
        </w:tc>
      </w:tr>
      <w:tr>
        <w:tc>
          <w:tcPr>
            <w:tcW w:type="dxa" w:w="192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Возобновление</w:t>
            </w:r>
          </w:p>
        </w:tc>
        <w:tc>
          <w:tcPr>
            <w:tcW w:type="dxa" w:w="306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SQLite journal и export Parquet</w:t>
            </w:r>
          </w:p>
        </w:tc>
        <w:tc>
          <w:tcPr>
            <w:tcW w:type="dxa" w:w="340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Продолжает после остановки</w:t>
            </w:r>
          </w:p>
        </w:tc>
      </w:tr>
      <w:tr>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Rate limits</w:t>
            </w:r>
          </w:p>
        </w:tc>
        <w:tc>
          <w:tcPr>
            <w:tcW w:type="dxa" w:w="306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429, Retry-After, backoff</w:t>
            </w:r>
          </w:p>
        </w:tc>
        <w:tc>
          <w:tcPr>
            <w:tcW w:type="dxa" w:w="340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7"/>
              </w:rPr>
              <w:t>Соблюдает Free Plan</w:t>
            </w:r>
          </w:p>
        </w:tc>
      </w:tr>
      <w:tr>
        <w:tc>
          <w:tcPr>
            <w:tcW w:type="dxa" w:w="192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Версионирование</w:t>
            </w:r>
          </w:p>
        </w:tc>
        <w:tc>
          <w:tcPr>
            <w:tcW w:type="dxa" w:w="306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experiment_id, hashes, prompt_version</w:t>
            </w:r>
          </w:p>
        </w:tc>
        <w:tc>
          <w:tcPr>
            <w:tcW w:type="dxa" w:w="340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Разделяет несовместимые запуски</w:t>
            </w:r>
          </w:p>
        </w:tc>
      </w:tr>
      <w:tr>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Неполный ответ</w:t>
            </w:r>
          </w:p>
        </w:tc>
        <w:tc>
          <w:tcPr>
            <w:tcW w:type="dxa" w:w="306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finish_reason и valid_response</w:t>
            </w:r>
          </w:p>
        </w:tc>
        <w:tc>
          <w:tcPr>
            <w:tcW w:type="dxa" w:w="340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7"/>
              </w:rPr>
              <w:t>Не превращает обрыв в factual error</w:t>
            </w:r>
          </w:p>
        </w:tc>
      </w:tr>
    </w:tbl>
    <w:p>
      <w:pPr>
        <w:spacing w:after="40"/>
      </w:pPr>
    </w:p>
    <w:p>
      <w:pPr>
        <w:spacing w:after="120"/>
        <w:jc w:val="center"/>
      </w:pPr>
      <w:r>
        <w:rPr>
          <w:rFonts w:ascii="Arial" w:hAnsi="Arial" w:eastAsia="Arial"/>
          <w:b w:val="0"/>
          <w:i/>
          <w:color w:val="52606D"/>
          <w:sz w:val="18"/>
        </w:rPr>
        <w:t>Таблица 3  Инженерные гарантии воспроизводимости</w:t>
      </w:r>
    </w:p>
    <w:p>
      <w:pPr>
        <w:pStyle w:val="Heading1"/>
      </w:pPr>
      <w:r>
        <w:t>5 Фактическая разметка</w:t>
      </w:r>
    </w:p>
    <w:p>
      <w:pPr>
        <w:pStyle w:val="BodyText"/>
        <w:spacing w:after="120" w:line="276" w:lineRule="auto"/>
        <w:ind w:firstLine="567"/>
        <w:jc w:val="both"/>
      </w:pPr>
      <w:r>
        <w:rPr>
          <w:rFonts w:ascii="Times New Roman" w:hAnsi="Times New Roman" w:eastAsia="Times New Roman"/>
          <w:color w:val="000000"/>
          <w:sz w:val="22"/>
        </w:rPr>
        <w:t>Сначала применяется консервативная автоматическая проверка: нормализованное точное совпадение с canonical answer или разрешённым alias, а также однозначное числовое и датовое совпадение. Отсутствие совпадения не означает ошибку и направляется человеку.</w:t>
      </w:r>
    </w:p>
    <w:p>
      <w:pPr>
        <w:pStyle w:val="BodyText"/>
        <w:spacing w:after="120" w:line="276" w:lineRule="auto"/>
        <w:ind w:firstLine="567"/>
        <w:jc w:val="both"/>
      </w:pPr>
      <w:r>
        <w:rPr>
          <w:rFonts w:ascii="Times New Roman" w:hAnsi="Times New Roman" w:eastAsia="Times New Roman"/>
          <w:color w:val="000000"/>
          <w:sz w:val="22"/>
        </w:rPr>
        <w:t>Человек оценивает весь target-ответ. Правильное финальное имя не спасает ответ, если в пояснении есть ложная дата, имя, причина или ошибочное отрицание предпосылки. Орфографическая ошибка не считается factual error, когда фактический объект однозначно распознаётся. Оборванные ответы получают статус invalid, а не искусственный ноль.</w:t>
      </w:r>
    </w:p>
    <w:tbl>
      <w:tblPr>
        <w:tblW w:type="auto" w:w="0"/>
        <w:jc w:val="center"/>
        <w:tblLayout w:type="fixed"/>
        <w:tblLook w:firstColumn="1" w:firstRow="1" w:lastColumn="0" w:lastRow="0" w:noHBand="0" w:noVBand="1" w:val="04A0"/>
      </w:tblPr>
      <w:tblGrid>
        <w:gridCol w:w="3062"/>
        <w:gridCol w:w="3062"/>
        <w:gridCol w:w="3062"/>
      </w:tblGrid>
      <w:tr>
        <w:trPr>
          <w:tblHeader w:val="true"/>
        </w:trPr>
        <w:tc>
          <w:tcPr>
            <w:tcW w:type="dxa" w:w="4535"/>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Статус</w:t>
            </w:r>
          </w:p>
        </w:tc>
        <w:tc>
          <w:tcPr>
            <w:tcW w:type="dxa" w:w="1701"/>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Количество</w:t>
            </w:r>
          </w:p>
        </w:tc>
        <w:tc>
          <w:tcPr>
            <w:tcW w:type="dxa" w:w="1928"/>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Доля от 900</w:t>
            </w:r>
          </w:p>
        </w:tc>
      </w:tr>
      <w:tr>
        <w:tc>
          <w:tcPr>
            <w:tcW w:type="dxa" w:w="45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Проверено человеком и верно</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557</w:t>
            </w:r>
          </w:p>
        </w:tc>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61,9%</w:t>
            </w:r>
          </w:p>
        </w:tc>
      </w:tr>
      <w:tr>
        <w:tc>
          <w:tcPr>
            <w:tcW w:type="dxa" w:w="45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Проверено человеком и неверно</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175</w:t>
            </w:r>
          </w:p>
        </w:tc>
        <w:tc>
          <w:tcPr>
            <w:tcW w:type="dxa" w:w="192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19,4%</w:t>
            </w:r>
          </w:p>
        </w:tc>
      </w:tr>
      <w:tr>
        <w:tc>
          <w:tcPr>
            <w:tcW w:type="dxa" w:w="45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Автоматически подтверждено</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157</w:t>
            </w:r>
          </w:p>
        </w:tc>
        <w:tc>
          <w:tcPr>
            <w:tcW w:type="dxa" w:w="192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17,4%</w:t>
            </w:r>
          </w:p>
        </w:tc>
      </w:tr>
      <w:tr>
        <w:tc>
          <w:tcPr>
            <w:tcW w:type="dxa" w:w="45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Invalid без бинарной оценки</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11</w:t>
            </w:r>
          </w:p>
        </w:tc>
        <w:tc>
          <w:tcPr>
            <w:tcW w:type="dxa" w:w="192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1,2%</w:t>
            </w:r>
          </w:p>
        </w:tc>
      </w:tr>
    </w:tbl>
    <w:p>
      <w:pPr>
        <w:spacing w:after="40"/>
      </w:pPr>
    </w:p>
    <w:p>
      <w:pPr>
        <w:spacing w:after="120"/>
        <w:jc w:val="center"/>
      </w:pPr>
      <w:r>
        <w:rPr>
          <w:rFonts w:ascii="Arial" w:hAnsi="Arial" w:eastAsia="Arial"/>
          <w:b w:val="0"/>
          <w:i/>
          <w:color w:val="52606D"/>
          <w:sz w:val="18"/>
        </w:rPr>
        <w:t>Таблица 4  Итог разметки target-ответов</w:t>
      </w:r>
    </w:p>
    <w:p>
      <w:pPr>
        <w:pStyle w:val="Heading1"/>
      </w:pPr>
      <w:r>
        <w:t>6 Семантические признаки</w:t>
      </w:r>
    </w:p>
    <w:p>
      <w:pPr>
        <w:pStyle w:val="BodyText"/>
        <w:spacing w:after="120" w:line="276" w:lineRule="auto"/>
        <w:ind w:firstLine="567"/>
        <w:jc w:val="both"/>
      </w:pPr>
      <w:r>
        <w:rPr>
          <w:rFonts w:ascii="Times New Roman" w:hAnsi="Times New Roman" w:eastAsia="Times New Roman"/>
          <w:color w:val="000000"/>
          <w:sz w:val="22"/>
        </w:rPr>
        <w:t>Для каждого complete case judge получает вопрос, target и пять samples, но не получает canonical answer. Он выполняет только semantic equivalence: группирует видимые ответы, выражающие одно утверждение, и отмечает samples, совпадающие по смыслу с target. Результат вычисляется отдельно для k=2, 3, 4, 5 внутри одного структурированного запроса.</w:t>
      </w:r>
    </w:p>
    <w:p>
      <w:pPr>
        <w:spacing w:before="200" w:after="200"/>
        <w:jc w:val="center"/>
      </w:pPr>
      <w:r>
        <w:rPr>
          <w:rFonts w:ascii="Cambria Math" w:hAnsi="Cambria Math" w:eastAsia="Cambria Math"/>
          <w:b/>
          <w:color w:val="1F6E8C"/>
          <w:sz w:val="28"/>
        </w:rPr>
        <w:t>Hₖ = − Σ pᵢ log pᵢ        Hnorm = Hₖ / log k</w:t>
      </w:r>
    </w:p>
    <w:p>
      <w:pPr>
        <w:pStyle w:val="BodyText"/>
        <w:spacing w:after="120" w:line="276" w:lineRule="auto"/>
        <w:ind w:firstLine="567"/>
        <w:jc w:val="both"/>
      </w:pPr>
      <w:r>
        <w:rPr>
          <w:rFonts w:ascii="Times New Roman" w:hAnsi="Times New Roman" w:eastAsia="Times New Roman"/>
          <w:color w:val="000000"/>
          <w:sz w:val="22"/>
        </w:rPr>
        <w:t>Помимо entropy_k сохраняются число смысловых групп, доля крупнейшей группы, disagreement rate, число samples в группе target, доля поддержки target и совпадение target с доминирующим утверждением. Динамические признаки описывают изменение между соседними k и стабильность траектории.</w:t>
      </w:r>
    </w:p>
    <w:tbl>
      <w:tblPr>
        <w:tblW w:type="auto" w:w="0"/>
        <w:jc w:val="center"/>
        <w:tblLayout w:type="fixed"/>
        <w:tblLook w:firstColumn="1" w:firstRow="1" w:lastColumn="0" w:lastRow="0" w:noHBand="0" w:noVBand="1" w:val="04A0"/>
      </w:tblPr>
      <w:tblGrid>
        <w:gridCol w:w="4592"/>
        <w:gridCol w:w="4592"/>
      </w:tblGrid>
      <w:tr>
        <w:trPr>
          <w:tblHeader w:val="true"/>
        </w:trPr>
        <w:tc>
          <w:tcPr>
            <w:tcW w:type="dxa" w:w="2268"/>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Группа</w:t>
            </w:r>
          </w:p>
        </w:tc>
        <w:tc>
          <w:tcPr>
            <w:tcW w:type="dxa" w:w="6123"/>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Примеры признаков</w:t>
            </w:r>
          </w:p>
        </w:tc>
      </w:tr>
      <w:tr>
        <w:tc>
          <w:tcPr>
            <w:tcW w:type="dxa" w:w="226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Лексические</w:t>
            </w:r>
          </w:p>
        </w:tc>
        <w:tc>
          <w:tcPr>
            <w:tcW w:type="dxa" w:w="6123"/>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exact match, fuzzy similarity, длина, доля повторов</w:t>
            </w:r>
          </w:p>
        </w:tc>
      </w:tr>
      <w:tr>
        <w:tc>
          <w:tcPr>
            <w:tcW w:type="dxa" w:w="226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Статические k=5</w:t>
            </w:r>
          </w:p>
        </w:tc>
        <w:tc>
          <w:tcPr>
            <w:tcW w:type="dxa" w:w="6123"/>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semantic entropy, число кластеров, dominant share, target support</w:t>
            </w:r>
          </w:p>
        </w:tc>
      </w:tr>
      <w:tr>
        <w:tc>
          <w:tcPr>
            <w:tcW w:type="dxa" w:w="226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Динамические</w:t>
            </w:r>
          </w:p>
        </w:tc>
        <w:tc>
          <w:tcPr>
            <w:tcW w:type="dxa" w:w="6123"/>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Δentropy, рост кластеров, switches, stability step, AUC trajectory</w:t>
            </w:r>
          </w:p>
        </w:tc>
      </w:tr>
      <w:tr>
        <w:tc>
          <w:tcPr>
            <w:tcW w:type="dxa" w:w="226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Технические</w:t>
            </w:r>
          </w:p>
        </w:tc>
        <w:tc>
          <w:tcPr>
            <w:tcW w:type="dxa" w:w="6123"/>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язык, модель, latency, tokens, finish reason</w:t>
            </w:r>
          </w:p>
        </w:tc>
      </w:tr>
    </w:tbl>
    <w:p>
      <w:pPr>
        <w:spacing w:after="40"/>
      </w:pPr>
    </w:p>
    <w:p>
      <w:pPr>
        <w:spacing w:after="120"/>
        <w:jc w:val="center"/>
      </w:pPr>
      <w:r>
        <w:rPr>
          <w:rFonts w:ascii="Arial" w:hAnsi="Arial" w:eastAsia="Arial"/>
          <w:b w:val="0"/>
          <w:i/>
          <w:color w:val="52606D"/>
          <w:sz w:val="18"/>
        </w:rPr>
        <w:t>Таблица 5  Семейства признаков</w:t>
      </w:r>
    </w:p>
    <w:p>
      <w:pPr>
        <w:pStyle w:val="Heading1"/>
      </w:pPr>
      <w:r>
        <w:t>7 Предварительные результаты pilot</w:t>
      </w:r>
    </w:p>
    <w:p>
      <w:pPr>
        <w:pStyle w:val="BodyText"/>
        <w:spacing w:after="120" w:line="276" w:lineRule="auto"/>
        <w:ind w:firstLine="567"/>
        <w:jc w:val="both"/>
      </w:pPr>
      <w:r>
        <w:rPr>
          <w:rFonts w:ascii="Times New Roman" w:hAnsi="Times New Roman" w:eastAsia="Times New Roman"/>
          <w:color w:val="000000"/>
          <w:sz w:val="22"/>
        </w:rPr>
        <w:t>Ниже приведены описательные показатели target-ответов. Это ещё не качество разрабатываемого предиктора. Доли рассчитаны только среди 889 ответов с бинарной factual-разметкой; 11 оборванных target-ответов исключены и отчётно сохранены.</w:t>
      </w:r>
    </w:p>
    <w:tbl>
      <w:tblPr>
        <w:tblW w:type="auto" w:w="0"/>
        <w:jc w:val="center"/>
        <w:tblLayout w:type="fixed"/>
        <w:tblLook w:firstColumn="1" w:firstRow="1" w:lastColumn="0" w:lastRow="0" w:noHBand="0" w:noVBand="1" w:val="04A0"/>
      </w:tblPr>
      <w:tblGrid>
        <w:gridCol w:w="4592"/>
        <w:gridCol w:w="4592"/>
      </w:tblGrid>
      <w:tr>
        <w:trPr>
          <w:tblHeader w:val="true"/>
        </w:trPr>
        <w:tc>
          <w:tcPr>
            <w:tcW w:type="dxa" w:w="5669"/>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Показатель</w:t>
            </w:r>
          </w:p>
        </w:tc>
        <w:tc>
          <w:tcPr>
            <w:tcW w:type="dxa" w:w="2721"/>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Значение</w:t>
            </w:r>
          </w:p>
        </w:tc>
      </w:tr>
      <w:tr>
        <w:tc>
          <w:tcPr>
            <w:tcW w:type="dxa" w:w="566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Сохранено ответов</w:t>
            </w:r>
          </w:p>
        </w:tc>
        <w:tc>
          <w:tcPr>
            <w:tcW w:type="dxa" w:w="272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5400 из 5400</w:t>
            </w:r>
          </w:p>
        </w:tc>
      </w:tr>
      <w:tr>
        <w:tc>
          <w:tcPr>
            <w:tcW w:type="dxa" w:w="566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Полных случаев 1 target + 5 samples</w:t>
            </w:r>
          </w:p>
        </w:tc>
        <w:tc>
          <w:tcPr>
            <w:tcW w:type="dxa" w:w="272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866 из 900</w:t>
            </w:r>
          </w:p>
        </w:tc>
      </w:tr>
      <w:tr>
        <w:tc>
          <w:tcPr>
            <w:tcW w:type="dxa" w:w="566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Непригодных или оборванных ответов</w:t>
            </w:r>
          </w:p>
        </w:tc>
        <w:tc>
          <w:tcPr>
            <w:tcW w:type="dxa" w:w="272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48</w:t>
            </w:r>
          </w:p>
        </w:tc>
      </w:tr>
      <w:tr>
        <w:tc>
          <w:tcPr>
            <w:tcW w:type="dxa" w:w="566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Дублированных request keys</w:t>
            </w:r>
          </w:p>
        </w:tc>
        <w:tc>
          <w:tcPr>
            <w:tcW w:type="dxa" w:w="272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w:t>
            </w:r>
          </w:p>
        </w:tc>
      </w:tr>
      <w:tr>
        <w:tc>
          <w:tcPr>
            <w:tcW w:type="dxa" w:w="566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Размеченных target-ответов</w:t>
            </w:r>
          </w:p>
        </w:tc>
        <w:tc>
          <w:tcPr>
            <w:tcW w:type="dxa" w:w="272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889</w:t>
            </w:r>
          </w:p>
        </w:tc>
      </w:tr>
      <w:tr>
        <w:tc>
          <w:tcPr>
            <w:tcW w:type="dxa" w:w="566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Фактически неверных target-ответов</w:t>
            </w:r>
          </w:p>
        </w:tc>
        <w:tc>
          <w:tcPr>
            <w:tcW w:type="dxa" w:w="272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175</w:t>
            </w:r>
          </w:p>
        </w:tc>
      </w:tr>
    </w:tbl>
    <w:p>
      <w:pPr>
        <w:spacing w:after="40"/>
      </w:pPr>
    </w:p>
    <w:p>
      <w:pPr>
        <w:spacing w:after="120"/>
        <w:jc w:val="center"/>
      </w:pPr>
      <w:r>
        <w:rPr>
          <w:rFonts w:ascii="Arial" w:hAnsi="Arial" w:eastAsia="Arial"/>
          <w:b w:val="0"/>
          <w:i/>
          <w:color w:val="52606D"/>
          <w:sz w:val="18"/>
        </w:rPr>
        <w:t>Таблица 6  Состояние pilot100_v1 на 13 сентября 2026 года</w:t>
      </w:r>
    </w:p>
    <w:p>
      <w:r>
        <w:drawing>
          <wp:inline xmlns:a="http://schemas.openxmlformats.org/drawingml/2006/main" xmlns:pic="http://schemas.openxmlformats.org/drawingml/2006/picture">
            <wp:extent cx="5508000" cy="2203200"/>
            <wp:docPr id="1" name="Picture 1" descr="Столбчатая диаграмма доли фактических ошибок по языкам EN, RU и KK"/>
            <wp:cNvGraphicFramePr>
              <a:graphicFrameLocks noChangeAspect="1"/>
            </wp:cNvGraphicFramePr>
            <a:graphic>
              <a:graphicData uri="http://schemas.openxmlformats.org/drawingml/2006/picture">
                <pic:pic>
                  <pic:nvPicPr>
                    <pic:cNvPr id="0" name="errors_by_language.png"/>
                    <pic:cNvPicPr/>
                  </pic:nvPicPr>
                  <pic:blipFill>
                    <a:blip r:embed="rId11"/>
                    <a:stretch>
                      <a:fillRect/>
                    </a:stretch>
                  </pic:blipFill>
                  <pic:spPr>
                    <a:xfrm>
                      <a:off x="0" y="0"/>
                      <a:ext cx="5508000" cy="2203200"/>
                    </a:xfrm>
                    <a:prstGeom prst="rect"/>
                  </pic:spPr>
                </pic:pic>
              </a:graphicData>
            </a:graphic>
          </wp:inline>
        </w:drawing>
      </w:r>
    </w:p>
    <w:p>
      <w:pPr>
        <w:spacing w:after="120"/>
        <w:jc w:val="center"/>
      </w:pPr>
      <w:r>
        <w:rPr>
          <w:rFonts w:ascii="Arial" w:hAnsi="Arial" w:eastAsia="Arial"/>
          <w:b w:val="0"/>
          <w:i/>
          <w:color w:val="52606D"/>
          <w:sz w:val="18"/>
        </w:rPr>
        <w:t>Рисунок 1  Ошибки target-ответов по языку. Источник: labels.csv</w:t>
      </w:r>
    </w:p>
    <w:p>
      <w:pPr>
        <w:pStyle w:val="BodyText"/>
        <w:spacing w:after="120" w:line="276" w:lineRule="auto"/>
        <w:ind w:firstLine="567"/>
        <w:jc w:val="both"/>
      </w:pPr>
      <w:r>
        <w:rPr>
          <w:rFonts w:ascii="Times New Roman" w:hAnsi="Times New Roman" w:eastAsia="Times New Roman"/>
          <w:color w:val="000000"/>
          <w:sz w:val="22"/>
        </w:rPr>
        <w:t>Казахские формулировки дали 26,5% фактических ошибок среди размеченных target-ответов, русские — 17,8%, английские — 14,8%. Это наблюдение относится к данному набору вопросов и моделям; оно не доказывает общую слабость языка как такового. Возможные причины будут проверяться через модель × язык, категорию и semantic trajectories.</w:t>
      </w:r>
    </w:p>
    <w:p>
      <w:r>
        <w:drawing>
          <wp:inline xmlns:a="http://schemas.openxmlformats.org/drawingml/2006/main" xmlns:pic="http://schemas.openxmlformats.org/drawingml/2006/picture">
            <wp:extent cx="5508000" cy="2203200"/>
            <wp:docPr id="2" name="Picture 2" descr="Столбчатая диаграмма доли фактических ошибок по трём моделям"/>
            <wp:cNvGraphicFramePr>
              <a:graphicFrameLocks noChangeAspect="1"/>
            </wp:cNvGraphicFramePr>
            <a:graphic>
              <a:graphicData uri="http://schemas.openxmlformats.org/drawingml/2006/picture">
                <pic:pic>
                  <pic:nvPicPr>
                    <pic:cNvPr id="0" name="errors_by_model.png"/>
                    <pic:cNvPicPr/>
                  </pic:nvPicPr>
                  <pic:blipFill>
                    <a:blip r:embed="rId12"/>
                    <a:stretch>
                      <a:fillRect/>
                    </a:stretch>
                  </pic:blipFill>
                  <pic:spPr>
                    <a:xfrm>
                      <a:off x="0" y="0"/>
                      <a:ext cx="5508000" cy="2203200"/>
                    </a:xfrm>
                    <a:prstGeom prst="rect"/>
                  </pic:spPr>
                </pic:pic>
              </a:graphicData>
            </a:graphic>
          </wp:inline>
        </w:drawing>
      </w:r>
    </w:p>
    <w:p>
      <w:pPr>
        <w:spacing w:after="120"/>
        <w:jc w:val="center"/>
      </w:pPr>
      <w:r>
        <w:rPr>
          <w:rFonts w:ascii="Arial" w:hAnsi="Arial" w:eastAsia="Arial"/>
          <w:b w:val="0"/>
          <w:i/>
          <w:color w:val="52606D"/>
          <w:sz w:val="18"/>
        </w:rPr>
        <w:t>Рисунок 2  Ошибки target-ответов по модели. Источник: labels.csv</w:t>
      </w:r>
    </w:p>
    <w:p>
      <w:pPr>
        <w:pStyle w:val="BodyText"/>
        <w:spacing w:after="120" w:line="276" w:lineRule="auto"/>
        <w:ind w:firstLine="567"/>
        <w:jc w:val="both"/>
      </w:pPr>
      <w:r>
        <w:rPr>
          <w:rFonts w:ascii="Times New Roman" w:hAnsi="Times New Roman" w:eastAsia="Times New Roman"/>
          <w:color w:val="000000"/>
          <w:sz w:val="22"/>
        </w:rPr>
        <w:t>На данном pilot наименьшая доля target-ошибок наблюдается у Qwen 3.6 — 14,7%. Для Qwen 3.8 показатель составляет 21,2%, для GPT-OSS 20B — 23,2%. Эти значения описывают factual accuracy target-режима, а не способность будущего классификатора предсказывать ошибку.</w:t>
      </w:r>
    </w:p>
    <w:p>
      <w:r>
        <w:drawing>
          <wp:inline xmlns:a="http://schemas.openxmlformats.org/drawingml/2006/main" xmlns:pic="http://schemas.openxmlformats.org/drawingml/2006/picture">
            <wp:extent cx="5508000" cy="3121200"/>
            <wp:docPr id="3" name="Picture 3" descr="Столбчатая диаграмма доли фактических ошибок по категориям вопросов"/>
            <wp:cNvGraphicFramePr>
              <a:graphicFrameLocks noChangeAspect="1"/>
            </wp:cNvGraphicFramePr>
            <a:graphic>
              <a:graphicData uri="http://schemas.openxmlformats.org/drawingml/2006/picture">
                <pic:pic>
                  <pic:nvPicPr>
                    <pic:cNvPr id="0" name="errors_by_category.png"/>
                    <pic:cNvPicPr/>
                  </pic:nvPicPr>
                  <pic:blipFill>
                    <a:blip r:embed="rId13"/>
                    <a:stretch>
                      <a:fillRect/>
                    </a:stretch>
                  </pic:blipFill>
                  <pic:spPr>
                    <a:xfrm>
                      <a:off x="0" y="0"/>
                      <a:ext cx="5508000" cy="3121200"/>
                    </a:xfrm>
                    <a:prstGeom prst="rect"/>
                  </pic:spPr>
                </pic:pic>
              </a:graphicData>
            </a:graphic>
          </wp:inline>
        </w:drawing>
      </w:r>
    </w:p>
    <w:p>
      <w:pPr>
        <w:spacing w:after="120"/>
        <w:jc w:val="center"/>
      </w:pPr>
      <w:r>
        <w:rPr>
          <w:rFonts w:ascii="Arial" w:hAnsi="Arial" w:eastAsia="Arial"/>
          <w:b w:val="0"/>
          <w:i/>
          <w:color w:val="52606D"/>
          <w:sz w:val="18"/>
        </w:rPr>
        <w:t>Рисунок 3  Ошибки target-ответов по категории. Источник: labels.csv</w:t>
      </w:r>
    </w:p>
    <w:p>
      <w:pPr>
        <w:pStyle w:val="BodyText"/>
        <w:spacing w:after="120" w:line="276" w:lineRule="auto"/>
        <w:ind w:firstLine="567"/>
        <w:jc w:val="both"/>
      </w:pPr>
      <w:r>
        <w:rPr>
          <w:rFonts w:ascii="Times New Roman" w:hAnsi="Times New Roman" w:eastAsia="Times New Roman"/>
          <w:color w:val="000000"/>
          <w:sz w:val="22"/>
        </w:rPr>
        <w:t>Самая высокая доля ошибок получена в категории «Казахстан» — 52,1%, затем в вопросах с ложной предпосылкой — 31,6%. Научные вопросы дали 1,4% ошибок, географические — 5,6%. Такой разброс важен для fact-level split: случайное разделение отдельных языковых формулировок могло бы завысить качество модели за счёт повторения одного факта.</w:t>
      </w:r>
    </w:p>
    <w:p>
      <w:pPr>
        <w:pStyle w:val="Heading2"/>
      </w:pPr>
      <w:r>
        <w:t>7.1 Пересечение модели и языка</w:t>
      </w:r>
    </w:p>
    <w:tbl>
      <w:tblPr>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3118"/>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Модель</w:t>
            </w:r>
          </w:p>
        </w:tc>
        <w:tc>
          <w:tcPr>
            <w:tcW w:type="dxa" w:w="1304"/>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Язык</w:t>
            </w:r>
          </w:p>
        </w:tc>
        <w:tc>
          <w:tcPr>
            <w:tcW w:type="dxa" w:w="1247"/>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n</w:t>
            </w:r>
          </w:p>
        </w:tc>
        <w:tc>
          <w:tcPr>
            <w:tcW w:type="dxa" w:w="1701"/>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Ошибки</w:t>
            </w:r>
          </w:p>
        </w:tc>
      </w:tr>
      <w:tr>
        <w:tc>
          <w:tcPr>
            <w:tcW w:type="dxa" w:w="311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GPT-OSS 20B</w:t>
            </w:r>
          </w:p>
        </w:tc>
        <w:tc>
          <w:tcPr>
            <w:tcW w:type="dxa" w:w="130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EN</w:t>
            </w:r>
          </w:p>
        </w:tc>
        <w:tc>
          <w:tcPr>
            <w:tcW w:type="dxa" w:w="124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98</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16.3%</w:t>
            </w:r>
          </w:p>
        </w:tc>
      </w:tr>
      <w:tr>
        <w:tc>
          <w:tcPr>
            <w:tcW w:type="dxa" w:w="311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GPT-OSS 20B</w:t>
            </w:r>
          </w:p>
        </w:tc>
        <w:tc>
          <w:tcPr>
            <w:tcW w:type="dxa" w:w="130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KK</w:t>
            </w:r>
          </w:p>
        </w:tc>
        <w:tc>
          <w:tcPr>
            <w:tcW w:type="dxa" w:w="1247"/>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100</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34.0%</w:t>
            </w:r>
          </w:p>
        </w:tc>
      </w:tr>
      <w:tr>
        <w:tc>
          <w:tcPr>
            <w:tcW w:type="dxa" w:w="311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GPT-OSS 20B</w:t>
            </w:r>
          </w:p>
        </w:tc>
        <w:tc>
          <w:tcPr>
            <w:tcW w:type="dxa" w:w="130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RU</w:t>
            </w:r>
          </w:p>
        </w:tc>
        <w:tc>
          <w:tcPr>
            <w:tcW w:type="dxa" w:w="124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99</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19.2%</w:t>
            </w:r>
          </w:p>
        </w:tc>
      </w:tr>
      <w:tr>
        <w:tc>
          <w:tcPr>
            <w:tcW w:type="dxa" w:w="311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Qwen 3.6</w:t>
            </w:r>
          </w:p>
        </w:tc>
        <w:tc>
          <w:tcPr>
            <w:tcW w:type="dxa" w:w="130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EN</w:t>
            </w:r>
          </w:p>
        </w:tc>
        <w:tc>
          <w:tcPr>
            <w:tcW w:type="dxa" w:w="1247"/>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100</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12.0%</w:t>
            </w:r>
          </w:p>
        </w:tc>
      </w:tr>
      <w:tr>
        <w:tc>
          <w:tcPr>
            <w:tcW w:type="dxa" w:w="311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Qwen 3.6</w:t>
            </w:r>
          </w:p>
        </w:tc>
        <w:tc>
          <w:tcPr>
            <w:tcW w:type="dxa" w:w="130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KK</w:t>
            </w:r>
          </w:p>
        </w:tc>
        <w:tc>
          <w:tcPr>
            <w:tcW w:type="dxa" w:w="124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99</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14.1%</w:t>
            </w:r>
          </w:p>
        </w:tc>
      </w:tr>
      <w:tr>
        <w:tc>
          <w:tcPr>
            <w:tcW w:type="dxa" w:w="311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Qwen 3.6</w:t>
            </w:r>
          </w:p>
        </w:tc>
        <w:tc>
          <w:tcPr>
            <w:tcW w:type="dxa" w:w="130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RU</w:t>
            </w:r>
          </w:p>
        </w:tc>
        <w:tc>
          <w:tcPr>
            <w:tcW w:type="dxa" w:w="1247"/>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100</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18.0%</w:t>
            </w:r>
          </w:p>
        </w:tc>
      </w:tr>
      <w:tr>
        <w:tc>
          <w:tcPr>
            <w:tcW w:type="dxa" w:w="311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Qwen 3.8</w:t>
            </w:r>
          </w:p>
        </w:tc>
        <w:tc>
          <w:tcPr>
            <w:tcW w:type="dxa" w:w="130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EN</w:t>
            </w:r>
          </w:p>
        </w:tc>
        <w:tc>
          <w:tcPr>
            <w:tcW w:type="dxa" w:w="124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100</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16.0%</w:t>
            </w:r>
          </w:p>
        </w:tc>
      </w:tr>
      <w:tr>
        <w:tc>
          <w:tcPr>
            <w:tcW w:type="dxa" w:w="3118"/>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Qwen 3.8</w:t>
            </w:r>
          </w:p>
        </w:tc>
        <w:tc>
          <w:tcPr>
            <w:tcW w:type="dxa" w:w="130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KK</w:t>
            </w:r>
          </w:p>
        </w:tc>
        <w:tc>
          <w:tcPr>
            <w:tcW w:type="dxa" w:w="1247"/>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95</w:t>
            </w:r>
          </w:p>
        </w:tc>
        <w:tc>
          <w:tcPr>
            <w:tcW w:type="dxa" w:w="170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31.6%</w:t>
            </w:r>
          </w:p>
        </w:tc>
      </w:tr>
      <w:tr>
        <w:tc>
          <w:tcPr>
            <w:tcW w:type="dxa" w:w="3118"/>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Qwen 3.8</w:t>
            </w:r>
          </w:p>
        </w:tc>
        <w:tc>
          <w:tcPr>
            <w:tcW w:type="dxa" w:w="130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RU</w:t>
            </w:r>
          </w:p>
        </w:tc>
        <w:tc>
          <w:tcPr>
            <w:tcW w:type="dxa" w:w="124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98</w:t>
            </w:r>
          </w:p>
        </w:tc>
        <w:tc>
          <w:tcPr>
            <w:tcW w:type="dxa" w:w="170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16.3%</w:t>
            </w:r>
          </w:p>
        </w:tc>
      </w:tr>
    </w:tbl>
    <w:p>
      <w:pPr>
        <w:spacing w:after="40"/>
      </w:pPr>
    </w:p>
    <w:p>
      <w:pPr>
        <w:spacing w:after="120"/>
        <w:jc w:val="center"/>
      </w:pPr>
      <w:r>
        <w:rPr>
          <w:rFonts w:ascii="Arial" w:hAnsi="Arial" w:eastAsia="Arial"/>
          <w:b w:val="0"/>
          <w:i/>
          <w:color w:val="52606D"/>
          <w:sz w:val="18"/>
        </w:rPr>
        <w:t>Таблица 7  Доля ошибок в сочетаниях модель–язык</w:t>
      </w:r>
    </w:p>
    <w:p>
      <w:pPr>
        <w:pStyle w:val="Heading1"/>
      </w:pPr>
      <w:r>
        <w:t>8 Моделирование и итоговая оценка</w:t>
      </w:r>
    </w:p>
    <w:p>
      <w:pPr>
        <w:pStyle w:val="BodyText"/>
        <w:spacing w:after="120" w:line="276" w:lineRule="auto"/>
        <w:ind w:firstLine="567"/>
        <w:jc w:val="both"/>
      </w:pPr>
      <w:r>
        <w:rPr>
          <w:rFonts w:ascii="Times New Roman" w:hAnsi="Times New Roman" w:eastAsia="Times New Roman"/>
          <w:color w:val="000000"/>
          <w:sz w:val="22"/>
        </w:rPr>
        <w:t>Semantic grouping завершён для 866 complete cases. После исключения 34 judge-uncertain случаев сформировано 832 строки признаков: 574 train, 127 validation и 131 locked test. Модель, калибровка и threshold выбирались только на validation. Затем test был открыт один раз.</w:t>
      </w:r>
    </w:p>
    <w:tbl>
      <w:tblPr>
        <w:tblW w:type="auto" w:w="0"/>
        <w:jc w:val="center"/>
        <w:tblLayout w:type="fixed"/>
        <w:tblLook w:firstColumn="1" w:firstRow="1" w:lastColumn="0" w:lastRow="0" w:noHBand="0" w:noVBand="1" w:val="04A0"/>
      </w:tblPr>
      <w:tblGrid>
        <w:gridCol w:w="4592"/>
        <w:gridCol w:w="4592"/>
      </w:tblGrid>
      <w:tr>
        <w:trPr>
          <w:tblHeader w:val="true"/>
        </w:trPr>
        <w:tc>
          <w:tcPr>
            <w:tcW w:type="dxa" w:w="2551"/>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Модель</w:t>
            </w:r>
          </w:p>
        </w:tc>
        <w:tc>
          <w:tcPr>
            <w:tcW w:type="dxa" w:w="5839"/>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Информация</w:t>
            </w:r>
          </w:p>
        </w:tc>
      </w:tr>
      <w:tr>
        <w:tc>
          <w:tcPr>
            <w:tcW w:type="dxa" w:w="255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B0 Majority</w:t>
            </w:r>
          </w:p>
        </w:tc>
        <w:tc>
          <w:tcPr>
            <w:tcW w:type="dxa" w:w="583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Частота класса ошибки в train</w:t>
            </w:r>
          </w:p>
        </w:tc>
      </w:tr>
      <w:tr>
        <w:tc>
          <w:tcPr>
            <w:tcW w:type="dxa" w:w="255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B1 Length</w:t>
            </w:r>
          </w:p>
        </w:tc>
        <w:tc>
          <w:tcPr>
            <w:tcW w:type="dxa" w:w="583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Длина target-ответа</w:t>
            </w:r>
          </w:p>
        </w:tc>
      </w:tr>
      <w:tr>
        <w:tc>
          <w:tcPr>
            <w:tcW w:type="dxa" w:w="255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B2 Lexical</w:t>
            </w:r>
          </w:p>
        </w:tc>
        <w:tc>
          <w:tcPr>
            <w:tcW w:type="dxa" w:w="583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Строковые и fuzzy-признаки samples</w:t>
            </w:r>
          </w:p>
        </w:tc>
      </w:tr>
      <w:tr>
        <w:tc>
          <w:tcPr>
            <w:tcW w:type="dxa" w:w="255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B3 Static semantic</w:t>
            </w:r>
          </w:p>
        </w:tc>
        <w:tc>
          <w:tcPr>
            <w:tcW w:type="dxa" w:w="583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Только признаки k=5</w:t>
            </w:r>
          </w:p>
        </w:tc>
      </w:tr>
      <w:tr>
        <w:tc>
          <w:tcPr>
            <w:tcW w:type="dxa" w:w="2551"/>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B4 Dynamic</w:t>
            </w:r>
          </w:p>
        </w:tc>
        <w:tc>
          <w:tcPr>
            <w:tcW w:type="dxa" w:w="583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Траектория k=2–5</w:t>
            </w:r>
          </w:p>
        </w:tc>
      </w:tr>
      <w:tr>
        <w:tc>
          <w:tcPr>
            <w:tcW w:type="dxa" w:w="2551"/>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B5 Combined</w:t>
            </w:r>
          </w:p>
        </w:tc>
        <w:tc>
          <w:tcPr>
            <w:tcW w:type="dxa" w:w="5839"/>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Лексические, статические и динамические признаки</w:t>
            </w:r>
          </w:p>
        </w:tc>
      </w:tr>
    </w:tbl>
    <w:p>
      <w:pPr>
        <w:spacing w:after="40"/>
      </w:pPr>
    </w:p>
    <w:p>
      <w:pPr>
        <w:spacing w:after="120"/>
        <w:jc w:val="center"/>
      </w:pPr>
      <w:r>
        <w:rPr>
          <w:rFonts w:ascii="Arial" w:hAnsi="Arial" w:eastAsia="Arial"/>
          <w:b w:val="0"/>
          <w:i/>
          <w:color w:val="52606D"/>
          <w:sz w:val="18"/>
        </w:rPr>
        <w:t>Таблица 8  Сравниваемые подходы</w:t>
      </w:r>
    </w:p>
    <w:p>
      <w:pPr>
        <w:pStyle w:val="BodyText"/>
        <w:spacing w:after="120" w:line="276" w:lineRule="auto"/>
        <w:ind w:firstLine="567"/>
        <w:jc w:val="both"/>
      </w:pPr>
      <w:r>
        <w:rPr>
          <w:rFonts w:ascii="Times New Roman" w:hAnsi="Times New Roman" w:eastAsia="Times New Roman"/>
          <w:color w:val="000000"/>
          <w:sz w:val="22"/>
        </w:rPr>
        <w:t>На validation выбрана dynamic_logistic с raw calibration и threshold 0,40157. Validation AUROC составил 0,928, AUPRC — 0,721. На locked test получены следующие результаты.</w:t>
      </w:r>
    </w:p>
    <w:tbl>
      <w:tblPr>
        <w:tblW w:type="auto" w:w="0"/>
        <w:jc w:val="center"/>
        <w:tblLayout w:type="fixed"/>
        <w:tblLook w:firstColumn="1" w:firstRow="1" w:lastColumn="0" w:lastRow="0" w:noHBand="0" w:noVBand="1" w:val="04A0"/>
      </w:tblPr>
      <w:tblGrid>
        <w:gridCol w:w="3062"/>
        <w:gridCol w:w="3062"/>
        <w:gridCol w:w="3062"/>
      </w:tblGrid>
      <w:tr>
        <w:trPr>
          <w:tblHeader w:val="true"/>
        </w:trPr>
        <w:tc>
          <w:tcPr>
            <w:tcW w:type="dxa" w:w="3402"/>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Метрика</w:t>
            </w:r>
          </w:p>
        </w:tc>
        <w:tc>
          <w:tcPr>
            <w:tcW w:type="dxa" w:w="2494"/>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Dynamic</w:t>
            </w:r>
          </w:p>
        </w:tc>
        <w:tc>
          <w:tcPr>
            <w:tcW w:type="dxa" w:w="2494"/>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Static</w:t>
            </w:r>
          </w:p>
        </w:tc>
      </w:tr>
      <w:tr>
        <w:tc>
          <w:tcPr>
            <w:tcW w:type="dxa" w:w="340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AUROC</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0,879</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0,842</w:t>
            </w:r>
          </w:p>
        </w:tc>
      </w:tr>
      <w:tr>
        <w:tc>
          <w:tcPr>
            <w:tcW w:type="dxa" w:w="340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AUPRC</w:t>
            </w:r>
          </w:p>
        </w:tc>
        <w:tc>
          <w:tcPr>
            <w:tcW w:type="dxa" w:w="249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0,622</w:t>
            </w:r>
          </w:p>
        </w:tc>
        <w:tc>
          <w:tcPr>
            <w:tcW w:type="dxa" w:w="249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0,457</w:t>
            </w:r>
          </w:p>
        </w:tc>
      </w:tr>
      <w:tr>
        <w:tc>
          <w:tcPr>
            <w:tcW w:type="dxa" w:w="340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F1</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0,457</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0,333</w:t>
            </w:r>
          </w:p>
        </w:tc>
      </w:tr>
      <w:tr>
        <w:tc>
          <w:tcPr>
            <w:tcW w:type="dxa" w:w="340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Precision</w:t>
            </w:r>
          </w:p>
        </w:tc>
        <w:tc>
          <w:tcPr>
            <w:tcW w:type="dxa" w:w="249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0,727</w:t>
            </w:r>
          </w:p>
        </w:tc>
        <w:tc>
          <w:tcPr>
            <w:tcW w:type="dxa" w:w="249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0,500</w:t>
            </w:r>
          </w:p>
        </w:tc>
      </w:tr>
      <w:tr>
        <w:tc>
          <w:tcPr>
            <w:tcW w:type="dxa" w:w="340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Recall</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0,333</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0,250</w:t>
            </w:r>
          </w:p>
        </w:tc>
      </w:tr>
      <w:tr>
        <w:tc>
          <w:tcPr>
            <w:tcW w:type="dxa" w:w="3402"/>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Brier</w:t>
            </w:r>
          </w:p>
        </w:tc>
        <w:tc>
          <w:tcPr>
            <w:tcW w:type="dxa" w:w="249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0,103</w:t>
            </w:r>
          </w:p>
        </w:tc>
        <w:tc>
          <w:tcPr>
            <w:tcW w:type="dxa" w:w="2494"/>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0,120</w:t>
            </w:r>
          </w:p>
        </w:tc>
      </w:tr>
      <w:tr>
        <w:tc>
          <w:tcPr>
            <w:tcW w:type="dxa" w:w="340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ECE</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0,066</w:t>
            </w:r>
          </w:p>
        </w:tc>
        <w:tc>
          <w:tcPr>
            <w:tcW w:type="dxa" w:w="2494"/>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0,070</w:t>
            </w:r>
          </w:p>
        </w:tc>
      </w:tr>
    </w:tbl>
    <w:p>
      <w:pPr>
        <w:spacing w:after="40"/>
      </w:pPr>
    </w:p>
    <w:p>
      <w:pPr>
        <w:spacing w:after="120"/>
        <w:jc w:val="center"/>
      </w:pPr>
      <w:r>
        <w:rPr>
          <w:rFonts w:ascii="Arial" w:hAnsi="Arial" w:eastAsia="Arial"/>
          <w:b w:val="0"/>
          <w:i/>
          <w:color w:val="52606D"/>
          <w:sz w:val="18"/>
        </w:rPr>
        <w:t>Таблица 9  Результаты на locked test, n=131; ошибок=24</w:t>
      </w:r>
    </w:p>
    <w:p>
      <w:pPr>
        <w:pStyle w:val="BodyText"/>
        <w:spacing w:after="120" w:line="276" w:lineRule="auto"/>
        <w:ind w:firstLine="567"/>
        <w:jc w:val="both"/>
      </w:pPr>
      <w:r>
        <w:rPr>
          <w:rFonts w:ascii="Times New Roman" w:hAnsi="Times New Roman" w:eastAsia="Times New Roman"/>
          <w:color w:val="000000"/>
          <w:sz w:val="22"/>
        </w:rPr>
        <w:t>Для 1000 bootstrap resamples по fact_id AUROC динамической модели имеет 95% CI 0,817–0,934, AUPRC — 0,365–0,782. Парная разница dynamic−static положительна: ΔAUROC CI 0,001–0,084 и ΔAUPRC CI 0,047–0,274. Таким образом, pilot поддерживает основную гипотезу в пределах данного benchmark.</w:t>
      </w:r>
    </w:p>
    <w:p>
      <w:r>
        <w:drawing>
          <wp:inline xmlns:a="http://schemas.openxmlformats.org/drawingml/2006/main" xmlns:pic="http://schemas.openxmlformats.org/drawingml/2006/picture">
            <wp:extent cx="5508000" cy="2168371"/>
            <wp:docPr id="4" name="Picture 4" descr="ROC и precision-recall кривые динамической и статической моделей на locked test"/>
            <wp:cNvGraphicFramePr>
              <a:graphicFrameLocks noChangeAspect="1"/>
            </wp:cNvGraphicFramePr>
            <a:graphic>
              <a:graphicData uri="http://schemas.openxmlformats.org/drawingml/2006/picture">
                <pic:pic>
                  <pic:nvPicPr>
                    <pic:cNvPr id="0" name="roc_pr_test.png"/>
                    <pic:cNvPicPr/>
                  </pic:nvPicPr>
                  <pic:blipFill>
                    <a:blip r:embed="rId14"/>
                    <a:stretch>
                      <a:fillRect/>
                    </a:stretch>
                  </pic:blipFill>
                  <pic:spPr>
                    <a:xfrm>
                      <a:off x="0" y="0"/>
                      <a:ext cx="5508000" cy="2168371"/>
                    </a:xfrm>
                    <a:prstGeom prst="rect"/>
                  </pic:spPr>
                </pic:pic>
              </a:graphicData>
            </a:graphic>
          </wp:inline>
        </w:drawing>
      </w:r>
    </w:p>
    <w:p>
      <w:pPr>
        <w:spacing w:after="120"/>
        <w:jc w:val="center"/>
      </w:pPr>
      <w:r>
        <w:rPr>
          <w:rFonts w:ascii="Arial" w:hAnsi="Arial" w:eastAsia="Arial"/>
          <w:b w:val="0"/>
          <w:i/>
          <w:color w:val="52606D"/>
          <w:sz w:val="18"/>
        </w:rPr>
        <w:t>Рисунок 4  ROC и precision–recall на locked test</w:t>
      </w:r>
    </w:p>
    <w:p>
      <w:r>
        <w:drawing>
          <wp:inline xmlns:a="http://schemas.openxmlformats.org/drawingml/2006/main" xmlns:pic="http://schemas.openxmlformats.org/drawingml/2006/picture">
            <wp:extent cx="5112000" cy="2947999"/>
            <wp:docPr id="5" name="Picture 5" descr="AUROC динамической модели по английскому, казахскому и русскому языкам"/>
            <wp:cNvGraphicFramePr>
              <a:graphicFrameLocks noChangeAspect="1"/>
            </wp:cNvGraphicFramePr>
            <a:graphic>
              <a:graphicData uri="http://schemas.openxmlformats.org/drawingml/2006/picture">
                <pic:pic>
                  <pic:nvPicPr>
                    <pic:cNvPr id="0" name="language_auroc.png"/>
                    <pic:cNvPicPr/>
                  </pic:nvPicPr>
                  <pic:blipFill>
                    <a:blip r:embed="rId15"/>
                    <a:stretch>
                      <a:fillRect/>
                    </a:stretch>
                  </pic:blipFill>
                  <pic:spPr>
                    <a:xfrm>
                      <a:off x="0" y="0"/>
                      <a:ext cx="5112000" cy="2947999"/>
                    </a:xfrm>
                    <a:prstGeom prst="rect"/>
                  </pic:spPr>
                </pic:pic>
              </a:graphicData>
            </a:graphic>
          </wp:inline>
        </w:drawing>
      </w:r>
    </w:p>
    <w:p>
      <w:pPr>
        <w:spacing w:after="120"/>
        <w:jc w:val="center"/>
      </w:pPr>
      <w:r>
        <w:rPr>
          <w:rFonts w:ascii="Arial" w:hAnsi="Arial" w:eastAsia="Arial"/>
          <w:b w:val="0"/>
          <w:i/>
          <w:color w:val="52606D"/>
          <w:sz w:val="18"/>
        </w:rPr>
        <w:t>Рисунок 5  Test AUROC по языкам</w:t>
      </w:r>
    </w:p>
    <w:p>
      <w:pPr>
        <w:pStyle w:val="BodyText"/>
        <w:spacing w:after="120" w:line="276" w:lineRule="auto"/>
        <w:ind w:firstLine="567"/>
        <w:jc w:val="both"/>
      </w:pPr>
      <w:r>
        <w:rPr>
          <w:rFonts w:ascii="Times New Roman" w:hAnsi="Times New Roman" w:eastAsia="Times New Roman"/>
          <w:color w:val="000000"/>
          <w:sz w:val="22"/>
        </w:rPr>
        <w:t>AUROC по языкам: EN 0,944, KK 0,892, RU 0,799. Эти срезы содержат 42–45 случаев, поэтому служат диагностикой, а не основанием для общего вывода о языках.</w:t>
      </w:r>
    </w:p>
    <w:p>
      <w:pPr>
        <w:pStyle w:val="Heading1"/>
      </w:pPr>
      <w:r>
        <w:t>9 Надёжность semantic judge</w:t>
      </w:r>
    </w:p>
    <w:p>
      <w:pPr>
        <w:pStyle w:val="BodyText"/>
        <w:spacing w:after="120" w:line="276" w:lineRule="auto"/>
        <w:ind w:firstLine="567"/>
        <w:jc w:val="both"/>
      </w:pPr>
      <w:r>
        <w:rPr>
          <w:rFonts w:ascii="Times New Roman" w:hAnsi="Times New Roman" w:eastAsia="Times New Roman"/>
          <w:color w:val="000000"/>
          <w:sz w:val="22"/>
        </w:rPr>
        <w:t>LLM-as-a-judge может ошибаться, поэтому его группировки не принимаются автоматически как научная истина. Минимум 200 случаев должны получить независимую человеческую семантическую разметку. Сравниваются pairwise agreement, adjusted Rand index и точное совпадение кластеров. Неопределённые случаи исключаются либо пересматриваются до основной оценки.</w:t>
      </w:r>
    </w:p>
    <w:p>
      <w:pPr>
        <w:pStyle w:val="BodyText"/>
        <w:spacing w:after="120" w:line="276" w:lineRule="auto"/>
        <w:ind w:firstLine="567"/>
        <w:jc w:val="both"/>
      </w:pPr>
      <w:r>
        <w:rPr>
          <w:rFonts w:ascii="Times New Roman" w:hAnsi="Times New Roman" w:eastAsia="Times New Roman"/>
          <w:color w:val="000000"/>
          <w:sz w:val="22"/>
        </w:rPr>
        <w:t>Первоначальная реализация вызывала judge отдельно для каждого префикса и требовала несколько тысяч запросов. Версия semantic_v4_joint возвращает четыре изолированных prefix-решения в одном JSON-запросе, сохраняя старую версию для сопоставления. Это соответствует ограничению Groq Free Plan и уменьшает число запросов до одного на complete case.</w:t>
      </w:r>
    </w:p>
    <w:p>
      <w:pPr>
        <w:pStyle w:val="Heading1"/>
      </w:pPr>
      <w:r>
        <w:t>10 Ограничения</w:t>
      </w:r>
    </w:p>
    <w:p>
      <w:pPr>
        <w:pStyle w:val="ListBullet"/>
        <w:spacing w:after="60"/>
        <w:ind w:left="425" w:hanging="198"/>
      </w:pPr>
      <w:r>
        <w:rPr>
          <w:rFonts w:ascii="Times New Roman" w:hAnsi="Times New Roman" w:eastAsia="Times New Roman"/>
          <w:color w:val="000000"/>
          <w:sz w:val="21"/>
        </w:rPr>
        <w:t>Pilot содержит 100 фактов и не заменяет будущий main benchmark из 300–500 фактов.</w:t>
      </w:r>
    </w:p>
    <w:p>
      <w:pPr>
        <w:pStyle w:val="ListBullet"/>
        <w:spacing w:after="60"/>
        <w:ind w:left="425" w:hanging="198"/>
      </w:pPr>
      <w:r>
        <w:rPr>
          <w:rFonts w:ascii="Times New Roman" w:hAnsi="Times New Roman" w:eastAsia="Times New Roman"/>
          <w:color w:val="000000"/>
          <w:sz w:val="21"/>
        </w:rPr>
        <w:t>Предварительные error rates зависят от состава вопросов, моделей и строгого whole-answer правила.</w:t>
      </w:r>
    </w:p>
    <w:p>
      <w:pPr>
        <w:pStyle w:val="ListBullet"/>
        <w:spacing w:after="60"/>
        <w:ind w:left="425" w:hanging="198"/>
      </w:pPr>
      <w:r>
        <w:rPr>
          <w:rFonts w:ascii="Times New Roman" w:hAnsi="Times New Roman" w:eastAsia="Times New Roman"/>
          <w:color w:val="000000"/>
          <w:sz w:val="21"/>
        </w:rPr>
        <w:t>34 случая исключены из fixed-five анализа из-за хотя бы одного оборванного ответа; пропуски чаще встречались в казахском языке.</w:t>
      </w:r>
    </w:p>
    <w:p>
      <w:pPr>
        <w:pStyle w:val="ListBullet"/>
        <w:spacing w:after="60"/>
        <w:ind w:left="425" w:hanging="198"/>
      </w:pPr>
      <w:r>
        <w:rPr>
          <w:rFonts w:ascii="Times New Roman" w:hAnsi="Times New Roman" w:eastAsia="Times New Roman"/>
          <w:color w:val="000000"/>
          <w:sz w:val="21"/>
        </w:rPr>
        <w:t>Семантическая группировка зависит от отдельной LLM и требует человеческой validation.</w:t>
      </w:r>
    </w:p>
    <w:p>
      <w:pPr>
        <w:pStyle w:val="ListBullet"/>
        <w:spacing w:after="60"/>
        <w:ind w:left="425" w:hanging="198"/>
      </w:pPr>
      <w:r>
        <w:rPr>
          <w:rFonts w:ascii="Times New Roman" w:hAnsi="Times New Roman" w:eastAsia="Times New Roman"/>
          <w:color w:val="000000"/>
          <w:sz w:val="21"/>
        </w:rPr>
        <w:t>Self-consistency не гарантирует истину: модель может стабильно повторять один и тот же неверный факт.</w:t>
      </w:r>
    </w:p>
    <w:p>
      <w:pPr>
        <w:pStyle w:val="ListBullet"/>
        <w:spacing w:after="60"/>
        <w:ind w:left="425" w:hanging="198"/>
      </w:pPr>
      <w:r>
        <w:rPr>
          <w:rFonts w:ascii="Times New Roman" w:hAnsi="Times New Roman" w:eastAsia="Times New Roman"/>
          <w:color w:val="000000"/>
          <w:sz w:val="21"/>
        </w:rPr>
        <w:t>При validation-selected max-F1 threshold recall на test равен 0,333; модель пригоднее для ранжирования риска и направления ответов на проверку, чем для автоматического отклонения.</w:t>
      </w:r>
    </w:p>
    <w:p>
      <w:pPr>
        <w:pStyle w:val="ListBullet"/>
        <w:spacing w:after="60"/>
        <w:ind w:left="425" w:hanging="198"/>
      </w:pPr>
      <w:r>
        <w:rPr>
          <w:rFonts w:ascii="Times New Roman" w:hAnsi="Times New Roman" w:eastAsia="Times New Roman"/>
          <w:color w:val="000000"/>
          <w:sz w:val="21"/>
        </w:rPr>
        <w:t>Независимая blinded human validation semantic judge на 200 случаях остаётся научным gate перед заявлением о подтверждённой надёжности judge.</w:t>
      </w:r>
    </w:p>
    <w:p>
      <w:pPr>
        <w:pStyle w:val="Heading1"/>
      </w:pPr>
      <w:r>
        <w:t>11 Практическая значимость</w:t>
      </w:r>
    </w:p>
    <w:p>
      <w:pPr>
        <w:pStyle w:val="BodyText"/>
        <w:spacing w:after="120" w:line="276" w:lineRule="auto"/>
        <w:ind w:firstLine="567"/>
        <w:jc w:val="both"/>
      </w:pPr>
      <w:r>
        <w:rPr>
          <w:rFonts w:ascii="Times New Roman" w:hAnsi="Times New Roman" w:eastAsia="Times New Roman"/>
          <w:color w:val="000000"/>
          <w:sz w:val="22"/>
        </w:rPr>
        <w:t>Полученный риск можно использовать вместе с ответом black-box модели. Высокое значение не заменяет фактчекинг, но позволяет направлять ограниченное внимание человека на нестабильные случаи. При AUROC 0,879 модель хорошо ранжирует ответы, однако recall 0,333 при выбранном threshold требует осторожного применения.</w:t>
      </w:r>
    </w:p>
    <w:p>
      <w:pPr>
        <w:pStyle w:val="BodyText"/>
        <w:spacing w:after="120" w:line="276" w:lineRule="auto"/>
        <w:ind w:firstLine="567"/>
        <w:jc w:val="both"/>
      </w:pPr>
      <w:r>
        <w:rPr>
          <w:rFonts w:ascii="Times New Roman" w:hAnsi="Times New Roman" w:eastAsia="Times New Roman"/>
          <w:color w:val="000000"/>
          <w:sz w:val="22"/>
        </w:rPr>
        <w:t>Проект также создаёт воспроизводимую инфраструктуру для учебных экспериментов: immutable configs, устойчивую очередь, журнал ответов, fact-level split, раздельные factual и semantic labels, а также отчётность по invalid outputs. Эта часть уже подтверждена полным сбором 5400 ответов без дублированных request keys.</w:t>
      </w:r>
    </w:p>
    <w:p>
      <w:pPr>
        <w:pStyle w:val="Heading1"/>
      </w:pPr>
      <w:r>
        <w:t>12 Заключение</w:t>
      </w:r>
    </w:p>
    <w:p>
      <w:pPr>
        <w:pStyle w:val="BodyText"/>
        <w:spacing w:after="120" w:line="276" w:lineRule="auto"/>
        <w:ind w:firstLine="567"/>
        <w:jc w:val="both"/>
      </w:pPr>
      <w:r>
        <w:rPr>
          <w:rFonts w:ascii="Times New Roman" w:hAnsi="Times New Roman" w:eastAsia="Times New Roman"/>
          <w:color w:val="000000"/>
          <w:sz w:val="22"/>
        </w:rPr>
        <w:t>Разработана и проверена инфраструктура многоязычного эксперимента по прогнозированию фактических ошибок LLM. Подготовлены 100 проверенных фактов на трёх языках, получены 5400 ответов трёх моделей, завершена строгая factual-разметка 889 target-ответов и явно сохранены 11 invalid targets. Предварительный анализ выявил заметные различия между языками, моделями и категориями, что подтверждает необходимость стратифицированной проверки и fact-level split.</w:t>
      </w:r>
    </w:p>
    <w:p>
      <w:pPr>
        <w:pStyle w:val="BodyText"/>
        <w:spacing w:after="120" w:line="276" w:lineRule="auto"/>
        <w:ind w:firstLine="567"/>
        <w:jc w:val="both"/>
      </w:pPr>
      <w:r>
        <w:rPr>
          <w:rFonts w:ascii="Times New Roman" w:hAnsi="Times New Roman" w:eastAsia="Times New Roman"/>
          <w:color w:val="000000"/>
          <w:sz w:val="22"/>
        </w:rPr>
        <w:t>Основная гипотеза получила поддержку на pilot: динамическая модель превысила статическую на locked test, а 95% bootstrap CI разницы AUROC не включает ноль. Результат ограничен 100 фактами и тремя моделями. До завершения независимой 200-case semantic review нельзя считать надёжность LLM judge полностью подтверждённой.</w:t>
      </w:r>
    </w:p>
    <w:p>
      <w:pPr>
        <w:pStyle w:val="Heading1"/>
      </w:pPr>
      <w:r>
        <w:t>13 Источники</w:t>
      </w:r>
    </w:p>
    <w:p>
      <w:pPr>
        <w:spacing w:after="100"/>
        <w:ind w:left="340" w:hanging="340"/>
      </w:pPr>
      <w:r>
        <w:rPr>
          <w:rFonts w:ascii="Times New Roman" w:hAnsi="Times New Roman" w:eastAsia="Times New Roman"/>
          <w:color w:val="000000"/>
          <w:sz w:val="20"/>
        </w:rPr>
        <w:t>1. Manakul P., Liusie A., Gales M. SelfCheckGPT: Zero-Resource Black-Box Hallucination Detection for Generative Large Language Models. EMNLP, 2023. https://aclanthology.org/2023.emnlp-main.557/</w:t>
      </w:r>
    </w:p>
    <w:p>
      <w:pPr>
        <w:spacing w:after="100"/>
        <w:ind w:left="340" w:hanging="340"/>
      </w:pPr>
      <w:r>
        <w:rPr>
          <w:rFonts w:ascii="Times New Roman" w:hAnsi="Times New Roman" w:eastAsia="Times New Roman"/>
          <w:color w:val="000000"/>
          <w:sz w:val="20"/>
        </w:rPr>
        <w:t>2. Farquhar S., Kossen J., Kuhn L. et al. Detecting hallucinations in large language models using semantic entropy. Nature 630, 625–630, 2024. https://doi.org/10.1038/s41586-024-07421-0</w:t>
      </w:r>
    </w:p>
    <w:p>
      <w:pPr>
        <w:spacing w:after="100"/>
        <w:ind w:left="340" w:hanging="340"/>
      </w:pPr>
      <w:r>
        <w:rPr>
          <w:rFonts w:ascii="Times New Roman" w:hAnsi="Times New Roman" w:eastAsia="Times New Roman"/>
          <w:color w:val="000000"/>
          <w:sz w:val="20"/>
        </w:rPr>
        <w:t>3. Wang X., Wei J., Schuurmans D. et al. Self-Consistency Improves Chain of Thought Reasoning in Language Models. ICLR, 2023. https://openreview.net/forum?id=1PL1NIMMrw</w:t>
      </w:r>
    </w:p>
    <w:p>
      <w:pPr>
        <w:spacing w:after="100"/>
        <w:ind w:left="340" w:hanging="340"/>
      </w:pPr>
      <w:r>
        <w:rPr>
          <w:rFonts w:ascii="Times New Roman" w:hAnsi="Times New Roman" w:eastAsia="Times New Roman"/>
          <w:color w:val="000000"/>
          <w:sz w:val="20"/>
        </w:rPr>
        <w:t>4. Kadavath S. et al. Language Models Mostly Know What They Know. arXiv:2207.05221, 2022. https://arxiv.org/abs/2207.05221</w:t>
      </w:r>
    </w:p>
    <w:p>
      <w:pPr>
        <w:spacing w:after="100"/>
        <w:ind w:left="340" w:hanging="340"/>
      </w:pPr>
      <w:r>
        <w:rPr>
          <w:rFonts w:ascii="Times New Roman" w:hAnsi="Times New Roman" w:eastAsia="Times New Roman"/>
          <w:color w:val="000000"/>
          <w:sz w:val="20"/>
        </w:rPr>
        <w:t>5. Groq. Rate Limits. https://console.groq.com/docs/rate-limits</w:t>
      </w:r>
    </w:p>
    <w:p>
      <w:pPr>
        <w:spacing w:after="100"/>
        <w:ind w:left="340" w:hanging="340"/>
      </w:pPr>
      <w:r>
        <w:rPr>
          <w:rFonts w:ascii="Times New Roman" w:hAnsi="Times New Roman" w:eastAsia="Times New Roman"/>
          <w:color w:val="000000"/>
          <w:sz w:val="20"/>
        </w:rPr>
        <w:t>6. Groq. Chat Completions and model documentation. https://console.groq.com/docs/overview</w:t>
      </w:r>
    </w:p>
    <w:p>
      <w:pPr>
        <w:spacing w:after="100"/>
        <w:ind w:left="340" w:hanging="340"/>
      </w:pPr>
      <w:r>
        <w:rPr>
          <w:rFonts w:ascii="Times New Roman" w:hAnsi="Times New Roman" w:eastAsia="Times New Roman"/>
          <w:color w:val="000000"/>
          <w:sz w:val="20"/>
        </w:rPr>
        <w:t>7. RKNP. Frozen research protocol and implementation plan, version 1.0, 10 September 2026.</w:t>
      </w:r>
    </w:p>
    <w:p>
      <w:pPr>
        <w:spacing w:after="100"/>
        <w:ind w:left="340" w:hanging="340"/>
      </w:pPr>
      <w:r>
        <w:rPr>
          <w:rFonts w:ascii="Times New Roman" w:hAnsi="Times New Roman" w:eastAsia="Times New Roman"/>
          <w:color w:val="000000"/>
          <w:sz w:val="20"/>
        </w:rPr>
        <w:t>8. RKNP. pilot100_verified_v1.csv, labels.csv, engineering report and immutable experiment manifests, 2026.</w:t>
      </w:r>
    </w:p>
    <w:p>
      <w:pPr>
        <w:pStyle w:val="Heading1"/>
      </w:pPr>
      <w:r>
        <w:t>Приложение А Матрица исследования</w:t>
      </w:r>
    </w:p>
    <w:tbl>
      <w:tblPr>
        <w:tblW w:type="auto" w:w="0"/>
        <w:jc w:val="center"/>
        <w:tblLayout w:type="fixed"/>
        <w:tblLook w:firstColumn="1" w:firstRow="1" w:lastColumn="0" w:lastRow="0" w:noHBand="0" w:noVBand="1" w:val="04A0"/>
      </w:tblPr>
      <w:tblGrid>
        <w:gridCol w:w="4592"/>
        <w:gridCol w:w="4592"/>
      </w:tblGrid>
      <w:tr>
        <w:trPr>
          <w:tblHeader w:val="true"/>
        </w:trPr>
        <w:tc>
          <w:tcPr>
            <w:tcW w:type="dxa" w:w="2835"/>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Элемент</w:t>
            </w:r>
          </w:p>
        </w:tc>
        <w:tc>
          <w:tcPr>
            <w:tcW w:type="dxa" w:w="5556"/>
            <w:vAlign w:val="center"/>
            <w:tcMar>
              <w:top w:w="55" w:type="dxa"/>
              <w:start w:w="75" w:type="dxa"/>
              <w:bottom w:w="55" w:type="dxa"/>
              <w:end w:w="75" w:type="dxa"/>
            </w:tcMar>
            <w:shd w:fill="16324F"/>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color w:val="FFFFFF"/>
                <w:sz w:val="18"/>
              </w:rPr>
              <w:t>Зафиксированное значение</w:t>
            </w:r>
          </w:p>
        </w:tc>
      </w:tr>
      <w:tr>
        <w:tc>
          <w:tcPr>
            <w:tcW w:type="dxa" w:w="2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experiment_id</w:t>
            </w:r>
          </w:p>
        </w:tc>
        <w:tc>
          <w:tcPr>
            <w:tcW w:type="dxa" w:w="555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pilot100_v1</w:t>
            </w:r>
          </w:p>
        </w:tc>
      </w:tr>
      <w:tr>
        <w:tc>
          <w:tcPr>
            <w:tcW w:type="dxa" w:w="28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Факты</w:t>
            </w:r>
          </w:p>
        </w:tc>
        <w:tc>
          <w:tcPr>
            <w:tcW w:type="dxa" w:w="5556"/>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100, human verified</w:t>
            </w:r>
          </w:p>
        </w:tc>
      </w:tr>
      <w:tr>
        <w:tc>
          <w:tcPr>
            <w:tcW w:type="dxa" w:w="2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Cases</w:t>
            </w:r>
          </w:p>
        </w:tc>
        <w:tc>
          <w:tcPr>
            <w:tcW w:type="dxa" w:w="555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900; complete fixed-five: 866</w:t>
            </w:r>
          </w:p>
        </w:tc>
      </w:tr>
      <w:tr>
        <w:tc>
          <w:tcPr>
            <w:tcW w:type="dxa" w:w="28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Ответы</w:t>
            </w:r>
          </w:p>
        </w:tc>
        <w:tc>
          <w:tcPr>
            <w:tcW w:type="dxa" w:w="5556"/>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5400</w:t>
            </w:r>
          </w:p>
        </w:tc>
      </w:tr>
      <w:tr>
        <w:tc>
          <w:tcPr>
            <w:tcW w:type="dxa" w:w="2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Target labels</w:t>
            </w:r>
          </w:p>
        </w:tc>
        <w:tc>
          <w:tcPr>
            <w:tcW w:type="dxa" w:w="555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889 resolved; 11 invalid</w:t>
            </w:r>
          </w:p>
        </w:tc>
      </w:tr>
      <w:tr>
        <w:tc>
          <w:tcPr>
            <w:tcW w:type="dxa" w:w="28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Split</w:t>
            </w:r>
          </w:p>
        </w:tc>
        <w:tc>
          <w:tcPr>
            <w:tcW w:type="dxa" w:w="5556"/>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70/15/15 по fact_id</w:t>
            </w:r>
          </w:p>
        </w:tc>
      </w:tr>
      <w:tr>
        <w:tc>
          <w:tcPr>
            <w:tcW w:type="dxa" w:w="2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Primary metric</w:t>
            </w:r>
          </w:p>
        </w:tc>
        <w:tc>
          <w:tcPr>
            <w:tcW w:type="dxa" w:w="555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AUROC</w:t>
            </w:r>
          </w:p>
        </w:tc>
      </w:tr>
      <w:tr>
        <w:tc>
          <w:tcPr>
            <w:tcW w:type="dxa" w:w="28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Bootstrap</w:t>
            </w:r>
          </w:p>
        </w:tc>
        <w:tc>
          <w:tcPr>
            <w:tcW w:type="dxa" w:w="5556"/>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1000 resamples по fact_id; 95% CI</w:t>
            </w:r>
          </w:p>
        </w:tc>
      </w:tr>
      <w:tr>
        <w:tc>
          <w:tcPr>
            <w:tcW w:type="dxa" w:w="2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Semantic prefixes</w:t>
            </w:r>
          </w:p>
        </w:tc>
        <w:tc>
          <w:tcPr>
            <w:tcW w:type="dxa" w:w="555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center"/>
            </w:pPr>
            <w:r/>
            <w:r>
              <w:rPr>
                <w:rFonts w:ascii="Times New Roman" w:hAnsi="Times New Roman" w:eastAsia="Times New Roman"/>
                <w:b w:val="0"/>
                <w:color w:val="000000"/>
                <w:sz w:val="18"/>
              </w:rPr>
              <w:t>k=2, 3, 4, 5</w:t>
            </w:r>
          </w:p>
        </w:tc>
      </w:tr>
      <w:tr>
        <w:tc>
          <w:tcPr>
            <w:tcW w:type="dxa" w:w="28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Feature rows</w:t>
            </w:r>
          </w:p>
        </w:tc>
        <w:tc>
          <w:tcPr>
            <w:tcW w:type="dxa" w:w="5556"/>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832: train 574; validation 127; test 131</w:t>
            </w:r>
          </w:p>
        </w:tc>
      </w:tr>
      <w:tr>
        <w:tc>
          <w:tcPr>
            <w:tcW w:type="dxa" w:w="2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Locked-test AUROC</w:t>
            </w:r>
          </w:p>
        </w:tc>
        <w:tc>
          <w:tcPr>
            <w:tcW w:type="dxa" w:w="555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0.879; 95% CI 0.817–0.934</w:t>
            </w:r>
          </w:p>
        </w:tc>
      </w:tr>
      <w:tr>
        <w:tc>
          <w:tcPr>
            <w:tcW w:type="dxa" w:w="2835"/>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Locked-test AUPRC</w:t>
            </w:r>
          </w:p>
        </w:tc>
        <w:tc>
          <w:tcPr>
            <w:tcW w:type="dxa" w:w="5556"/>
            <w:vAlign w:val="center"/>
            <w:tcMar>
              <w:top w:w="55" w:type="dxa"/>
              <w:start w:w="75" w:type="dxa"/>
              <w:bottom w:w="55" w:type="dxa"/>
              <w:end w:w="75" w:type="dxa"/>
            </w:tcMar>
            <w:shd w:fill="EAF4F7"/>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40" w:lineRule="auto"/>
              <w:jc w:val="left"/>
            </w:pPr>
            <w:r/>
            <w:r>
              <w:rPr>
                <w:rFonts w:ascii="Times New Roman" w:hAnsi="Times New Roman" w:eastAsia="Times New Roman"/>
                <w:b w:val="0"/>
                <w:color w:val="000000"/>
                <w:sz w:val="18"/>
              </w:rPr>
              <w:t>0.622; 95% CI 0.365–0.782</w:t>
            </w:r>
          </w:p>
        </w:tc>
      </w:tr>
    </w:tbl>
    <w:p>
      <w:pPr>
        <w:spacing w:after="40"/>
      </w:pPr>
    </w:p>
    <w:p>
      <w:pPr>
        <w:pStyle w:val="Heading1"/>
      </w:pPr>
      <w:r>
        <w:t>Приложение Б Воспроизводимость</w:t>
      </w:r>
    </w:p>
    <w:p>
      <w:pPr>
        <w:pStyle w:val="BodyText"/>
        <w:spacing w:after="120" w:line="276" w:lineRule="auto"/>
        <w:ind w:firstLine="567"/>
        <w:jc w:val="both"/>
      </w:pPr>
      <w:r>
        <w:rPr>
          <w:rFonts w:ascii="Times New Roman" w:hAnsi="Times New Roman" w:eastAsia="Times New Roman"/>
          <w:color w:val="000000"/>
          <w:sz w:val="22"/>
        </w:rPr>
        <w:t>Ключевые артефакты проекта: data/benchmark/pilot100_verified_v1.csv; data/processed/splits_pilot100_v1.csv; artifacts/groq/private/requests.sqlite3; artifacts/generations/generations.parquet; data/labels/pilot100_v1/labels.csv; experiments/pilot/pilot100_v1/dataset_freeze.json. API key хранится только в переменной окружения и не включается в документы или репозиторий.</w:t>
      </w:r>
    </w:p>
    <w:p>
      <w:pPr>
        <w:pStyle w:val="BodyText"/>
        <w:spacing w:after="120" w:line="276" w:lineRule="auto"/>
        <w:ind w:firstLine="567"/>
        <w:jc w:val="both"/>
      </w:pPr>
      <w:r>
        <w:rPr>
          <w:rFonts w:ascii="Times New Roman" w:hAnsi="Times New Roman" w:eastAsia="Times New Roman"/>
          <w:color w:val="000000"/>
          <w:sz w:val="22"/>
        </w:rPr>
        <w:t>Повторный запуск использует ту же конфигурацию и experiment_id, пропускает уже сохранённые request keys и продолжает с последнего подтверждённого состояния. Любое изменение benchmark, prompt, seed или sampling parameters требует новой версии эксперимента.</w:t>
      </w:r>
    </w:p>
    <w:sectPr w:rsidR="00FC693F" w:rsidRPr="0006063C" w:rsidSect="00034616">
      <w:headerReference w:type="default" r:id="rId9"/>
      <w:footerReference w:type="default" r:id="rId10"/>
      <w:pgSz w:w="11906" w:h="16838"/>
      <w:pgMar w:top="1134" w:right="1247" w:bottom="1134" w:left="147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2606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