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" w:after="220"/>
        <w:jc w:val="center"/>
        <w:autoSpaceDE w:val="0"/>
        <w:autoSpaceDN w:val="0"/>
      </w:pPr>
      <w:r>
        <w:rPr>
          <w:rFonts w:ascii="Arial" w:hAnsi="Arial" w:eastAsia="Heiti SC"/>
          <w:b/>
          <w:color w:val="333333"/>
          <w:sz w:val="36"/>
        </w:rPr>
        <w:t>家庭居室装修工程施工合同</w:t>
      </w:r>
    </w:p>
    <w:p>
      <w:pPr>
        <w:widowControl/>
        <w:spacing w:lineRule="auto" w:line="324" w:after="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发包方（甲方）：刘国云　　身份证号：42092319790724127</w:t>
      </w:r>
      <w:r>
        <w:rPr>
          <w:rFonts w:ascii="Palatino" w:hAnsi="Palatino" w:eastAsia="STFangsong"/>
          <w:b w:val="0"/>
          <w:color w:val="333333"/>
          <w:sz w:val="21"/>
        </w:rPr>
        <w:t>X</w:t>
      </w:r>
      <w:r>
        <w:rPr>
          <w:rFonts w:ascii="STFangsong" w:hAnsi="STFangsong" w:eastAsia="STFangsong"/>
          <w:b w:val="0"/>
          <w:color w:val="333333"/>
          <w:sz w:val="21"/>
        </w:rPr>
        <w:t xml:space="preserve">　　联系电话：17722592867</w:t>
      </w:r>
    </w:p>
    <w:p>
      <w:pPr>
        <w:widowControl/>
        <w:spacing w:lineRule="auto" w:line="324" w:after="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承包方（乙方）：__________　　身份证号：__________　　联系电话：__________</w:t>
      </w:r>
    </w:p>
    <w:p>
      <w:pPr>
        <w:widowControl/>
        <w:spacing w:lineRule="auto" w:line="324" w:after="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80" w:after="40"/>
        <w:autoSpaceDE w:val="0"/>
        <w:autoSpaceDN w:val="0"/>
      </w:pPr>
      <w:r>
        <w:rPr>
          <w:rFonts w:ascii="Arial" w:hAnsi="Arial" w:eastAsia="Heiti SC"/>
          <w:b/>
          <w:color w:val="333333"/>
          <w:sz w:val="22"/>
        </w:rPr>
        <w:t>一、工程概况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（一）工程地点：湖北省武汉市东西湖区惠景九龙湾小区9栋1单元15楼1501室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（二）房屋结构：框架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（三）装修面积：套内建筑面积约118平方米（最终以实测为准）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（四）工程内容：按本合同的约定进行家庭居室室内装修，包括设计、施工及材料采购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（五）承包方式：全包（包工包料）</w:t>
      </w:r>
    </w:p>
    <w:p>
      <w:pPr>
        <w:keepNext/>
        <w:spacing w:before="80" w:after="40"/>
        <w:autoSpaceDE w:val="0"/>
        <w:autoSpaceDN w:val="0"/>
      </w:pPr>
      <w:r>
        <w:rPr>
          <w:rFonts w:ascii="Arial" w:hAnsi="Arial" w:eastAsia="Heiti SC"/>
          <w:b/>
          <w:color w:val="333333"/>
          <w:sz w:val="22"/>
        </w:rPr>
        <w:t>二、工程工期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（一）工期总天数：________个日历天（不含设计时间）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（二）开工日期：2026年10月2日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（三）竣工日期：________年________月________日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（四）工期延误：因甲方原因、设计变更、不可抗力等因素导致工期顺延的，须经双方签字确认。因乙方原因每延误一日，按合同总价的________‰向甲方支付违约金。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（五）阶段工期：</w:t>
      </w:r>
    </w:p>
    <w:p>
      <w:pPr>
        <w:keepNext/>
        <w:spacing w:before="200" w:after="80"/>
        <w:autoSpaceDE w:val="0"/>
        <w:autoSpaceDN w:val="0"/>
      </w:pPr>
      <w:r>
        <w:rPr>
          <w:rFonts w:ascii="Arial" w:hAnsi="Arial" w:eastAsia="Heiti SC"/>
          <w:b/>
          <w:color w:val="333333"/>
          <w:sz w:val="21"/>
        </w:rPr>
        <w:t>表 1：阶段工期安排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2835"/>
        <w:gridCol w:w="1701"/>
      </w:tblGrid>
      <w:tr>
        <w:trPr>
          <w:trHeight w:val="420" w:hRule="atLeast"/>
          <w:tblHeader/>
        </w:trPr>
        <w:tc>
          <w:tcPr>
            <w:tcW w:type="dxa" w:w="1417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阶段</w:t>
            </w:r>
          </w:p>
        </w:tc>
        <w:tc>
          <w:tcPr>
            <w:tcW w:type="dxa" w:w="2835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工序</w:t>
            </w:r>
          </w:p>
        </w:tc>
        <w:tc>
          <w:tcPr>
            <w:tcW w:type="dxa" w:w="1701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工期（天）</w:t>
            </w: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前期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拆改、墙体新建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水电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水电改造、防水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泥木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贴砖、吊顶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油漆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墙面处理、刷漆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安装</w:t>
            </w:r>
          </w:p>
        </w:tc>
        <w:tc>
          <w:tcPr>
            <w:tcW w:type="dxa" w:w="2835"/>
            <w:vAlign w:val="center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灯具、开关、五金、保洁</w:t>
            </w:r>
          </w:p>
        </w:tc>
        <w:tc>
          <w:tcPr>
            <w:tcW w:type="dxa" w:w="1701"/>
            <w:vAlign w:val="center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</w:tbl>
    <w:p>
      <w:pPr>
        <w:keepNext/>
        <w:spacing w:before="80" w:after="40"/>
        <w:autoSpaceDE w:val="0"/>
        <w:autoSpaceDN w:val="0"/>
      </w:pPr>
      <w:r>
        <w:rPr>
          <w:rFonts w:ascii="Arial" w:hAnsi="Arial" w:eastAsia="Heiti SC"/>
          <w:b/>
          <w:color w:val="333333"/>
          <w:sz w:val="22"/>
        </w:rPr>
        <w:t>三、工程造价与付款方式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（一）合同总造价：人民币（大写）捌万元整（¥80,000元）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（二）此价格为固定总价，包含本合同约定的全部施工项目和材料，除非双方书面签字确认变更，不得调整。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（三）付款方式（建议比例）：</w:t>
      </w:r>
    </w:p>
    <w:p>
      <w:pPr>
        <w:keepNext/>
        <w:spacing w:before="200" w:after="80"/>
        <w:autoSpaceDE w:val="0"/>
        <w:autoSpaceDN w:val="0"/>
      </w:pPr>
      <w:r>
        <w:rPr>
          <w:rFonts w:ascii="Arial" w:hAnsi="Arial" w:eastAsia="Heiti SC"/>
          <w:b/>
          <w:color w:val="333333"/>
          <w:sz w:val="21"/>
        </w:rPr>
        <w:t>表 2：付款方式明细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1417"/>
        <w:gridCol w:w="1701"/>
        <w:gridCol w:w="2551"/>
      </w:tblGrid>
      <w:tr>
        <w:trPr>
          <w:trHeight w:val="420" w:hRule="atLeast"/>
          <w:tblHeader/>
        </w:trPr>
        <w:tc>
          <w:tcPr>
            <w:tcW w:type="dxa" w:w="1417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阶段</w:t>
            </w:r>
          </w:p>
        </w:tc>
        <w:tc>
          <w:tcPr>
            <w:tcW w:type="dxa" w:w="1417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付款比例</w:t>
            </w:r>
          </w:p>
        </w:tc>
        <w:tc>
          <w:tcPr>
            <w:tcW w:type="dxa" w:w="1701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金额（元）</w:t>
            </w:r>
          </w:p>
        </w:tc>
        <w:tc>
          <w:tcPr>
            <w:tcW w:type="dxa" w:w="2551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付款时间</w:t>
            </w: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首付款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30%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24,000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合同签订当日</w:t>
            </w: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水电验收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20%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16,000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水电隐蔽工程验收合格</w:t>
            </w: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泥木验收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30%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24,000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泥木工程验收合格</w:t>
            </w: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竣工验收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15%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12,000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整体工程验收合格</w:t>
            </w: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尾款</w:t>
            </w:r>
          </w:p>
        </w:tc>
        <w:tc>
          <w:tcPr>
            <w:tcW w:type="dxa" w:w="1417"/>
            <w:vAlign w:val="center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5%</w:t>
            </w:r>
          </w:p>
        </w:tc>
        <w:tc>
          <w:tcPr>
            <w:tcW w:type="dxa" w:w="1701"/>
            <w:vAlign w:val="center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4,000</w:t>
            </w:r>
          </w:p>
        </w:tc>
        <w:tc>
          <w:tcPr>
            <w:tcW w:type="dxa" w:w="2551"/>
            <w:vAlign w:val="center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入住30天后无质量问题</w:t>
            </w:r>
          </w:p>
        </w:tc>
      </w:tr>
    </w:tbl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（四）付款账户须为乙方对公账户或乙方本人账户，收款后须提供有效票据。</w:t>
      </w:r>
    </w:p>
    <w:p>
      <w:pPr>
        <w:keepNext/>
        <w:spacing w:before="80" w:after="40"/>
        <w:autoSpaceDE w:val="0"/>
        <w:autoSpaceDN w:val="0"/>
      </w:pPr>
      <w:r>
        <w:rPr>
          <w:rFonts w:ascii="Arial" w:hAnsi="Arial" w:eastAsia="Heiti SC"/>
          <w:b/>
          <w:color w:val="333333"/>
          <w:sz w:val="22"/>
        </w:rPr>
        <w:t>四、设计方案与施工图纸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（一）设计方案由甲乙双方协商确定，双方共同参与方案讨论与确认。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（二）施工前须经双方确认最终方案，未经双方书面同意不得擅自施工或变更方案。</w:t>
      </w:r>
    </w:p>
    <w:p>
      <w:pPr>
        <w:keepNext/>
        <w:spacing w:before="80" w:after="40"/>
        <w:autoSpaceDE w:val="0"/>
        <w:autoSpaceDN w:val="0"/>
      </w:pPr>
      <w:r>
        <w:rPr>
          <w:rFonts w:ascii="Arial" w:hAnsi="Arial" w:eastAsia="Heiti SC"/>
          <w:b/>
          <w:color w:val="333333"/>
          <w:sz w:val="22"/>
        </w:rPr>
        <w:t>五、材料供应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（一）全包项目主材清单（详见附件《材料清单明细表》）：</w:t>
      </w:r>
    </w:p>
    <w:p>
      <w:pPr>
        <w:keepNext/>
        <w:spacing w:before="200" w:after="80"/>
        <w:autoSpaceDE w:val="0"/>
        <w:autoSpaceDN w:val="0"/>
      </w:pPr>
      <w:r>
        <w:rPr>
          <w:rFonts w:ascii="Arial" w:hAnsi="Arial" w:eastAsia="Heiti SC"/>
          <w:b/>
          <w:color w:val="333333"/>
          <w:sz w:val="21"/>
        </w:rPr>
        <w:t>表 3：主材清单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1984"/>
        <w:gridCol w:w="1417"/>
        <w:gridCol w:w="1134"/>
        <w:gridCol w:w="1417"/>
      </w:tblGrid>
      <w:tr>
        <w:trPr>
          <w:trHeight w:val="420" w:hRule="atLeast"/>
          <w:tblHeader/>
        </w:trPr>
        <w:tc>
          <w:tcPr>
            <w:tcW w:type="dxa" w:w="1134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类别</w:t>
            </w:r>
          </w:p>
        </w:tc>
        <w:tc>
          <w:tcPr>
            <w:tcW w:type="dxa" w:w="1984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材料名称</w:t>
            </w:r>
          </w:p>
        </w:tc>
        <w:tc>
          <w:tcPr>
            <w:tcW w:type="dxa" w:w="1417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品牌/规格</w:t>
            </w:r>
          </w:p>
        </w:tc>
        <w:tc>
          <w:tcPr>
            <w:tcW w:type="dxa" w:w="1134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约定等级</w:t>
            </w:r>
          </w:p>
        </w:tc>
        <w:tc>
          <w:tcPr>
            <w:tcW w:type="dxa" w:w="1417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备注</w:t>
            </w:r>
          </w:p>
        </w:tc>
      </w:tr>
      <w:tr>
        <w:trPr>
          <w:trHeight w:val="420" w:hRule="atLeast"/>
          <w:cantSplit/>
        </w:trPr>
        <w:tc>
          <w:tcPr>
            <w:tcW w:type="dxa" w:w="1134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瓷砖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地砖/墙砖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134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13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地板</w:t>
            </w:r>
          </w:p>
        </w:tc>
        <w:tc>
          <w:tcPr>
            <w:tcW w:type="dxa" w:w="198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实木/复合/石晶</w:t>
            </w:r>
          </w:p>
        </w:tc>
        <w:tc>
          <w:tcPr>
            <w:tcW w:type="dxa" w:w="1417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13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134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橱柜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134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13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板材</w:t>
            </w:r>
          </w:p>
        </w:tc>
        <w:tc>
          <w:tcPr>
            <w:tcW w:type="dxa" w:w="198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柜体板/背板/见光板</w:t>
            </w:r>
          </w:p>
        </w:tc>
        <w:tc>
          <w:tcPr>
            <w:tcW w:type="dxa" w:w="1417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13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134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柜体配件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铰链/导轨/拉手/支撑等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134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13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门</w:t>
            </w:r>
          </w:p>
        </w:tc>
        <w:tc>
          <w:tcPr>
            <w:tcW w:type="dxa" w:w="198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卧室门/厨卫门/入户门</w:t>
            </w:r>
          </w:p>
        </w:tc>
        <w:tc>
          <w:tcPr>
            <w:tcW w:type="dxa" w:w="1417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13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134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卫浴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马桶/花洒/浴室柜/龙头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134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13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地漏</w:t>
            </w:r>
          </w:p>
        </w:tc>
        <w:tc>
          <w:tcPr>
            <w:tcW w:type="dxa" w:w="198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厕所地漏</w:t>
            </w:r>
          </w:p>
        </w:tc>
        <w:tc>
          <w:tcPr>
            <w:tcW w:type="dxa" w:w="1417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13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134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三角阀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冷热三角阀（洗衣机、洗手盆、热水器等）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134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13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开关插座</w:t>
            </w:r>
          </w:p>
        </w:tc>
        <w:tc>
          <w:tcPr>
            <w:tcW w:type="dxa" w:w="198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134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  <w:shd w:val="clear" w:fill="F5F8FC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134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油漆/乳胶漆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134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  <w:tr>
        <w:trPr>
          <w:trHeight w:val="420" w:hRule="atLeast"/>
          <w:cantSplit/>
        </w:trPr>
        <w:tc>
          <w:tcPr>
            <w:tcW w:type="dxa" w:w="1134"/>
            <w:vAlign w:val="center"/>
            <w:shd w:val="clear" w:fill="F5F8FC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灯具</w:t>
            </w:r>
          </w:p>
        </w:tc>
        <w:tc>
          <w:tcPr>
            <w:tcW w:type="dxa" w:w="1984"/>
            <w:vAlign w:val="center"/>
            <w:shd w:val="clear" w:fill="F5F8FC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  <w:shd w:val="clear" w:fill="F5F8FC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134"/>
            <w:vAlign w:val="center"/>
            <w:shd w:val="clear" w:fill="F5F8FC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  <w:tc>
          <w:tcPr>
            <w:tcW w:type="dxa" w:w="1417"/>
            <w:vAlign w:val="center"/>
            <w:shd w:val="clear" w:fill="F5F8FC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right"/>
            </w:pPr>
          </w:p>
        </w:tc>
      </w:tr>
    </w:tbl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（二）板材选定权：板材的品牌、型号、颜色、花色由甲方亲自选定，乙方不得擅自指定或替换。甲方须在橱柜深化设计阶段完成板材选定，并在《板材选定确认单》上签字确认，作为施工依据。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（三）材料验收：所有材料进场须提前24小时通知甲方验收；甲方有权要求乙方提供材料合格证、检测报告；甲方验收签字后方可施工，未经签字擅自施工的，甲方有权要求返工。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（四）材料品牌更换：乙方不得擅自更换约定品牌，确需更换须提前书面通知甲方并经同意，同档次同价位替换须有甲方书面确认。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（五）甲方未及时选定板材：若甲方未在约定时间内完成板材选定，导致工期延误，工期顺延责任由甲方自行承担，乙方不承担违约责任。</w:t>
      </w:r>
    </w:p>
    <w:p>
      <w:pPr>
        <w:keepNext/>
        <w:spacing w:before="80" w:after="40"/>
        <w:autoSpaceDE w:val="0"/>
        <w:autoSpaceDN w:val="0"/>
      </w:pPr>
      <w:r>
        <w:rPr>
          <w:rFonts w:ascii="Arial" w:hAnsi="Arial" w:eastAsia="Heiti SC"/>
          <w:b/>
          <w:color w:val="333333"/>
          <w:sz w:val="22"/>
        </w:rPr>
        <w:t>六、施工工艺与质量标准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（一）施工工艺须符合现行国家标准和地方规范，包括但不限于：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《住宅装饰装修工程施工规范》</w:t>
      </w:r>
      <w:r>
        <w:rPr>
          <w:rFonts w:ascii="Palatino" w:hAnsi="Palatino" w:eastAsia="STFangsong"/>
          <w:b w:val="0"/>
          <w:color w:val="333333"/>
          <w:sz w:val="21"/>
        </w:rPr>
        <w:t>GB</w:t>
      </w:r>
      <w:r>
        <w:rPr>
          <w:rFonts w:ascii="STFangsong" w:hAnsi="STFangsong" w:eastAsia="STFangsong"/>
          <w:b w:val="0"/>
          <w:color w:val="333333"/>
          <w:sz w:val="21"/>
        </w:rPr>
        <w:t xml:space="preserve"> 50327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《建筑地面工程施工质量验收规范》</w:t>
      </w:r>
      <w:r>
        <w:rPr>
          <w:rFonts w:ascii="Palatino" w:hAnsi="Palatino" w:eastAsia="STFangsong"/>
          <w:b w:val="0"/>
          <w:color w:val="333333"/>
          <w:sz w:val="21"/>
        </w:rPr>
        <w:t>GB</w:t>
      </w:r>
      <w:r>
        <w:rPr>
          <w:rFonts w:ascii="STFangsong" w:hAnsi="STFangsong" w:eastAsia="STFangsong"/>
          <w:b w:val="0"/>
          <w:color w:val="333333"/>
          <w:sz w:val="21"/>
        </w:rPr>
        <w:t xml:space="preserve"> 50209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《建筑内部装修设计防火规范》</w:t>
      </w:r>
      <w:r>
        <w:rPr>
          <w:rFonts w:ascii="Palatino" w:hAnsi="Palatino" w:eastAsia="STFangsong"/>
          <w:b w:val="0"/>
          <w:color w:val="333333"/>
          <w:sz w:val="21"/>
        </w:rPr>
        <w:t>GB</w:t>
      </w:r>
      <w:r>
        <w:rPr>
          <w:rFonts w:ascii="STFangsong" w:hAnsi="STFangsong" w:eastAsia="STFangsong"/>
          <w:b w:val="0"/>
          <w:color w:val="333333"/>
          <w:sz w:val="21"/>
        </w:rPr>
        <w:t xml:space="preserve"> 50222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（二）主要工序质量要求：</w:t>
      </w:r>
    </w:p>
    <w:p>
      <w:pPr>
        <w:keepNext/>
        <w:spacing w:before="200" w:after="80"/>
        <w:autoSpaceDE w:val="0"/>
        <w:autoSpaceDN w:val="0"/>
      </w:pPr>
      <w:r>
        <w:rPr>
          <w:rFonts w:ascii="Arial" w:hAnsi="Arial" w:eastAsia="Heiti SC"/>
          <w:b/>
          <w:color w:val="333333"/>
          <w:sz w:val="21"/>
        </w:rPr>
        <w:t>表 4：主要工序质量要求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5670"/>
      </w:tblGrid>
      <w:tr>
        <w:trPr>
          <w:trHeight w:val="420" w:hRule="atLeast"/>
          <w:tblHeader/>
        </w:trPr>
        <w:tc>
          <w:tcPr>
            <w:tcW w:type="dxa" w:w="1417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工序</w:t>
            </w:r>
          </w:p>
        </w:tc>
        <w:tc>
          <w:tcPr>
            <w:tcW w:type="dxa" w:w="5669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质量要求</w:t>
            </w: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水电改造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水管打压测试0.8</w:t>
            </w:r>
            <w:r>
              <w:rPr>
                <w:rFonts w:ascii="Palatino" w:hAnsi="Palatino" w:eastAsia="STFangsong"/>
                <w:b w:val="0"/>
                <w:color w:val="333333"/>
                <w:sz w:val="21"/>
              </w:rPr>
              <w:t>MPa</w:t>
            </w: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保持30分钟不掉压；电路阻值≥5</w:t>
            </w:r>
            <w:r>
              <w:rPr>
                <w:rFonts w:ascii="Palatino" w:hAnsi="Palatino" w:eastAsia="STFangsong"/>
                <w:b w:val="0"/>
                <w:color w:val="333333"/>
                <w:sz w:val="21"/>
              </w:rPr>
              <w:t>M</w:t>
            </w: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Ω；线管分色</w:t>
            </w: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防水工程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卫生间防水高度≥1.8</w:t>
            </w:r>
            <w:r>
              <w:rPr>
                <w:rFonts w:ascii="Palatino" w:hAnsi="Palatino" w:eastAsia="STFangsong"/>
                <w:b w:val="0"/>
                <w:color w:val="333333"/>
                <w:sz w:val="21"/>
              </w:rPr>
              <w:t>m</w:t>
            </w: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，厨房≥0.3</w:t>
            </w:r>
            <w:r>
              <w:rPr>
                <w:rFonts w:ascii="Palatino" w:hAnsi="Palatino" w:eastAsia="STFangsong"/>
                <w:b w:val="0"/>
                <w:color w:val="333333"/>
                <w:sz w:val="21"/>
              </w:rPr>
              <w:t>m</w:t>
            </w: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；闭水试验48小时无渗漏</w:t>
            </w: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瓷砖铺贴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空鼓率≤5%；缝隙均匀；阴阳角方正±2</w:t>
            </w:r>
            <w:r>
              <w:rPr>
                <w:rFonts w:ascii="Palatino" w:hAnsi="Palatino" w:eastAsia="STFangsong"/>
                <w:b w:val="0"/>
                <w:color w:val="333333"/>
                <w:sz w:val="21"/>
              </w:rPr>
              <w:t>mm</w:t>
            </w: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墙面处理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2米靠尺检查误差≤3</w:t>
            </w:r>
            <w:r>
              <w:rPr>
                <w:rFonts w:ascii="Palatino" w:hAnsi="Palatino" w:eastAsia="STFangsong"/>
                <w:b w:val="0"/>
                <w:color w:val="333333"/>
                <w:sz w:val="21"/>
              </w:rPr>
              <w:t>mm</w:t>
            </w: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；无明显刷痕、流坠</w:t>
            </w:r>
          </w:p>
        </w:tc>
      </w:tr>
      <w:tr>
        <w:trPr>
          <w:trHeight w:val="420" w:hRule="atLeast"/>
          <w:cantSplit/>
        </w:trPr>
        <w:tc>
          <w:tcPr>
            <w:tcW w:type="dxa" w:w="1417"/>
            <w:vAlign w:val="center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油漆工程</w:t>
            </w:r>
          </w:p>
        </w:tc>
        <w:tc>
          <w:tcPr>
            <w:tcW w:type="dxa" w:w="5669"/>
            <w:vAlign w:val="center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无明显色差；无起皮、脱落、开裂</w:t>
            </w:r>
          </w:p>
        </w:tc>
      </w:tr>
    </w:tbl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（三）隐蔽工程须在封闭前48小时通知甲方验收，未验收不得封闭。</w:t>
      </w:r>
    </w:p>
    <w:p>
      <w:pPr>
        <w:keepNext/>
        <w:spacing w:before="80" w:after="40"/>
        <w:autoSpaceDE w:val="0"/>
        <w:autoSpaceDN w:val="0"/>
      </w:pPr>
      <w:r>
        <w:rPr>
          <w:rFonts w:ascii="Arial" w:hAnsi="Arial" w:eastAsia="Heiti SC"/>
          <w:b/>
          <w:color w:val="333333"/>
          <w:sz w:val="22"/>
        </w:rPr>
        <w:t>七、工程变更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（一）工程变更须经双方签字确认《工程变更单》，明确变更内容、费用及工期影响。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（二）增项处理：单次增项金额在________元以内的，乙方可先施工后确认；单次增项金额超过________元的，须提前书面确认后方可施工；增项累计金额不得超过合同总价的15%，超过部分须另签补充协议。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（三）减项处理：按原报价扣除相应费用，并在结算时返还甲方。</w:t>
      </w:r>
    </w:p>
    <w:p>
      <w:pPr>
        <w:keepNext/>
        <w:spacing w:before="80" w:after="40"/>
        <w:autoSpaceDE w:val="0"/>
        <w:autoSpaceDN w:val="0"/>
      </w:pPr>
      <w:r>
        <w:rPr>
          <w:rFonts w:ascii="Arial" w:hAnsi="Arial" w:eastAsia="Heiti SC"/>
          <w:b/>
          <w:color w:val="333333"/>
          <w:sz w:val="22"/>
        </w:rPr>
        <w:t>八、工程验收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（一）分项验收：每个阶段工序完成后，甲方须在收到乙方验收通知后48小时内到场验收，逾期视为合格。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（二）竣工验收：整体工程完工后，乙方通知甲方验收，甲方须在7个工作日内组织验收，逾期视为合格。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（三）验收标准：以本合同约定、国家标准、地方规范及双方签字确认的图纸为准。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（四）验收记录：双方签字确认《分项验收记录表》《竣工验收单》，作为结算和保修依据。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（五）空气质量检测：竣工后须进行室内空气质量检测，甲醛等有害物质须符合</w:t>
      </w:r>
      <w:r>
        <w:rPr>
          <w:rFonts w:ascii="Palatino" w:hAnsi="Palatino" w:eastAsia="STFangsong"/>
          <w:b w:val="0"/>
          <w:color w:val="333333"/>
          <w:sz w:val="21"/>
        </w:rPr>
        <w:t>GB</w:t>
      </w:r>
      <w:r>
        <w:rPr>
          <w:rFonts w:ascii="STFangsong" w:hAnsi="STFangsong" w:eastAsia="STFangsong"/>
          <w:b w:val="0"/>
          <w:color w:val="333333"/>
          <w:sz w:val="21"/>
        </w:rPr>
        <w:t xml:space="preserve"> 50325标准。</w:t>
      </w:r>
    </w:p>
    <w:p>
      <w:pPr>
        <w:keepNext/>
        <w:spacing w:before="80" w:after="40"/>
        <w:autoSpaceDE w:val="0"/>
        <w:autoSpaceDN w:val="0"/>
      </w:pPr>
      <w:r>
        <w:rPr>
          <w:rFonts w:ascii="Arial" w:hAnsi="Arial" w:eastAsia="Heiti SC"/>
          <w:b/>
          <w:color w:val="333333"/>
          <w:sz w:val="22"/>
        </w:rPr>
        <w:t>九、保修条款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（一）整体工程保修期：________年（自竣工验收合格之日起计算）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（二）分项保修期限：</w:t>
      </w:r>
    </w:p>
    <w:p>
      <w:pPr>
        <w:keepNext/>
        <w:spacing w:before="200" w:after="80"/>
        <w:autoSpaceDE w:val="0"/>
        <w:autoSpaceDN w:val="0"/>
      </w:pPr>
      <w:r>
        <w:rPr>
          <w:rFonts w:ascii="Arial" w:hAnsi="Arial" w:eastAsia="Heiti SC"/>
          <w:b/>
          <w:color w:val="333333"/>
          <w:sz w:val="21"/>
        </w:rPr>
        <w:t>表 5：分项保修期限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35"/>
        <w:gridCol w:w="1701"/>
      </w:tblGrid>
      <w:tr>
        <w:trPr>
          <w:trHeight w:val="420" w:hRule="atLeast"/>
          <w:tblHeader/>
        </w:trPr>
        <w:tc>
          <w:tcPr>
            <w:tcW w:type="dxa" w:w="2835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项目</w:t>
            </w:r>
          </w:p>
        </w:tc>
        <w:tc>
          <w:tcPr>
            <w:tcW w:type="dxa" w:w="1701"/>
            <w:vAlign w:val="center"/>
            <w:tcBorders>
              <w:top w:val="single" w:sz="12" w:color="333333"/>
              <w:bottom w:val="single" w:sz="6" w:color="333333"/>
            </w:tcBorders>
            <w:shd w:val="clear" w:fill="DCE6F1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Arial" w:hAnsi="Arial" w:eastAsia="Heiti SC"/>
                <w:b/>
                <w:color w:val="333333"/>
                <w:sz w:val="21"/>
              </w:rPr>
              <w:t>保修期限</w:t>
            </w:r>
          </w:p>
        </w:tc>
      </w:tr>
      <w:tr>
        <w:trPr>
          <w:trHeight w:val="420" w:hRule="atLeast"/>
          <w:cantSplit/>
        </w:trPr>
        <w:tc>
          <w:tcPr>
            <w:tcW w:type="dxa" w:w="2835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水电隐蔽工程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10年</w:t>
            </w:r>
          </w:p>
        </w:tc>
      </w:tr>
      <w:tr>
        <w:trPr>
          <w:trHeight w:val="420" w:hRule="atLeast"/>
          <w:cantSplit/>
        </w:trPr>
        <w:tc>
          <w:tcPr>
            <w:tcW w:type="dxa" w:w="2835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防水工程/渗漏水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10年</w:t>
            </w:r>
          </w:p>
        </w:tc>
      </w:tr>
      <w:tr>
        <w:trPr>
          <w:trHeight w:val="420" w:hRule="atLeast"/>
          <w:cantSplit/>
        </w:trPr>
        <w:tc>
          <w:tcPr>
            <w:tcW w:type="dxa" w:w="2835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墙面/墙皮脱落、开裂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5年</w:t>
            </w:r>
          </w:p>
        </w:tc>
      </w:tr>
      <w:tr>
        <w:trPr>
          <w:trHeight w:val="420" w:hRule="atLeast"/>
          <w:cantSplit/>
        </w:trPr>
        <w:tc>
          <w:tcPr>
            <w:tcW w:type="dxa" w:w="2835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地面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5年</w:t>
            </w:r>
          </w:p>
        </w:tc>
      </w:tr>
      <w:tr>
        <w:trPr>
          <w:trHeight w:val="420" w:hRule="atLeast"/>
          <w:cantSplit/>
        </w:trPr>
        <w:tc>
          <w:tcPr>
            <w:tcW w:type="dxa" w:w="2835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橱柜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5年</w:t>
            </w:r>
          </w:p>
        </w:tc>
      </w:tr>
      <w:tr>
        <w:trPr>
          <w:trHeight w:val="420" w:hRule="atLeast"/>
          <w:cantSplit/>
        </w:trPr>
        <w:tc>
          <w:tcPr>
            <w:tcW w:type="dxa" w:w="2835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门窗、五金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3年</w:t>
            </w:r>
          </w:p>
        </w:tc>
      </w:tr>
      <w:tr>
        <w:trPr>
          <w:trHeight w:val="420" w:hRule="atLeast"/>
          <w:cantSplit/>
        </w:trPr>
        <w:tc>
          <w:tcPr>
            <w:tcW w:type="dxa" w:w="2835"/>
            <w:vAlign w:val="center"/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灯具、开关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2年</w:t>
            </w:r>
          </w:p>
        </w:tc>
      </w:tr>
      <w:tr>
        <w:trPr>
          <w:trHeight w:val="420" w:hRule="atLeast"/>
          <w:cantSplit/>
        </w:trPr>
        <w:tc>
          <w:tcPr>
            <w:tcW w:type="dxa" w:w="2835"/>
            <w:vAlign w:val="center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lef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电器设备</w:t>
            </w:r>
          </w:p>
        </w:tc>
        <w:tc>
          <w:tcPr>
            <w:tcW w:type="dxa" w:w="1701"/>
            <w:vAlign w:val="center"/>
            <w:tcBorders>
              <w:bottom w:val="single" w:sz="12" w:color="333333"/>
            </w:tcBorders>
          </w:tcPr>
          <w:p>
            <w:pPr>
              <w:spacing w:before="0" w:after="0"/>
              <w:autoSpaceDE w:val="0"/>
              <w:autoSpaceDN w:val="0"/>
              <w:jc w:val="right"/>
            </w:pPr>
            <w:r>
              <w:rPr>
                <w:rFonts w:ascii="STFangsong" w:hAnsi="STFangsong" w:eastAsia="STFangsong"/>
                <w:b w:val="0"/>
                <w:color w:val="333333"/>
                <w:sz w:val="21"/>
              </w:rPr>
              <w:t>按厂家保修卡</w:t>
            </w:r>
          </w:p>
        </w:tc>
      </w:tr>
    </w:tbl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（三）重点质量问题保修：装修完工后，如出现以下质量问题，乙方须负责无偿维修或返工，造成甲方损失的由乙方赔偿：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渗漏水：包括但不限于防水层破损导致的墙面渗水、顶面渗水、邻里渗漏等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墙皮脱落：墙面乳胶漆、腻子层空鼓、脱落、起皮等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开裂：墙面、顶面裂纹、石膏板接缝开裂等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瓷砖空鼓、脱落：铺贴不牢导致的瓷砖空鼓、脱落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门窗、五金故障：因安装或材质问题导致的门窗开合不畅、锁具故障、五金损坏等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（四）保修范围：正常使用情况下出现的质量问题（非人为损坏、非不可抗力、非甲方擅自改动）。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（五）保修响应：乙方须在接到甲方保修通知后24小时内响应，72小时内上门维修。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（六）终身维护：保修期满后，乙方仍提供有偿维修服务，材料费按成本价收取。</w:t>
      </w:r>
    </w:p>
    <w:p>
      <w:pPr>
        <w:keepNext/>
        <w:spacing w:before="80" w:after="40"/>
        <w:autoSpaceDE w:val="0"/>
        <w:autoSpaceDN w:val="0"/>
      </w:pPr>
      <w:r>
        <w:rPr>
          <w:rFonts w:ascii="Arial" w:hAnsi="Arial" w:eastAsia="Heiti SC"/>
          <w:b/>
          <w:color w:val="333333"/>
          <w:sz w:val="22"/>
        </w:rPr>
        <w:t>十、双方权利与义务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（一）甲方权利与义务：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及时支付合同约定的款项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提供装修期间的水电（费用自理）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提供施工所需的基础条件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有权对施工质量、材料进行监督检查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及时对乙方提出的验收、变更等事项作出答复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（二）乙方权利与义务：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按合同约定和国家规范施工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对施工安全负责，承担施工现场的安全责任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负责协调各工种配合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按时完成各阶段工期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配合甲方进行验收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 xml:space="preserve">　　• 竣工后提供完整竣工图纸和保修凭证</w:t>
      </w:r>
    </w:p>
    <w:p>
      <w:pPr>
        <w:keepNext/>
        <w:spacing w:before="80" w:after="40"/>
        <w:autoSpaceDE w:val="0"/>
        <w:autoSpaceDN w:val="0"/>
      </w:pPr>
      <w:r>
        <w:rPr>
          <w:rFonts w:ascii="Arial" w:hAnsi="Arial" w:eastAsia="Heiti SC"/>
          <w:b/>
          <w:color w:val="333333"/>
          <w:sz w:val="22"/>
        </w:rPr>
        <w:t>十一、违约责任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（一）乙方擅自更换材料：须更换回约定品牌，并支付合同总价5%的违约金。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（二）工程质量不合格：乙方须在限期内返工至合格，返工费用由乙方承担；因此造成甲方损失的由乙方赔偿。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（三）乙方擅自解除合同：须退还甲方已付全部款项，并支付合同总价20%的违约金。</w:t>
      </w:r>
    </w:p>
    <w:p>
      <w:pPr>
        <w:keepNext/>
        <w:spacing w:before="80" w:after="40"/>
        <w:autoSpaceDE w:val="0"/>
        <w:autoSpaceDN w:val="0"/>
      </w:pPr>
      <w:r>
        <w:rPr>
          <w:rFonts w:ascii="Arial" w:hAnsi="Arial" w:eastAsia="Heiti SC"/>
          <w:b/>
          <w:color w:val="333333"/>
          <w:sz w:val="22"/>
        </w:rPr>
        <w:t>十二、争议解决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（一）本合同履行中发生的争议，双方应协商解决。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（二）协商不成的，任何一方可向合同签订地有管辖权的人民法院提起诉讼。</w:t>
      </w:r>
    </w:p>
    <w:p>
      <w:pPr>
        <w:widowControl/>
        <w:spacing w:lineRule="auto" w:line="324" w:after="0"/>
        <w:ind w:firstLine="48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（三）诉讼期间，除争议事项外，双方应继续履行本合同其他条款。</w:t>
      </w:r>
    </w:p>
    <w:p>
      <w:pPr>
        <w:widowControl/>
        <w:spacing w:lineRule="auto" w:line="324" w:after="0"/>
        <w:jc w:val="both"/>
        <w:autoSpaceDE w:val="0"/>
        <w:autoSpaceDN w:val="0"/>
      </w:pPr>
      <w:r>
        <w:rPr>
          <w:rFonts w:ascii="STFangsong" w:hAnsi="STFangsong" w:eastAsia="STFangsong"/>
          <w:b w:val="0"/>
          <w:color w:val="333333"/>
          <w:sz w:val="21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lineRule="auto" w:line="360"/>
        <w:jc w:val="center"/>
      </w:pPr>
      <w:r>
        <w:rPr>
          <w:rFonts w:ascii="STFangsong" w:hAnsi="STFangsong" w:eastAsia="STFangsong"/>
          <w:b w:val="0"/>
          <w:color w:val="333333"/>
          <w:sz w:val="24"/>
        </w:rPr>
        <w:t>甲方（签字）：__________　　　　　　　　乙方（签字）：__________</w:t>
      </w:r>
    </w:p>
    <w:p>
      <w:pPr>
        <w:spacing w:lineRule="auto" w:line="360"/>
        <w:jc w:val="center"/>
      </w:pPr>
      <w:r>
        <w:rPr>
          <w:rFonts w:ascii="STFangsong" w:hAnsi="STFangsong" w:eastAsia="STFangsong"/>
          <w:b w:val="0"/>
          <w:color w:val="333333"/>
          <w:sz w:val="24"/>
        </w:rPr>
        <w:t>日期：________年________月________日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Fangsong" w:hAnsi="STFangsong" w:eastAsia="STFangsong"/>
        <w:b w:val="0"/>
        <w:color w:val="808080"/>
        <w:sz w:val="18"/>
      </w:rPr>
      <w:t xml:space="preserve">第 </w:t>
    </w:r>
    <w:r>
      <w:rPr>
        <w:rFonts w:ascii="STFangsong" w:hAnsi="STFangsong" w:eastAsia="STFangsong"/>
        <w:b w:val="0"/>
        <w:color w:val="808080"/>
        <w:sz w:val="18"/>
      </w:rPr>
      <w:fldChar w:fldCharType="begin"/>
      <w:instrText>PAGE</w:instrText>
      <w:fldChar w:fldCharType="end"/>
    </w:r>
    <w:r>
      <w:rPr>
        <w:rFonts w:ascii="STFangsong" w:hAnsi="STFangsong" w:eastAsia="STFangsong"/>
        <w:b w:val="0"/>
        <w:color w:val="808080"/>
        <w:sz w:val="18"/>
      </w:rPr>
      <w:t xml:space="preserve"> 页  共 </w:t>
    </w:r>
    <w:r>
      <w:rPr>
        <w:rFonts w:ascii="STFangsong" w:hAnsi="STFangsong" w:eastAsia="STFangsong"/>
        <w:b w:val="0"/>
        <w:color w:val="808080"/>
        <w:sz w:val="18"/>
      </w:rPr>
      <w:fldChar w:fldCharType="begin"/>
      <w:instrText>NUMPAGES</w:instrText>
      <w:fldChar w:fldCharType="end"/>
    </w:r>
    <w:r>
      <w:rPr>
        <w:rFonts w:ascii="STFangsong" w:hAnsi="STFangsong" w:eastAsia="STFangsong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color="BFBFBF"/>
      </w:pBdr>
    </w:pPr>
    <w:r>
      <w:rPr>
        <w:rFonts w:ascii="STFangsong" w:hAnsi="STFangsong" w:eastAsia="STFangsong"/>
        <w:b w:val="0"/>
        <w:color w:val="808080"/>
        <w:sz w:val="18"/>
      </w:rPr>
      <w:t>家庭居室装修工程施工合同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